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4E78"/>
          <w:sz w:val="32"/>
        </w:rPr>
        <w:t>QRA Kings Prize Shoot 2026 — MCSI V5 check</w:t>
      </w:r>
    </w:p>
    <w:p>
      <w:pPr>
        <w:spacing w:after="100"/>
      </w:pPr>
      <w:r>
        <w:rPr>
          <w:color w:val="444444"/>
          <w:sz w:val="20"/>
        </w:rPr>
        <w:t>A second independent King's-class test of V5, and what happens when both 2026 championships are folded into the calibration pool · prepared for Adrian · 16 August 2026</w:t>
      </w:r>
    </w:p>
    <w:p>
      <w:pPr>
        <w:spacing w:after="80"/>
        <w:pBdr>
          <w:bottom w:val="single" w:sz="6" w:space="1" w:color="CCCCCC"/>
        </w:pBdr>
      </w:pPr>
    </w:p>
    <w:p>
      <w:pPr>
        <w:spacing w:before="160" w:after="40"/>
      </w:pPr>
      <w:r>
        <w:rPr>
          <w:b/>
          <w:color w:val="1F4E78"/>
          <w:sz w:val="23"/>
        </w:rPr>
        <w:t>Summary</w:t>
      </w:r>
    </w:p>
    <w:p>
      <w:pPr>
        <w:pStyle w:val="ListBullet"/>
        <w:spacing w:after="40"/>
      </w:pPr>
      <w:r>
        <w:rPr>
          <w:b/>
          <w:sz w:val="20"/>
        </w:rPr>
        <w:t>V5 holds.</w:t>
      </w:r>
      <w:r>
        <w:rPr>
          <w:sz w:val="20"/>
        </w:rPr>
        <w:t xml:space="preserve"> On 2,443 strings from a championship it has never seen, V5 produces a balanced cross-discipline leaderboard and its factors sit within 0.027 of what this event implies.</w:t>
      </w:r>
    </w:p>
    <w:p>
      <w:pPr>
        <w:pStyle w:val="ListBullet"/>
        <w:spacing w:after="40"/>
      </w:pPr>
      <w:r>
        <w:rPr>
          <w:b/>
          <w:sz w:val="20"/>
        </w:rPr>
        <w:t>Folding NSWRA 2026 and QRA 2026 into the pool changes nothing.</w:t>
      </w:r>
      <w:r>
        <w:rPr>
          <w:sz w:val="20"/>
        </w:rPr>
        <w:t xml:space="preserve"> On a like-for-like comparison every factor moves by at most 0.0023 — 1.1 MCSI points on a ~490-point series aggregate. No factor changes at the 3 decimals V5 is published at.</w:t>
      </w:r>
    </w:p>
    <w:p>
      <w:pPr>
        <w:pStyle w:val="ListBullet"/>
        <w:spacing w:after="40"/>
      </w:pPr>
      <w:r>
        <w:rPr>
          <w:b/>
          <w:sz w:val="20"/>
        </w:rPr>
        <w:t>One thing did turn up, and it is a method issue rather than a factor issue.</w:t>
      </w:r>
      <w:r>
        <w:rPr>
          <w:sz w:val="20"/>
        </w:rPr>
        <w:t xml:space="preserve"> The archive is 87% ten-shot strings; NSWRA 2026 is half fifteen-shot. Pooling whole-string totals, as the original calibration did, makes that mix difference look like a real shift in shooting standard. Normalising per shot removes about 80% of the apparent movement. Worth fixing before the next recalibration.</w:t>
      </w:r>
    </w:p>
    <w:p>
      <w:pPr>
        <w:pStyle w:val="ListBullet"/>
        <w:spacing w:after="40"/>
      </w:pPr>
      <w:r>
        <w:rPr>
          <w:b/>
          <w:sz w:val="20"/>
        </w:rPr>
        <w:t>Distance-based factors are not ready, and this meeting shows why.</w:t>
      </w:r>
      <w:r>
        <w:rPr>
          <w:sz w:val="20"/>
        </w:rPr>
        <w:t xml:space="preserve"> The cross-discipline spread tracks how hard a shoot was, not how far it was (r = -0.88 against difficulty, r = +0.43 against distance). Fitting factors to distance on this data would largely be fitting the weather.</w:t>
      </w:r>
    </w:p>
    <w:p>
      <w:pPr>
        <w:spacing w:before="160" w:after="40"/>
      </w:pPr>
      <w:r>
        <w:rPr>
          <w:b/>
          <w:color w:val="1F4E78"/>
          <w:sz w:val="23"/>
        </w:rPr>
        <w:t>1. The data</w:t>
      </w:r>
    </w:p>
    <w:p>
      <w:pPr>
        <w:spacing w:after="100"/>
      </w:pPr>
      <w:r>
        <w:rPr>
          <w:sz w:val="20"/>
        </w:rPr>
        <w:t xml:space="preserve">Pulled from the QRA results system on 16 August 2026: </w:t>
      </w:r>
      <w:r>
        <w:rPr>
          <w:b/>
          <w:sz w:val="20"/>
        </w:rPr>
        <w:t>2,443 shooter-strings, 274 shooters, 9 shoots</w:t>
      </w:r>
      <w:r>
        <w:rPr>
          <w:sz w:val="20"/>
        </w:rPr>
        <w:t xml:space="preserve"> over 300, 500, 600, 800, 900 and 1000 yards across three days. Unlike the NSWRA export, this source publishes the distance against every match, which is what makes section 5 possible.</w:t>
      </w:r>
    </w:p>
    <w:p>
      <w:pPr>
        <w:spacing w:after="100"/>
      </w:pPr>
      <w:r>
        <w:rPr>
          <w:sz w:val="20"/>
        </w:rPr>
        <w:t>Discipline split: F-Open 368, F-Std-A 221, F-Std-B 99, FTR 167, Sporter-Open 135, Sporter-PC 108, TR-A 937, TR-B 336, TR-C 72.</w:t>
      </w:r>
    </w:p>
    <w:tbl>
      <w:tblPr>
        <w:tblW w:type="auto" w:w="0"/>
        <w:tblLayout w:type="fixed"/>
        <w:tblLook w:firstColumn="1" w:firstRow="1" w:lastColumn="0" w:lastRow="0" w:noHBand="0" w:noVBand="1" w:val="04A0"/>
      </w:tblPr>
      <w:tblGrid>
        <w:gridCol w:w="9866"/>
      </w:tblGrid>
      <w:tr>
        <w:tc>
          <w:tcPr>
            <w:tcW w:type="dxa" w:w="9865"/>
            <w:shd w:val="clear" w:color="auto" w:fill="EAF3EA"/>
            <w:tcBorders>
              <w:left w:val="single" w:sz="24" w:space="0" w:color="3C7A3C"/>
            </w:tcBorders>
          </w:tcPr>
          <w:p>
            <w:pPr>
              <w:spacing w:before="40" w:after="40"/>
            </w:pPr>
            <w:r>
              <w:rPr>
                <w:sz w:val="21"/>
              </w:rPr>
            </w:r>
            <w:r>
              <w:rPr>
                <w:b/>
                <w:sz w:val="21"/>
              </w:rPr>
              <w:t>Validation:</w:t>
            </w:r>
            <w:r>
              <w:rPr>
                <w:sz w:val="21"/>
              </w:rPr>
              <w:t xml:space="preserve"> all </w:t>
            </w:r>
            <w:r>
              <w:rPr>
                <w:b/>
                <w:sz w:val="21"/>
              </w:rPr>
              <w:t>1,089</w:t>
            </w:r>
            <w:r>
              <w:rPr>
                <w:sz w:val="21"/>
              </w:rPr>
              <w:t xml:space="preserve"> official aggregate rows published by QRA — the Day 1, Day 2, Day 3 and full Kings Series aggregates — reconcile </w:t>
            </w:r>
            <w:r>
              <w:rPr>
                <w:b/>
                <w:sz w:val="21"/>
              </w:rPr>
              <w:t>exactly</w:t>
            </w:r>
            <w:r>
              <w:rPr>
                <w:sz w:val="21"/>
              </w:rPr>
              <w:t xml:space="preserve"> to the sum of the individual strings we extracted, with zero mismatches. The scores CSV that accompanies this report is therefore a faithful copy of the official result.</w:t>
            </w:r>
          </w:p>
        </w:tc>
      </w:tr>
    </w:tbl>
    <w:p>
      <w:pPr>
        <w:spacing w:after="60"/>
      </w:pPr>
    </w:p>
    <w:p>
      <w:pPr>
        <w:spacing w:before="160" w:after="40"/>
      </w:pPr>
      <w:r>
        <w:rPr>
          <w:b/>
          <w:color w:val="1F4E78"/>
          <w:sz w:val="23"/>
        </w:rPr>
        <w:t>2. V5 versus June-13 on the full Kings Series</w:t>
      </w:r>
    </w:p>
    <w:p>
      <w:pPr>
        <w:spacing w:after="100"/>
      </w:pPr>
      <w:r>
        <w:rPr>
          <w:sz w:val="20"/>
        </w:rPr>
        <w:t>Full-series cross-discipline aggregate, 264 shooters who completed all 9 shoots. Left is V5, right is the June-13 (Peter) formula on the same scores.</w:t>
      </w:r>
    </w:p>
    <w:tbl>
      <w:tblPr>
        <w:tblStyle w:val="TableGrid"/>
        <w:tblW w:type="auto" w:w="0"/>
        <w:tblLayout w:type="fixed"/>
        <w:tblLook w:firstColumn="1" w:firstRow="1" w:lastColumn="0" w:lastRow="0" w:noHBand="0" w:noVBand="1" w:val="04A0"/>
      </w:tblPr>
      <w:tblGrid>
        <w:gridCol w:w="1233"/>
        <w:gridCol w:w="1233"/>
        <w:gridCol w:w="1233"/>
        <w:gridCol w:w="1233"/>
        <w:gridCol w:w="1233"/>
        <w:gridCol w:w="1233"/>
        <w:gridCol w:w="1233"/>
        <w:gridCol w:w="1233"/>
      </w:tblGrid>
      <w:tr>
        <w:tc>
          <w:tcPr>
            <w:tcW w:type="dxa" w:w="454"/>
            <w:vAlign w:val="center"/>
            <w:shd w:val="clear" w:color="auto" w:fill="EEF3F8"/>
          </w:tcPr>
          <w:p>
            <w:pPr>
              <w:spacing w:after="0" w:before="0"/>
            </w:pPr>
            <w:r>
              <w:rPr>
                <w:b/>
                <w:color w:val="1F4E78"/>
                <w:sz w:val="18"/>
              </w:rPr>
            </w:r>
            <w:r>
              <w:rPr>
                <w:b/>
                <w:color w:val="1F4E78"/>
                <w:sz w:val="18"/>
              </w:rPr>
              <w:t>#</w:t>
            </w:r>
          </w:p>
        </w:tc>
        <w:tc>
          <w:tcPr>
            <w:tcW w:type="dxa" w:w="2211"/>
            <w:vAlign w:val="center"/>
            <w:shd w:val="clear" w:color="auto" w:fill="EEF3F8"/>
          </w:tcPr>
          <w:p>
            <w:pPr>
              <w:spacing w:after="0" w:before="0"/>
              <w:jc w:val="center"/>
            </w:pPr>
            <w:r>
              <w:rPr>
                <w:b/>
                <w:color w:val="1F4E78"/>
                <w:sz w:val="18"/>
              </w:rPr>
            </w:r>
            <w:r>
              <w:rPr>
                <w:b/>
                <w:color w:val="1F4E78"/>
                <w:sz w:val="18"/>
              </w:rPr>
              <w:t>V5 — shooter</w:t>
            </w:r>
          </w:p>
        </w:tc>
        <w:tc>
          <w:tcPr>
            <w:tcW w:type="dxa" w:w="1134"/>
            <w:vAlign w:val="center"/>
            <w:shd w:val="clear" w:color="auto" w:fill="EEF3F8"/>
          </w:tcPr>
          <w:p>
            <w:pPr>
              <w:spacing w:after="0" w:before="0"/>
              <w:jc w:val="center"/>
            </w:pPr>
            <w:r>
              <w:rPr>
                <w:b/>
                <w:color w:val="1F4E78"/>
                <w:sz w:val="18"/>
              </w:rPr>
            </w:r>
            <w:r>
              <w:rPr>
                <w:b/>
                <w:color w:val="1F4E78"/>
                <w:sz w:val="18"/>
              </w:rPr>
              <w:t>Disc</w:t>
            </w:r>
          </w:p>
        </w:tc>
        <w:tc>
          <w:tcPr>
            <w:tcW w:type="dxa" w:w="1077"/>
            <w:vAlign w:val="center"/>
            <w:shd w:val="clear" w:color="auto" w:fill="EEF3F8"/>
          </w:tcPr>
          <w:p>
            <w:pPr>
              <w:spacing w:after="0" w:before="0"/>
              <w:jc w:val="center"/>
            </w:pPr>
            <w:r>
              <w:rPr>
                <w:b/>
                <w:color w:val="1F4E78"/>
                <w:sz w:val="18"/>
              </w:rPr>
            </w:r>
            <w:r>
              <w:rPr>
                <w:b/>
                <w:color w:val="1F4E78"/>
                <w:sz w:val="18"/>
              </w:rPr>
              <w:t>Raw agg</w:t>
            </w:r>
          </w:p>
        </w:tc>
        <w:tc>
          <w:tcPr>
            <w:tcW w:type="dxa" w:w="850"/>
            <w:vAlign w:val="center"/>
            <w:shd w:val="clear" w:color="auto" w:fill="EEF3F8"/>
          </w:tcPr>
          <w:p>
            <w:pPr>
              <w:spacing w:after="0" w:before="0"/>
              <w:jc w:val="center"/>
            </w:pPr>
            <w:r>
              <w:rPr>
                <w:b/>
                <w:color w:val="1F4E78"/>
                <w:sz w:val="18"/>
              </w:rPr>
            </w:r>
            <w:r>
              <w:rPr>
                <w:b/>
                <w:color w:val="1F4E78"/>
                <w:sz w:val="18"/>
              </w:rPr>
              <w:t>V5</w:t>
            </w:r>
          </w:p>
        </w:tc>
        <w:tc>
          <w:tcPr>
            <w:tcW w:type="dxa" w:w="2211"/>
            <w:vAlign w:val="center"/>
            <w:shd w:val="clear" w:color="auto" w:fill="EEF3F8"/>
          </w:tcPr>
          <w:p>
            <w:pPr>
              <w:spacing w:after="0" w:before="0"/>
              <w:jc w:val="center"/>
            </w:pPr>
            <w:r>
              <w:rPr>
                <w:b/>
                <w:color w:val="1F4E78"/>
                <w:sz w:val="18"/>
              </w:rPr>
            </w:r>
            <w:r>
              <w:rPr>
                <w:b/>
                <w:color w:val="1F4E78"/>
                <w:sz w:val="18"/>
              </w:rPr>
              <w:t>June-13 — shooter</w:t>
            </w:r>
          </w:p>
        </w:tc>
        <w:tc>
          <w:tcPr>
            <w:tcW w:type="dxa" w:w="1134"/>
            <w:vAlign w:val="center"/>
            <w:shd w:val="clear" w:color="auto" w:fill="EEF3F8"/>
          </w:tcPr>
          <w:p>
            <w:pPr>
              <w:spacing w:after="0" w:before="0"/>
              <w:jc w:val="center"/>
            </w:pPr>
            <w:r>
              <w:rPr>
                <w:b/>
                <w:color w:val="1F4E78"/>
                <w:sz w:val="18"/>
              </w:rPr>
            </w:r>
            <w:r>
              <w:rPr>
                <w:b/>
                <w:color w:val="1F4E78"/>
                <w:sz w:val="18"/>
              </w:rPr>
              <w:t>Disc</w:t>
            </w:r>
          </w:p>
        </w:tc>
        <w:tc>
          <w:tcPr>
            <w:tcW w:type="dxa" w:w="794"/>
            <w:vAlign w:val="center"/>
            <w:shd w:val="clear" w:color="auto" w:fill="EEF3F8"/>
          </w:tcPr>
          <w:p>
            <w:pPr>
              <w:spacing w:after="0" w:before="0"/>
              <w:jc w:val="center"/>
            </w:pPr>
            <w:r>
              <w:rPr>
                <w:b/>
                <w:color w:val="1F4E78"/>
                <w:sz w:val="18"/>
              </w:rPr>
            </w:r>
            <w:r>
              <w:rPr>
                <w:b/>
                <w:color w:val="1F4E78"/>
                <w:sz w:val="18"/>
              </w:rPr>
              <w:t>Jun-13</w:t>
            </w:r>
          </w:p>
        </w:tc>
      </w:tr>
      <w:tr>
        <w:tc>
          <w:tcPr>
            <w:tcW w:type="dxa" w:w="454"/>
            <w:vAlign w:val="center"/>
          </w:tcPr>
          <w:p>
            <w:pPr>
              <w:spacing w:after="0" w:before="0"/>
            </w:pPr>
            <w:r>
              <w:rPr>
                <w:sz w:val="18"/>
              </w:rPr>
            </w:r>
            <w:r>
              <w:rPr>
                <w:sz w:val="18"/>
              </w:rPr>
              <w:t>1</w:t>
            </w:r>
          </w:p>
        </w:tc>
        <w:tc>
          <w:tcPr>
            <w:tcW w:type="dxa" w:w="2211"/>
            <w:vAlign w:val="center"/>
          </w:tcPr>
          <w:p>
            <w:pPr>
              <w:spacing w:after="0" w:before="0"/>
              <w:jc w:val="center"/>
            </w:pPr>
            <w:r>
              <w:rPr>
                <w:sz w:val="18"/>
              </w:rPr>
            </w:r>
            <w:r>
              <w:rPr>
                <w:sz w:val="18"/>
              </w:rPr>
              <w:t>Daniel Ward</w:t>
            </w:r>
          </w:p>
        </w:tc>
        <w:tc>
          <w:tcPr>
            <w:tcW w:type="dxa" w:w="1134"/>
            <w:vAlign w:val="center"/>
          </w:tcPr>
          <w:p>
            <w:pPr>
              <w:spacing w:after="0" w:before="0"/>
              <w:jc w:val="center"/>
            </w:pPr>
            <w:r>
              <w:rPr>
                <w:sz w:val="18"/>
              </w:rPr>
            </w:r>
            <w:r>
              <w:rPr>
                <w:sz w:val="18"/>
              </w:rPr>
              <w:t>F-Std-A</w:t>
            </w:r>
          </w:p>
        </w:tc>
        <w:tc>
          <w:tcPr>
            <w:tcW w:type="dxa" w:w="1077"/>
            <w:vAlign w:val="center"/>
          </w:tcPr>
          <w:p>
            <w:pPr>
              <w:spacing w:after="0" w:before="0"/>
              <w:jc w:val="center"/>
            </w:pPr>
            <w:r>
              <w:rPr>
                <w:sz w:val="18"/>
              </w:rPr>
            </w:r>
            <w:r>
              <w:rPr>
                <w:sz w:val="18"/>
              </w:rPr>
              <w:t>579.47</w:t>
            </w:r>
          </w:p>
        </w:tc>
        <w:tc>
          <w:tcPr>
            <w:tcW w:type="dxa" w:w="850"/>
            <w:vAlign w:val="center"/>
          </w:tcPr>
          <w:p>
            <w:pPr>
              <w:spacing w:after="0" w:before="0"/>
              <w:jc w:val="center"/>
            </w:pPr>
            <w:r>
              <w:rPr>
                <w:sz w:val="18"/>
              </w:rPr>
            </w:r>
            <w:r>
              <w:rPr>
                <w:sz w:val="18"/>
              </w:rPr>
              <w:t>902.6</w:t>
            </w:r>
          </w:p>
        </w:tc>
        <w:tc>
          <w:tcPr>
            <w:tcW w:type="dxa" w:w="2211"/>
            <w:vAlign w:val="center"/>
          </w:tcPr>
          <w:p>
            <w:pPr>
              <w:spacing w:after="0" w:before="0"/>
              <w:jc w:val="center"/>
            </w:pPr>
            <w:r>
              <w:rPr>
                <w:sz w:val="18"/>
              </w:rPr>
            </w:r>
            <w:r>
              <w:rPr>
                <w:sz w:val="18"/>
              </w:rPr>
              <w:t>Goran Prvulovic</w:t>
            </w:r>
          </w:p>
        </w:tc>
        <w:tc>
          <w:tcPr>
            <w:tcW w:type="dxa" w:w="1134"/>
            <w:vAlign w:val="center"/>
          </w:tcPr>
          <w:p>
            <w:pPr>
              <w:spacing w:after="0" w:before="0"/>
              <w:jc w:val="center"/>
            </w:pPr>
            <w:r>
              <w:rPr>
                <w:sz w:val="18"/>
              </w:rPr>
            </w:r>
            <w:r>
              <w:rPr>
                <w:sz w:val="18"/>
              </w:rPr>
              <w:t>F-Open</w:t>
            </w:r>
          </w:p>
        </w:tc>
        <w:tc>
          <w:tcPr>
            <w:tcW w:type="dxa" w:w="794"/>
            <w:vAlign w:val="center"/>
          </w:tcPr>
          <w:p>
            <w:pPr>
              <w:spacing w:after="0" w:before="0"/>
              <w:jc w:val="center"/>
            </w:pPr>
            <w:r>
              <w:rPr>
                <w:sz w:val="18"/>
              </w:rPr>
            </w:r>
            <w:r>
              <w:rPr>
                <w:sz w:val="18"/>
              </w:rPr>
              <w:t>904.9</w:t>
            </w:r>
          </w:p>
        </w:tc>
      </w:tr>
      <w:tr>
        <w:tc>
          <w:tcPr>
            <w:tcW w:type="dxa" w:w="454"/>
            <w:vAlign w:val="center"/>
          </w:tcPr>
          <w:p>
            <w:pPr>
              <w:spacing w:after="0" w:before="0"/>
            </w:pPr>
            <w:r>
              <w:rPr>
                <w:sz w:val="18"/>
              </w:rPr>
            </w:r>
            <w:r>
              <w:rPr>
                <w:sz w:val="18"/>
              </w:rPr>
              <w:t>2</w:t>
            </w:r>
          </w:p>
        </w:tc>
        <w:tc>
          <w:tcPr>
            <w:tcW w:type="dxa" w:w="2211"/>
            <w:vAlign w:val="center"/>
          </w:tcPr>
          <w:p>
            <w:pPr>
              <w:spacing w:after="0" w:before="0"/>
              <w:jc w:val="center"/>
            </w:pPr>
            <w:r>
              <w:rPr>
                <w:sz w:val="18"/>
              </w:rPr>
            </w:r>
            <w:r>
              <w:rPr>
                <w:sz w:val="18"/>
              </w:rPr>
              <w:t>Robert Jackson</w:t>
            </w:r>
          </w:p>
        </w:tc>
        <w:tc>
          <w:tcPr>
            <w:tcW w:type="dxa" w:w="1134"/>
            <w:vAlign w:val="center"/>
          </w:tcPr>
          <w:p>
            <w:pPr>
              <w:spacing w:after="0" w:before="0"/>
              <w:jc w:val="center"/>
            </w:pPr>
            <w:r>
              <w:rPr>
                <w:sz w:val="18"/>
              </w:rPr>
            </w:r>
            <w:r>
              <w:rPr>
                <w:sz w:val="18"/>
              </w:rPr>
              <w:t>Sporter-Open</w:t>
            </w:r>
          </w:p>
        </w:tc>
        <w:tc>
          <w:tcPr>
            <w:tcW w:type="dxa" w:w="1077"/>
            <w:vAlign w:val="center"/>
          </w:tcPr>
          <w:p>
            <w:pPr>
              <w:spacing w:after="0" w:before="0"/>
              <w:jc w:val="center"/>
            </w:pPr>
            <w:r>
              <w:rPr>
                <w:sz w:val="18"/>
              </w:rPr>
            </w:r>
            <w:r>
              <w:rPr>
                <w:sz w:val="18"/>
              </w:rPr>
              <w:t>497.77</w:t>
            </w:r>
          </w:p>
        </w:tc>
        <w:tc>
          <w:tcPr>
            <w:tcW w:type="dxa" w:w="850"/>
            <w:vAlign w:val="center"/>
          </w:tcPr>
          <w:p>
            <w:pPr>
              <w:spacing w:after="0" w:before="0"/>
              <w:jc w:val="center"/>
            </w:pPr>
            <w:r>
              <w:rPr>
                <w:sz w:val="18"/>
              </w:rPr>
            </w:r>
            <w:r>
              <w:rPr>
                <w:sz w:val="18"/>
              </w:rPr>
              <w:t>899.4</w:t>
            </w:r>
          </w:p>
        </w:tc>
        <w:tc>
          <w:tcPr>
            <w:tcW w:type="dxa" w:w="2211"/>
            <w:vAlign w:val="center"/>
          </w:tcPr>
          <w:p>
            <w:pPr>
              <w:spacing w:after="0" w:before="0"/>
              <w:jc w:val="center"/>
            </w:pPr>
            <w:r>
              <w:rPr>
                <w:sz w:val="18"/>
              </w:rPr>
            </w:r>
            <w:r>
              <w:rPr>
                <w:sz w:val="18"/>
              </w:rPr>
              <w:t>Marty Kelly</w:t>
            </w:r>
          </w:p>
        </w:tc>
        <w:tc>
          <w:tcPr>
            <w:tcW w:type="dxa" w:w="1134"/>
            <w:vAlign w:val="center"/>
          </w:tcPr>
          <w:p>
            <w:pPr>
              <w:spacing w:after="0" w:before="0"/>
              <w:jc w:val="center"/>
            </w:pPr>
            <w:r>
              <w:rPr>
                <w:sz w:val="18"/>
              </w:rPr>
            </w:r>
            <w:r>
              <w:rPr>
                <w:sz w:val="18"/>
              </w:rPr>
              <w:t>FTR</w:t>
            </w:r>
          </w:p>
        </w:tc>
        <w:tc>
          <w:tcPr>
            <w:tcW w:type="dxa" w:w="794"/>
            <w:vAlign w:val="center"/>
          </w:tcPr>
          <w:p>
            <w:pPr>
              <w:spacing w:after="0" w:before="0"/>
              <w:jc w:val="center"/>
            </w:pPr>
            <w:r>
              <w:rPr>
                <w:sz w:val="18"/>
              </w:rPr>
            </w:r>
            <w:r>
              <w:rPr>
                <w:sz w:val="18"/>
              </w:rPr>
              <w:t>896.6</w:t>
            </w:r>
          </w:p>
        </w:tc>
      </w:tr>
      <w:tr>
        <w:tc>
          <w:tcPr>
            <w:tcW w:type="dxa" w:w="454"/>
            <w:vAlign w:val="center"/>
          </w:tcPr>
          <w:p>
            <w:pPr>
              <w:spacing w:after="0" w:before="0"/>
            </w:pPr>
            <w:r>
              <w:rPr>
                <w:sz w:val="18"/>
              </w:rPr>
            </w:r>
            <w:r>
              <w:rPr>
                <w:sz w:val="18"/>
              </w:rPr>
              <w:t>3</w:t>
            </w:r>
          </w:p>
        </w:tc>
        <w:tc>
          <w:tcPr>
            <w:tcW w:type="dxa" w:w="2211"/>
            <w:vAlign w:val="center"/>
          </w:tcPr>
          <w:p>
            <w:pPr>
              <w:spacing w:after="0" w:before="0"/>
              <w:jc w:val="center"/>
            </w:pPr>
            <w:r>
              <w:rPr>
                <w:sz w:val="18"/>
              </w:rPr>
            </w:r>
            <w:r>
              <w:rPr>
                <w:sz w:val="18"/>
              </w:rPr>
              <w:t>Damien Tansley</w:t>
            </w:r>
          </w:p>
        </w:tc>
        <w:tc>
          <w:tcPr>
            <w:tcW w:type="dxa" w:w="1134"/>
            <w:vAlign w:val="center"/>
          </w:tcPr>
          <w:p>
            <w:pPr>
              <w:spacing w:after="0" w:before="0"/>
              <w:jc w:val="center"/>
            </w:pPr>
            <w:r>
              <w:rPr>
                <w:sz w:val="18"/>
              </w:rPr>
            </w:r>
            <w:r>
              <w:rPr>
                <w:sz w:val="18"/>
              </w:rPr>
              <w:t>F-Std-A</w:t>
            </w:r>
          </w:p>
        </w:tc>
        <w:tc>
          <w:tcPr>
            <w:tcW w:type="dxa" w:w="1077"/>
            <w:vAlign w:val="center"/>
          </w:tcPr>
          <w:p>
            <w:pPr>
              <w:spacing w:after="0" w:before="0"/>
              <w:jc w:val="center"/>
            </w:pPr>
            <w:r>
              <w:rPr>
                <w:sz w:val="18"/>
              </w:rPr>
            </w:r>
            <w:r>
              <w:rPr>
                <w:sz w:val="18"/>
              </w:rPr>
              <w:t>584.33</w:t>
            </w:r>
          </w:p>
        </w:tc>
        <w:tc>
          <w:tcPr>
            <w:tcW w:type="dxa" w:w="850"/>
            <w:vAlign w:val="center"/>
          </w:tcPr>
          <w:p>
            <w:pPr>
              <w:spacing w:after="0" w:before="0"/>
              <w:jc w:val="center"/>
            </w:pPr>
            <w:r>
              <w:rPr>
                <w:sz w:val="18"/>
              </w:rPr>
            </w:r>
            <w:r>
              <w:rPr>
                <w:sz w:val="18"/>
              </w:rPr>
              <w:t>895.5</w:t>
            </w:r>
          </w:p>
        </w:tc>
        <w:tc>
          <w:tcPr>
            <w:tcW w:type="dxa" w:w="2211"/>
            <w:vAlign w:val="center"/>
          </w:tcPr>
          <w:p>
            <w:pPr>
              <w:spacing w:after="0" w:before="0"/>
              <w:jc w:val="center"/>
            </w:pPr>
            <w:r>
              <w:rPr>
                <w:sz w:val="18"/>
              </w:rPr>
            </w:r>
            <w:r>
              <w:rPr>
                <w:sz w:val="18"/>
              </w:rPr>
              <w:t>Daniel Ward</w:t>
            </w:r>
          </w:p>
        </w:tc>
        <w:tc>
          <w:tcPr>
            <w:tcW w:type="dxa" w:w="1134"/>
            <w:vAlign w:val="center"/>
          </w:tcPr>
          <w:p>
            <w:pPr>
              <w:spacing w:after="0" w:before="0"/>
              <w:jc w:val="center"/>
            </w:pPr>
            <w:r>
              <w:rPr>
                <w:sz w:val="18"/>
              </w:rPr>
            </w:r>
            <w:r>
              <w:rPr>
                <w:sz w:val="18"/>
              </w:rPr>
              <w:t>F-Std-A</w:t>
            </w:r>
          </w:p>
        </w:tc>
        <w:tc>
          <w:tcPr>
            <w:tcW w:type="dxa" w:w="794"/>
            <w:vAlign w:val="center"/>
          </w:tcPr>
          <w:p>
            <w:pPr>
              <w:spacing w:after="0" w:before="0"/>
              <w:jc w:val="center"/>
            </w:pPr>
            <w:r>
              <w:rPr>
                <w:sz w:val="18"/>
              </w:rPr>
            </w:r>
            <w:r>
              <w:rPr>
                <w:sz w:val="18"/>
              </w:rPr>
              <w:t>895.2</w:t>
            </w:r>
          </w:p>
        </w:tc>
      </w:tr>
      <w:tr>
        <w:tc>
          <w:tcPr>
            <w:tcW w:type="dxa" w:w="454"/>
            <w:vAlign w:val="center"/>
          </w:tcPr>
          <w:p>
            <w:pPr>
              <w:spacing w:after="0" w:before="0"/>
            </w:pPr>
            <w:r>
              <w:rPr>
                <w:sz w:val="18"/>
              </w:rPr>
            </w:r>
            <w:r>
              <w:rPr>
                <w:sz w:val="18"/>
              </w:rPr>
              <w:t>4</w:t>
            </w:r>
          </w:p>
        </w:tc>
        <w:tc>
          <w:tcPr>
            <w:tcW w:type="dxa" w:w="2211"/>
            <w:vAlign w:val="center"/>
          </w:tcPr>
          <w:p>
            <w:pPr>
              <w:spacing w:after="0" w:before="0"/>
              <w:jc w:val="center"/>
            </w:pPr>
            <w:r>
              <w:rPr>
                <w:sz w:val="18"/>
              </w:rPr>
            </w:r>
            <w:r>
              <w:rPr>
                <w:sz w:val="18"/>
              </w:rPr>
              <w:t>Jamie Montague</w:t>
            </w:r>
          </w:p>
        </w:tc>
        <w:tc>
          <w:tcPr>
            <w:tcW w:type="dxa" w:w="1134"/>
            <w:vAlign w:val="center"/>
          </w:tcPr>
          <w:p>
            <w:pPr>
              <w:spacing w:after="0" w:before="0"/>
              <w:jc w:val="center"/>
            </w:pPr>
            <w:r>
              <w:rPr>
                <w:sz w:val="18"/>
              </w:rPr>
            </w:r>
            <w:r>
              <w:rPr>
                <w:sz w:val="18"/>
              </w:rPr>
              <w:t>Sporter-PC</w:t>
            </w:r>
          </w:p>
        </w:tc>
        <w:tc>
          <w:tcPr>
            <w:tcW w:type="dxa" w:w="1077"/>
            <w:vAlign w:val="center"/>
          </w:tcPr>
          <w:p>
            <w:pPr>
              <w:spacing w:after="0" w:before="0"/>
              <w:jc w:val="center"/>
            </w:pPr>
            <w:r>
              <w:rPr>
                <w:sz w:val="18"/>
              </w:rPr>
            </w:r>
            <w:r>
              <w:rPr>
                <w:sz w:val="18"/>
              </w:rPr>
              <w:t>496.73</w:t>
            </w:r>
          </w:p>
        </w:tc>
        <w:tc>
          <w:tcPr>
            <w:tcW w:type="dxa" w:w="850"/>
            <w:vAlign w:val="center"/>
          </w:tcPr>
          <w:p>
            <w:pPr>
              <w:spacing w:after="0" w:before="0"/>
              <w:jc w:val="center"/>
            </w:pPr>
            <w:r>
              <w:rPr>
                <w:sz w:val="18"/>
              </w:rPr>
            </w:r>
            <w:r>
              <w:rPr>
                <w:sz w:val="18"/>
              </w:rPr>
              <w:t>893.8</w:t>
            </w:r>
          </w:p>
        </w:tc>
        <w:tc>
          <w:tcPr>
            <w:tcW w:type="dxa" w:w="2211"/>
            <w:vAlign w:val="center"/>
          </w:tcPr>
          <w:p>
            <w:pPr>
              <w:spacing w:after="0" w:before="0"/>
              <w:jc w:val="center"/>
            </w:pPr>
            <w:r>
              <w:rPr>
                <w:sz w:val="18"/>
              </w:rPr>
            </w:r>
            <w:r>
              <w:rPr>
                <w:sz w:val="18"/>
              </w:rPr>
              <w:t>Will Ronald</w:t>
            </w:r>
          </w:p>
        </w:tc>
        <w:tc>
          <w:tcPr>
            <w:tcW w:type="dxa" w:w="1134"/>
            <w:vAlign w:val="center"/>
          </w:tcPr>
          <w:p>
            <w:pPr>
              <w:spacing w:after="0" w:before="0"/>
              <w:jc w:val="center"/>
            </w:pPr>
            <w:r>
              <w:rPr>
                <w:sz w:val="18"/>
              </w:rPr>
            </w:r>
            <w:r>
              <w:rPr>
                <w:sz w:val="18"/>
              </w:rPr>
              <w:t>F-Open</w:t>
            </w:r>
          </w:p>
        </w:tc>
        <w:tc>
          <w:tcPr>
            <w:tcW w:type="dxa" w:w="794"/>
            <w:vAlign w:val="center"/>
          </w:tcPr>
          <w:p>
            <w:pPr>
              <w:spacing w:after="0" w:before="0"/>
              <w:jc w:val="center"/>
            </w:pPr>
            <w:r>
              <w:rPr>
                <w:sz w:val="18"/>
              </w:rPr>
            </w:r>
            <w:r>
              <w:rPr>
                <w:sz w:val="18"/>
              </w:rPr>
              <w:t>895.2</w:t>
            </w:r>
          </w:p>
        </w:tc>
      </w:tr>
      <w:tr>
        <w:tc>
          <w:tcPr>
            <w:tcW w:type="dxa" w:w="454"/>
            <w:vAlign w:val="center"/>
          </w:tcPr>
          <w:p>
            <w:pPr>
              <w:spacing w:after="0" w:before="0"/>
            </w:pPr>
            <w:r>
              <w:rPr>
                <w:sz w:val="18"/>
              </w:rPr>
            </w:r>
            <w:r>
              <w:rPr>
                <w:sz w:val="18"/>
              </w:rPr>
              <w:t>5</w:t>
            </w:r>
          </w:p>
        </w:tc>
        <w:tc>
          <w:tcPr>
            <w:tcW w:type="dxa" w:w="2211"/>
            <w:vAlign w:val="center"/>
          </w:tcPr>
          <w:p>
            <w:pPr>
              <w:spacing w:after="0" w:before="0"/>
              <w:jc w:val="center"/>
            </w:pPr>
            <w:r>
              <w:rPr>
                <w:sz w:val="18"/>
              </w:rPr>
            </w:r>
            <w:r>
              <w:rPr>
                <w:sz w:val="18"/>
              </w:rPr>
              <w:t>Nic Hansford</w:t>
            </w:r>
          </w:p>
        </w:tc>
        <w:tc>
          <w:tcPr>
            <w:tcW w:type="dxa" w:w="1134"/>
            <w:vAlign w:val="center"/>
          </w:tcPr>
          <w:p>
            <w:pPr>
              <w:spacing w:after="0" w:before="0"/>
              <w:jc w:val="center"/>
            </w:pPr>
            <w:r>
              <w:rPr>
                <w:sz w:val="18"/>
              </w:rPr>
            </w:r>
            <w:r>
              <w:rPr>
                <w:sz w:val="18"/>
              </w:rPr>
              <w:t>Sporter-PC</w:t>
            </w:r>
          </w:p>
        </w:tc>
        <w:tc>
          <w:tcPr>
            <w:tcW w:type="dxa" w:w="1077"/>
            <w:vAlign w:val="center"/>
          </w:tcPr>
          <w:p>
            <w:pPr>
              <w:spacing w:after="0" w:before="0"/>
              <w:jc w:val="center"/>
            </w:pPr>
            <w:r>
              <w:rPr>
                <w:sz w:val="18"/>
              </w:rPr>
            </w:r>
            <w:r>
              <w:rPr>
                <w:sz w:val="18"/>
              </w:rPr>
              <w:t>497.70</w:t>
            </w:r>
          </w:p>
        </w:tc>
        <w:tc>
          <w:tcPr>
            <w:tcW w:type="dxa" w:w="850"/>
            <w:vAlign w:val="center"/>
          </w:tcPr>
          <w:p>
            <w:pPr>
              <w:spacing w:after="0" w:before="0"/>
              <w:jc w:val="center"/>
            </w:pPr>
            <w:r>
              <w:rPr>
                <w:sz w:val="18"/>
              </w:rPr>
            </w:r>
            <w:r>
              <w:rPr>
                <w:sz w:val="18"/>
              </w:rPr>
              <w:t>892.6</w:t>
            </w:r>
          </w:p>
        </w:tc>
        <w:tc>
          <w:tcPr>
            <w:tcW w:type="dxa" w:w="2211"/>
            <w:vAlign w:val="center"/>
          </w:tcPr>
          <w:p>
            <w:pPr>
              <w:spacing w:after="0" w:before="0"/>
              <w:jc w:val="center"/>
            </w:pPr>
            <w:r>
              <w:rPr>
                <w:sz w:val="18"/>
              </w:rPr>
            </w:r>
            <w:r>
              <w:rPr>
                <w:sz w:val="18"/>
              </w:rPr>
              <w:t>Troy Benson</w:t>
            </w:r>
          </w:p>
        </w:tc>
        <w:tc>
          <w:tcPr>
            <w:tcW w:type="dxa" w:w="1134"/>
            <w:vAlign w:val="center"/>
          </w:tcPr>
          <w:p>
            <w:pPr>
              <w:spacing w:after="0" w:before="0"/>
              <w:jc w:val="center"/>
            </w:pPr>
            <w:r>
              <w:rPr>
                <w:sz w:val="18"/>
              </w:rPr>
            </w:r>
            <w:r>
              <w:rPr>
                <w:sz w:val="18"/>
              </w:rPr>
              <w:t>F-Open</w:t>
            </w:r>
          </w:p>
        </w:tc>
        <w:tc>
          <w:tcPr>
            <w:tcW w:type="dxa" w:w="794"/>
            <w:vAlign w:val="center"/>
          </w:tcPr>
          <w:p>
            <w:pPr>
              <w:spacing w:after="0" w:before="0"/>
              <w:jc w:val="center"/>
            </w:pPr>
            <w:r>
              <w:rPr>
                <w:sz w:val="18"/>
              </w:rPr>
            </w:r>
            <w:r>
              <w:rPr>
                <w:sz w:val="18"/>
              </w:rPr>
              <w:t>886.8</w:t>
            </w:r>
          </w:p>
        </w:tc>
      </w:tr>
      <w:tr>
        <w:tc>
          <w:tcPr>
            <w:tcW w:type="dxa" w:w="454"/>
            <w:vAlign w:val="center"/>
          </w:tcPr>
          <w:p>
            <w:pPr>
              <w:spacing w:after="0" w:before="0"/>
            </w:pPr>
            <w:r>
              <w:rPr>
                <w:sz w:val="18"/>
              </w:rPr>
            </w:r>
            <w:r>
              <w:rPr>
                <w:sz w:val="18"/>
              </w:rPr>
              <w:t>6</w:t>
            </w:r>
          </w:p>
        </w:tc>
        <w:tc>
          <w:tcPr>
            <w:tcW w:type="dxa" w:w="2211"/>
            <w:vAlign w:val="center"/>
          </w:tcPr>
          <w:p>
            <w:pPr>
              <w:spacing w:after="0" w:before="0"/>
              <w:jc w:val="center"/>
            </w:pPr>
            <w:r>
              <w:rPr>
                <w:sz w:val="18"/>
              </w:rPr>
            </w:r>
            <w:r>
              <w:rPr>
                <w:sz w:val="18"/>
              </w:rPr>
              <w:t>Alan Griffiths</w:t>
            </w:r>
          </w:p>
        </w:tc>
        <w:tc>
          <w:tcPr>
            <w:tcW w:type="dxa" w:w="1134"/>
            <w:vAlign w:val="center"/>
          </w:tcPr>
          <w:p>
            <w:pPr>
              <w:spacing w:after="0" w:before="0"/>
              <w:jc w:val="center"/>
            </w:pPr>
            <w:r>
              <w:rPr>
                <w:sz w:val="18"/>
              </w:rPr>
            </w:r>
            <w:r>
              <w:rPr>
                <w:sz w:val="18"/>
              </w:rPr>
              <w:t>F-Std-A</w:t>
            </w:r>
          </w:p>
        </w:tc>
        <w:tc>
          <w:tcPr>
            <w:tcW w:type="dxa" w:w="1077"/>
            <w:vAlign w:val="center"/>
          </w:tcPr>
          <w:p>
            <w:pPr>
              <w:spacing w:after="0" w:before="0"/>
              <w:jc w:val="center"/>
            </w:pPr>
            <w:r>
              <w:rPr>
                <w:sz w:val="18"/>
              </w:rPr>
            </w:r>
            <w:r>
              <w:rPr>
                <w:sz w:val="18"/>
              </w:rPr>
              <w:t>582.33</w:t>
            </w:r>
          </w:p>
        </w:tc>
        <w:tc>
          <w:tcPr>
            <w:tcW w:type="dxa" w:w="850"/>
            <w:vAlign w:val="center"/>
          </w:tcPr>
          <w:p>
            <w:pPr>
              <w:spacing w:after="0" w:before="0"/>
              <w:jc w:val="center"/>
            </w:pPr>
            <w:r>
              <w:rPr>
                <w:sz w:val="18"/>
              </w:rPr>
            </w:r>
            <w:r>
              <w:rPr>
                <w:sz w:val="18"/>
              </w:rPr>
              <w:t>892.5</w:t>
            </w:r>
          </w:p>
        </w:tc>
        <w:tc>
          <w:tcPr>
            <w:tcW w:type="dxa" w:w="2211"/>
            <w:vAlign w:val="center"/>
          </w:tcPr>
          <w:p>
            <w:pPr>
              <w:spacing w:after="0" w:before="0"/>
              <w:jc w:val="center"/>
            </w:pPr>
            <w:r>
              <w:rPr>
                <w:sz w:val="18"/>
              </w:rPr>
            </w:r>
            <w:r>
              <w:rPr>
                <w:sz w:val="18"/>
              </w:rPr>
              <w:t>Jamie Calleja</w:t>
            </w:r>
          </w:p>
        </w:tc>
        <w:tc>
          <w:tcPr>
            <w:tcW w:type="dxa" w:w="1134"/>
            <w:vAlign w:val="center"/>
          </w:tcPr>
          <w:p>
            <w:pPr>
              <w:spacing w:after="0" w:before="0"/>
              <w:jc w:val="center"/>
            </w:pPr>
            <w:r>
              <w:rPr>
                <w:sz w:val="18"/>
              </w:rPr>
            </w:r>
            <w:r>
              <w:rPr>
                <w:sz w:val="18"/>
              </w:rPr>
              <w:t>F-Open</w:t>
            </w:r>
          </w:p>
        </w:tc>
        <w:tc>
          <w:tcPr>
            <w:tcW w:type="dxa" w:w="794"/>
            <w:vAlign w:val="center"/>
          </w:tcPr>
          <w:p>
            <w:pPr>
              <w:spacing w:after="0" w:before="0"/>
              <w:jc w:val="center"/>
            </w:pPr>
            <w:r>
              <w:rPr>
                <w:sz w:val="18"/>
              </w:rPr>
            </w:r>
            <w:r>
              <w:rPr>
                <w:sz w:val="18"/>
              </w:rPr>
              <w:t>885.4</w:t>
            </w:r>
          </w:p>
        </w:tc>
      </w:tr>
      <w:tr>
        <w:tc>
          <w:tcPr>
            <w:tcW w:type="dxa" w:w="454"/>
            <w:vAlign w:val="center"/>
          </w:tcPr>
          <w:p>
            <w:pPr>
              <w:spacing w:after="0" w:before="0"/>
            </w:pPr>
            <w:r>
              <w:rPr>
                <w:sz w:val="18"/>
              </w:rPr>
            </w:r>
            <w:r>
              <w:rPr>
                <w:sz w:val="18"/>
              </w:rPr>
              <w:t>7</w:t>
            </w:r>
          </w:p>
        </w:tc>
        <w:tc>
          <w:tcPr>
            <w:tcW w:type="dxa" w:w="2211"/>
            <w:vAlign w:val="center"/>
          </w:tcPr>
          <w:p>
            <w:pPr>
              <w:spacing w:after="0" w:before="0"/>
              <w:jc w:val="center"/>
            </w:pPr>
            <w:r>
              <w:rPr>
                <w:sz w:val="18"/>
              </w:rPr>
            </w:r>
            <w:r>
              <w:rPr>
                <w:sz w:val="18"/>
              </w:rPr>
              <w:t>Goran Prvulovic</w:t>
            </w:r>
          </w:p>
        </w:tc>
        <w:tc>
          <w:tcPr>
            <w:tcW w:type="dxa" w:w="1134"/>
            <w:vAlign w:val="center"/>
          </w:tcPr>
          <w:p>
            <w:pPr>
              <w:spacing w:after="0" w:before="0"/>
              <w:jc w:val="center"/>
            </w:pPr>
            <w:r>
              <w:rPr>
                <w:sz w:val="18"/>
              </w:rPr>
            </w:r>
            <w:r>
              <w:rPr>
                <w:sz w:val="18"/>
              </w:rPr>
              <w:t>F-Open</w:t>
            </w:r>
          </w:p>
        </w:tc>
        <w:tc>
          <w:tcPr>
            <w:tcW w:type="dxa" w:w="1077"/>
            <w:vAlign w:val="center"/>
          </w:tcPr>
          <w:p>
            <w:pPr>
              <w:spacing w:after="0" w:before="0"/>
              <w:jc w:val="center"/>
            </w:pPr>
            <w:r>
              <w:rPr>
                <w:sz w:val="18"/>
              </w:rPr>
            </w:r>
            <w:r>
              <w:rPr>
                <w:sz w:val="18"/>
              </w:rPr>
              <w:t>594.57</w:t>
            </w:r>
          </w:p>
        </w:tc>
        <w:tc>
          <w:tcPr>
            <w:tcW w:type="dxa" w:w="850"/>
            <w:vAlign w:val="center"/>
          </w:tcPr>
          <w:p>
            <w:pPr>
              <w:spacing w:after="0" w:before="0"/>
              <w:jc w:val="center"/>
            </w:pPr>
            <w:r>
              <w:rPr>
                <w:sz w:val="18"/>
              </w:rPr>
            </w:r>
            <w:r>
              <w:rPr>
                <w:sz w:val="18"/>
              </w:rPr>
              <w:t>891.3</w:t>
            </w:r>
          </w:p>
        </w:tc>
        <w:tc>
          <w:tcPr>
            <w:tcW w:type="dxa" w:w="2211"/>
            <w:vAlign w:val="center"/>
          </w:tcPr>
          <w:p>
            <w:pPr>
              <w:spacing w:after="0" w:before="0"/>
              <w:jc w:val="center"/>
            </w:pPr>
            <w:r>
              <w:rPr>
                <w:sz w:val="18"/>
              </w:rPr>
            </w:r>
            <w:r>
              <w:rPr>
                <w:sz w:val="18"/>
              </w:rPr>
              <w:t>Geoffrey Krake</w:t>
            </w:r>
          </w:p>
        </w:tc>
        <w:tc>
          <w:tcPr>
            <w:tcW w:type="dxa" w:w="1134"/>
            <w:vAlign w:val="center"/>
          </w:tcPr>
          <w:p>
            <w:pPr>
              <w:spacing w:after="0" w:before="0"/>
              <w:jc w:val="center"/>
            </w:pPr>
            <w:r>
              <w:rPr>
                <w:sz w:val="18"/>
              </w:rPr>
            </w:r>
            <w:r>
              <w:rPr>
                <w:sz w:val="18"/>
              </w:rPr>
              <w:t>F-Open</w:t>
            </w:r>
          </w:p>
        </w:tc>
        <w:tc>
          <w:tcPr>
            <w:tcW w:type="dxa" w:w="794"/>
            <w:vAlign w:val="center"/>
          </w:tcPr>
          <w:p>
            <w:pPr>
              <w:spacing w:after="0" w:before="0"/>
              <w:jc w:val="center"/>
            </w:pPr>
            <w:r>
              <w:rPr>
                <w:sz w:val="18"/>
              </w:rPr>
            </w:r>
            <w:r>
              <w:rPr>
                <w:sz w:val="18"/>
              </w:rPr>
              <w:t>884.0</w:t>
            </w:r>
          </w:p>
        </w:tc>
      </w:tr>
      <w:tr>
        <w:tc>
          <w:tcPr>
            <w:tcW w:type="dxa" w:w="454"/>
            <w:vAlign w:val="center"/>
          </w:tcPr>
          <w:p>
            <w:pPr>
              <w:spacing w:after="0" w:before="0"/>
            </w:pPr>
            <w:r>
              <w:rPr>
                <w:sz w:val="18"/>
              </w:rPr>
            </w:r>
            <w:r>
              <w:rPr>
                <w:sz w:val="18"/>
              </w:rPr>
              <w:t>8</w:t>
            </w:r>
          </w:p>
        </w:tc>
        <w:tc>
          <w:tcPr>
            <w:tcW w:type="dxa" w:w="2211"/>
            <w:vAlign w:val="center"/>
          </w:tcPr>
          <w:p>
            <w:pPr>
              <w:spacing w:after="0" w:before="0"/>
              <w:jc w:val="center"/>
            </w:pPr>
            <w:r>
              <w:rPr>
                <w:sz w:val="18"/>
              </w:rPr>
            </w:r>
            <w:r>
              <w:rPr>
                <w:sz w:val="18"/>
              </w:rPr>
              <w:t>Bill Hallam</w:t>
            </w:r>
          </w:p>
        </w:tc>
        <w:tc>
          <w:tcPr>
            <w:tcW w:type="dxa" w:w="1134"/>
            <w:vAlign w:val="center"/>
          </w:tcPr>
          <w:p>
            <w:pPr>
              <w:spacing w:after="0" w:before="0"/>
              <w:jc w:val="center"/>
            </w:pPr>
            <w:r>
              <w:rPr>
                <w:sz w:val="18"/>
              </w:rPr>
            </w:r>
            <w:r>
              <w:rPr>
                <w:sz w:val="18"/>
              </w:rPr>
              <w:t>F-Std-A</w:t>
            </w:r>
          </w:p>
        </w:tc>
        <w:tc>
          <w:tcPr>
            <w:tcW w:type="dxa" w:w="1077"/>
            <w:vAlign w:val="center"/>
          </w:tcPr>
          <w:p>
            <w:pPr>
              <w:spacing w:after="0" w:before="0"/>
              <w:jc w:val="center"/>
            </w:pPr>
            <w:r>
              <w:rPr>
                <w:sz w:val="18"/>
              </w:rPr>
            </w:r>
            <w:r>
              <w:rPr>
                <w:sz w:val="18"/>
              </w:rPr>
              <w:t>575.41</w:t>
            </w:r>
          </w:p>
        </w:tc>
        <w:tc>
          <w:tcPr>
            <w:tcW w:type="dxa" w:w="850"/>
            <w:vAlign w:val="center"/>
          </w:tcPr>
          <w:p>
            <w:pPr>
              <w:spacing w:after="0" w:before="0"/>
              <w:jc w:val="center"/>
            </w:pPr>
            <w:r>
              <w:rPr>
                <w:sz w:val="18"/>
              </w:rPr>
            </w:r>
            <w:r>
              <w:rPr>
                <w:sz w:val="18"/>
              </w:rPr>
              <w:t>890.5</w:t>
            </w:r>
          </w:p>
        </w:tc>
        <w:tc>
          <w:tcPr>
            <w:tcW w:type="dxa" w:w="2211"/>
            <w:vAlign w:val="center"/>
          </w:tcPr>
          <w:p>
            <w:pPr>
              <w:spacing w:after="0" w:before="0"/>
              <w:jc w:val="center"/>
            </w:pPr>
            <w:r>
              <w:rPr>
                <w:sz w:val="18"/>
              </w:rPr>
            </w:r>
            <w:r>
              <w:rPr>
                <w:sz w:val="18"/>
              </w:rPr>
              <w:t>Damien Tansley</w:t>
            </w:r>
          </w:p>
        </w:tc>
        <w:tc>
          <w:tcPr>
            <w:tcW w:type="dxa" w:w="1134"/>
            <w:vAlign w:val="center"/>
          </w:tcPr>
          <w:p>
            <w:pPr>
              <w:spacing w:after="0" w:before="0"/>
              <w:jc w:val="center"/>
            </w:pPr>
            <w:r>
              <w:rPr>
                <w:sz w:val="18"/>
              </w:rPr>
            </w:r>
            <w:r>
              <w:rPr>
                <w:sz w:val="18"/>
              </w:rPr>
              <w:t>F-Std-A</w:t>
            </w:r>
          </w:p>
        </w:tc>
        <w:tc>
          <w:tcPr>
            <w:tcW w:type="dxa" w:w="794"/>
            <w:vAlign w:val="center"/>
          </w:tcPr>
          <w:p>
            <w:pPr>
              <w:spacing w:after="0" w:before="0"/>
              <w:jc w:val="center"/>
            </w:pPr>
            <w:r>
              <w:rPr>
                <w:sz w:val="18"/>
              </w:rPr>
            </w:r>
            <w:r>
              <w:rPr>
                <w:sz w:val="18"/>
              </w:rPr>
              <w:t>882.3</w:t>
            </w:r>
          </w:p>
        </w:tc>
      </w:tr>
      <w:tr>
        <w:tc>
          <w:tcPr>
            <w:tcW w:type="dxa" w:w="454"/>
            <w:vAlign w:val="center"/>
          </w:tcPr>
          <w:p>
            <w:pPr>
              <w:spacing w:after="0" w:before="0"/>
            </w:pPr>
            <w:r>
              <w:rPr>
                <w:sz w:val="18"/>
              </w:rPr>
            </w:r>
            <w:r>
              <w:rPr>
                <w:sz w:val="18"/>
              </w:rPr>
              <w:t>9</w:t>
            </w:r>
          </w:p>
        </w:tc>
        <w:tc>
          <w:tcPr>
            <w:tcW w:type="dxa" w:w="2211"/>
            <w:vAlign w:val="center"/>
          </w:tcPr>
          <w:p>
            <w:pPr>
              <w:spacing w:after="0" w:before="0"/>
              <w:jc w:val="center"/>
            </w:pPr>
            <w:r>
              <w:rPr>
                <w:sz w:val="18"/>
              </w:rPr>
            </w:r>
            <w:r>
              <w:rPr>
                <w:sz w:val="18"/>
              </w:rPr>
              <w:t>Corrie Hooson</w:t>
            </w:r>
          </w:p>
        </w:tc>
        <w:tc>
          <w:tcPr>
            <w:tcW w:type="dxa" w:w="1134"/>
            <w:vAlign w:val="center"/>
          </w:tcPr>
          <w:p>
            <w:pPr>
              <w:spacing w:after="0" w:before="0"/>
              <w:jc w:val="center"/>
            </w:pPr>
            <w:r>
              <w:rPr>
                <w:sz w:val="18"/>
              </w:rPr>
            </w:r>
            <w:r>
              <w:rPr>
                <w:sz w:val="18"/>
              </w:rPr>
              <w:t>F-Std-A</w:t>
            </w:r>
          </w:p>
        </w:tc>
        <w:tc>
          <w:tcPr>
            <w:tcW w:type="dxa" w:w="1077"/>
            <w:vAlign w:val="center"/>
          </w:tcPr>
          <w:p>
            <w:pPr>
              <w:spacing w:after="0" w:before="0"/>
              <w:jc w:val="center"/>
            </w:pPr>
            <w:r>
              <w:rPr>
                <w:sz w:val="18"/>
              </w:rPr>
            </w:r>
            <w:r>
              <w:rPr>
                <w:sz w:val="18"/>
              </w:rPr>
              <w:t>576.39</w:t>
            </w:r>
          </w:p>
        </w:tc>
        <w:tc>
          <w:tcPr>
            <w:tcW w:type="dxa" w:w="850"/>
            <w:vAlign w:val="center"/>
          </w:tcPr>
          <w:p>
            <w:pPr>
              <w:spacing w:after="0" w:before="0"/>
              <w:jc w:val="center"/>
            </w:pPr>
            <w:r>
              <w:rPr>
                <w:sz w:val="18"/>
              </w:rPr>
            </w:r>
            <w:r>
              <w:rPr>
                <w:sz w:val="18"/>
              </w:rPr>
              <w:t>889.9</w:t>
            </w:r>
          </w:p>
        </w:tc>
        <w:tc>
          <w:tcPr>
            <w:tcW w:type="dxa" w:w="2211"/>
            <w:vAlign w:val="center"/>
          </w:tcPr>
          <w:p>
            <w:pPr>
              <w:spacing w:after="0" w:before="0"/>
              <w:jc w:val="center"/>
            </w:pPr>
            <w:r>
              <w:rPr>
                <w:sz w:val="18"/>
              </w:rPr>
            </w:r>
            <w:r>
              <w:rPr>
                <w:sz w:val="18"/>
              </w:rPr>
              <w:t>Fabian Sutryk</w:t>
            </w:r>
          </w:p>
        </w:tc>
        <w:tc>
          <w:tcPr>
            <w:tcW w:type="dxa" w:w="1134"/>
            <w:vAlign w:val="center"/>
          </w:tcPr>
          <w:p>
            <w:pPr>
              <w:spacing w:after="0" w:before="0"/>
              <w:jc w:val="center"/>
            </w:pPr>
            <w:r>
              <w:rPr>
                <w:sz w:val="18"/>
              </w:rPr>
            </w:r>
            <w:r>
              <w:rPr>
                <w:sz w:val="18"/>
              </w:rPr>
              <w:t>F-Open</w:t>
            </w:r>
          </w:p>
        </w:tc>
        <w:tc>
          <w:tcPr>
            <w:tcW w:type="dxa" w:w="794"/>
            <w:vAlign w:val="center"/>
          </w:tcPr>
          <w:p>
            <w:pPr>
              <w:spacing w:after="0" w:before="0"/>
              <w:jc w:val="center"/>
            </w:pPr>
            <w:r>
              <w:rPr>
                <w:sz w:val="18"/>
              </w:rPr>
            </w:r>
            <w:r>
              <w:rPr>
                <w:sz w:val="18"/>
              </w:rPr>
              <w:t>881.3</w:t>
            </w:r>
          </w:p>
        </w:tc>
      </w:tr>
      <w:tr>
        <w:tc>
          <w:tcPr>
            <w:tcW w:type="dxa" w:w="454"/>
            <w:vAlign w:val="center"/>
          </w:tcPr>
          <w:p>
            <w:pPr>
              <w:spacing w:after="0" w:before="0"/>
            </w:pPr>
            <w:r>
              <w:rPr>
                <w:sz w:val="18"/>
              </w:rPr>
            </w:r>
            <w:r>
              <w:rPr>
                <w:sz w:val="18"/>
              </w:rPr>
              <w:t>10</w:t>
            </w:r>
          </w:p>
        </w:tc>
        <w:tc>
          <w:tcPr>
            <w:tcW w:type="dxa" w:w="2211"/>
            <w:vAlign w:val="center"/>
          </w:tcPr>
          <w:p>
            <w:pPr>
              <w:spacing w:after="0" w:before="0"/>
              <w:jc w:val="center"/>
            </w:pPr>
            <w:r>
              <w:rPr>
                <w:sz w:val="18"/>
              </w:rPr>
            </w:r>
            <w:r>
              <w:rPr>
                <w:sz w:val="18"/>
              </w:rPr>
              <w:t>Marty Kelly</w:t>
            </w:r>
          </w:p>
        </w:tc>
        <w:tc>
          <w:tcPr>
            <w:tcW w:type="dxa" w:w="1134"/>
            <w:vAlign w:val="center"/>
          </w:tcPr>
          <w:p>
            <w:pPr>
              <w:spacing w:after="0" w:before="0"/>
              <w:jc w:val="center"/>
            </w:pPr>
            <w:r>
              <w:rPr>
                <w:sz w:val="18"/>
              </w:rPr>
            </w:r>
            <w:r>
              <w:rPr>
                <w:sz w:val="18"/>
              </w:rPr>
              <w:t>FTR</w:t>
            </w:r>
          </w:p>
        </w:tc>
        <w:tc>
          <w:tcPr>
            <w:tcW w:type="dxa" w:w="1077"/>
            <w:vAlign w:val="center"/>
          </w:tcPr>
          <w:p>
            <w:pPr>
              <w:spacing w:after="0" w:before="0"/>
              <w:jc w:val="center"/>
            </w:pPr>
            <w:r>
              <w:rPr>
                <w:sz w:val="18"/>
              </w:rPr>
            </w:r>
            <w:r>
              <w:rPr>
                <w:sz w:val="18"/>
              </w:rPr>
              <w:t>581.46</w:t>
            </w:r>
          </w:p>
        </w:tc>
        <w:tc>
          <w:tcPr>
            <w:tcW w:type="dxa" w:w="850"/>
            <w:vAlign w:val="center"/>
          </w:tcPr>
          <w:p>
            <w:pPr>
              <w:spacing w:after="0" w:before="0"/>
              <w:jc w:val="center"/>
            </w:pPr>
            <w:r>
              <w:rPr>
                <w:sz w:val="18"/>
              </w:rPr>
            </w:r>
            <w:r>
              <w:rPr>
                <w:sz w:val="18"/>
              </w:rPr>
              <w:t>889.1</w:t>
            </w:r>
          </w:p>
        </w:tc>
        <w:tc>
          <w:tcPr>
            <w:tcW w:type="dxa" w:w="2211"/>
            <w:vAlign w:val="center"/>
          </w:tcPr>
          <w:p>
            <w:pPr>
              <w:spacing w:after="0" w:before="0"/>
              <w:jc w:val="center"/>
            </w:pPr>
            <w:r>
              <w:rPr>
                <w:sz w:val="18"/>
              </w:rPr>
            </w:r>
            <w:r>
              <w:rPr>
                <w:sz w:val="18"/>
              </w:rPr>
              <w:t>Bill Hallam</w:t>
            </w:r>
          </w:p>
        </w:tc>
        <w:tc>
          <w:tcPr>
            <w:tcW w:type="dxa" w:w="1134"/>
            <w:vAlign w:val="center"/>
          </w:tcPr>
          <w:p>
            <w:pPr>
              <w:spacing w:after="0" w:before="0"/>
              <w:jc w:val="center"/>
            </w:pPr>
            <w:r>
              <w:rPr>
                <w:sz w:val="18"/>
              </w:rPr>
            </w:r>
            <w:r>
              <w:rPr>
                <w:sz w:val="18"/>
              </w:rPr>
              <w:t>F-Std-A</w:t>
            </w:r>
          </w:p>
        </w:tc>
        <w:tc>
          <w:tcPr>
            <w:tcW w:type="dxa" w:w="794"/>
            <w:vAlign w:val="center"/>
          </w:tcPr>
          <w:p>
            <w:pPr>
              <w:spacing w:after="0" w:before="0"/>
              <w:jc w:val="center"/>
            </w:pPr>
            <w:r>
              <w:rPr>
                <w:sz w:val="18"/>
              </w:rPr>
            </w:r>
            <w:r>
              <w:rPr>
                <w:sz w:val="18"/>
              </w:rPr>
              <w:t>880.9</w:t>
            </w:r>
          </w:p>
        </w:tc>
      </w:tr>
    </w:tbl>
    <w:p>
      <w:pPr>
        <w:spacing w:after="60"/>
      </w:pPr>
    </w:p>
    <w:p>
      <w:pPr>
        <w:spacing w:after="100"/>
      </w:pPr>
      <w:r>
        <w:rPr>
          <w:b/>
          <w:sz w:val="20"/>
        </w:rPr>
        <w:t>Top-10 discipline mix — V5:</w:t>
      </w:r>
      <w:r>
        <w:rPr>
          <w:sz w:val="20"/>
        </w:rPr>
        <w:t xml:space="preserve"> F-Standard 5, Sporter 3, F-Open 1, FTR 1.  </w:t>
      </w:r>
      <w:r>
        <w:rPr>
          <w:b/>
          <w:sz w:val="20"/>
        </w:rPr>
        <w:t>June-13:</w:t>
      </w:r>
      <w:r>
        <w:rPr>
          <w:sz w:val="20"/>
        </w:rPr>
        <w:t xml:space="preserve"> F-Open 6, FTR 1, F-Standard 3.</w:t>
      </w:r>
    </w:p>
    <w:p>
      <w:pPr>
        <w:spacing w:after="100"/>
      </w:pPr>
      <w:r>
        <w:rPr>
          <w:sz w:val="20"/>
        </w:rPr>
        <w:t>The pattern from NSWRA repeats. V5 spreads the top ten across four disciplines; June-13 concentrates it in F-Open and pushes Target Rifle and Sporter shooters a long way down. Of the shooters in V5's top 20, the biggest fall is Shane Abood (TR-A), 15th on V5 and 73rd on June-13; Robert Jackson (Sporter-Open) goes from 2nd to 49th. That is the same behaviour we reported in June: June-13 gives full value to centres with no iron-sight conversion, so it rewards whichever disciplines shoot the most centres.</w:t>
      </w:r>
    </w:p>
    <w:p>
      <w:pPr>
        <w:spacing w:before="160" w:after="40"/>
      </w:pPr>
      <w:r>
        <w:rPr>
          <w:b/>
          <w:color w:val="1F4E78"/>
          <w:sz w:val="23"/>
        </w:rPr>
        <w:t>3. Does QRA agree with NSWRA about the factors?</w:t>
      </w:r>
    </w:p>
    <w:p>
      <w:pPr>
        <w:spacing w:after="100"/>
      </w:pPr>
      <w:r>
        <w:rPr>
          <w:sz w:val="20"/>
        </w:rPr>
        <w:t xml:space="preserve">The useful test is not whether one event agrees with V5, but whether two independent events agree with </w:t>
      </w:r>
      <w:r>
        <w:rPr>
          <w:i/>
          <w:sz w:val="20"/>
        </w:rPr>
        <w:t>each other</w:t>
      </w:r>
      <w:r>
        <w:rPr>
          <w:sz w:val="20"/>
        </w:rPr>
        <w:t>. Each event is scored on its own: within the event, what factor would each discipline need to sit level with the F-class anchor?</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1928"/>
            <w:vAlign w:val="center"/>
            <w:shd w:val="clear" w:color="auto" w:fill="EEF3F8"/>
          </w:tcPr>
          <w:p>
            <w:pPr>
              <w:spacing w:after="0" w:before="0"/>
            </w:pPr>
            <w:r>
              <w:rPr>
                <w:b/>
                <w:color w:val="1F4E78"/>
                <w:sz w:val="18"/>
              </w:rPr>
            </w:r>
            <w:r>
              <w:rPr>
                <w:b/>
                <w:color w:val="1F4E78"/>
                <w:sz w:val="18"/>
              </w:rPr>
              <w:t>Discipline</w:t>
            </w:r>
          </w:p>
        </w:tc>
        <w:tc>
          <w:tcPr>
            <w:tcW w:type="dxa" w:w="1134"/>
            <w:vAlign w:val="center"/>
            <w:shd w:val="clear" w:color="auto" w:fill="EEF3F8"/>
          </w:tcPr>
          <w:p>
            <w:pPr>
              <w:spacing w:after="0" w:before="0"/>
              <w:jc w:val="center"/>
            </w:pPr>
            <w:r>
              <w:rPr>
                <w:b/>
                <w:color w:val="1F4E78"/>
                <w:sz w:val="18"/>
              </w:rPr>
            </w:r>
            <w:r>
              <w:rPr>
                <w:b/>
                <w:color w:val="1F4E78"/>
                <w:sz w:val="18"/>
              </w:rPr>
              <w:t>V5</w:t>
            </w:r>
          </w:p>
        </w:tc>
        <w:tc>
          <w:tcPr>
            <w:tcW w:type="dxa" w:w="1701"/>
            <w:vAlign w:val="center"/>
            <w:shd w:val="clear" w:color="auto" w:fill="EEF3F8"/>
          </w:tcPr>
          <w:p>
            <w:pPr>
              <w:spacing w:after="0" w:before="0"/>
              <w:jc w:val="center"/>
            </w:pPr>
            <w:r>
              <w:rPr>
                <w:b/>
                <w:color w:val="1F4E78"/>
                <w:sz w:val="18"/>
              </w:rPr>
            </w:r>
            <w:r>
              <w:rPr>
                <w:b/>
                <w:color w:val="1F4E78"/>
                <w:sz w:val="18"/>
              </w:rPr>
              <w:t>NSWRA 2026</w:t>
            </w:r>
          </w:p>
        </w:tc>
        <w:tc>
          <w:tcPr>
            <w:tcW w:type="dxa" w:w="1701"/>
            <w:vAlign w:val="center"/>
            <w:shd w:val="clear" w:color="auto" w:fill="EEF3F8"/>
          </w:tcPr>
          <w:p>
            <w:pPr>
              <w:spacing w:after="0" w:before="0"/>
              <w:jc w:val="center"/>
            </w:pPr>
            <w:r>
              <w:rPr>
                <w:b/>
                <w:color w:val="1F4E78"/>
                <w:sz w:val="18"/>
              </w:rPr>
            </w:r>
            <w:r>
              <w:rPr>
                <w:b/>
                <w:color w:val="1F4E78"/>
                <w:sz w:val="18"/>
              </w:rPr>
              <w:t>QRA 2026</w:t>
            </w:r>
          </w:p>
        </w:tc>
        <w:tc>
          <w:tcPr>
            <w:tcW w:type="dxa" w:w="3402"/>
            <w:vAlign w:val="center"/>
            <w:shd w:val="clear" w:color="auto" w:fill="EEF3F8"/>
          </w:tcPr>
          <w:p>
            <w:pPr>
              <w:spacing w:after="0" w:before="0"/>
              <w:jc w:val="center"/>
            </w:pPr>
            <w:r>
              <w:rPr>
                <w:b/>
                <w:color w:val="1F4E78"/>
                <w:sz w:val="18"/>
              </w:rPr>
            </w:r>
            <w:r>
              <w:rPr>
                <w:b/>
                <w:color w:val="1F4E78"/>
                <w:sz w:val="18"/>
              </w:rPr>
              <w:t>Both events say</w:t>
            </w:r>
          </w:p>
        </w:tc>
      </w:tr>
      <w:tr>
        <w:tc>
          <w:tcPr>
            <w:tcW w:type="dxa" w:w="1928"/>
            <w:vAlign w:val="center"/>
          </w:tcPr>
          <w:p>
            <w:pPr>
              <w:spacing w:after="0" w:before="0"/>
            </w:pPr>
            <w:r>
              <w:rPr>
                <w:sz w:val="18"/>
              </w:rPr>
            </w:r>
            <w:r>
              <w:rPr>
                <w:sz w:val="18"/>
              </w:rPr>
              <w:t>Target Rifle</w:t>
            </w:r>
          </w:p>
        </w:tc>
        <w:tc>
          <w:tcPr>
            <w:tcW w:type="dxa" w:w="1134"/>
            <w:vAlign w:val="center"/>
          </w:tcPr>
          <w:p>
            <w:pPr>
              <w:spacing w:after="0" w:before="0"/>
              <w:jc w:val="center"/>
            </w:pPr>
            <w:r>
              <w:rPr>
                <w:sz w:val="18"/>
              </w:rPr>
            </w:r>
            <w:r>
              <w:rPr>
                <w:sz w:val="18"/>
              </w:rPr>
              <w:t>1.412</w:t>
            </w:r>
          </w:p>
        </w:tc>
        <w:tc>
          <w:tcPr>
            <w:tcW w:type="dxa" w:w="1701"/>
            <w:vAlign w:val="center"/>
          </w:tcPr>
          <w:p>
            <w:pPr>
              <w:spacing w:after="0" w:before="0"/>
              <w:jc w:val="center"/>
            </w:pPr>
            <w:r>
              <w:rPr>
                <w:sz w:val="18"/>
              </w:rPr>
            </w:r>
            <w:r>
              <w:rPr>
                <w:sz w:val="18"/>
              </w:rPr>
              <w:t>1.4283</w:t>
            </w:r>
          </w:p>
        </w:tc>
        <w:tc>
          <w:tcPr>
            <w:tcW w:type="dxa" w:w="1701"/>
            <w:vAlign w:val="center"/>
          </w:tcPr>
          <w:p>
            <w:pPr>
              <w:spacing w:after="0" w:before="0"/>
              <w:jc w:val="center"/>
            </w:pPr>
            <w:r>
              <w:rPr>
                <w:sz w:val="18"/>
              </w:rPr>
            </w:r>
            <w:r>
              <w:rPr>
                <w:sz w:val="18"/>
              </w:rPr>
              <w:t>1.4225</w:t>
            </w:r>
          </w:p>
        </w:tc>
        <w:tc>
          <w:tcPr>
            <w:tcW w:type="dxa" w:w="3402"/>
            <w:vAlign w:val="center"/>
          </w:tcPr>
          <w:p>
            <w:pPr>
              <w:spacing w:after="0" w:before="0"/>
              <w:jc w:val="center"/>
            </w:pPr>
            <w:r>
              <w:rPr>
                <w:sz w:val="18"/>
              </w:rPr>
            </w:r>
            <w:r>
              <w:rPr>
                <w:sz w:val="18"/>
              </w:rPr>
              <w:t>V5 slightly low</w:t>
            </w:r>
          </w:p>
        </w:tc>
      </w:tr>
      <w:tr>
        <w:tc>
          <w:tcPr>
            <w:tcW w:type="dxa" w:w="1928"/>
            <w:vAlign w:val="center"/>
          </w:tcPr>
          <w:p>
            <w:pPr>
              <w:spacing w:after="0" w:before="0"/>
            </w:pPr>
            <w:r>
              <w:rPr>
                <w:sz w:val="18"/>
              </w:rPr>
            </w:r>
            <w:r>
              <w:rPr>
                <w:sz w:val="18"/>
              </w:rPr>
              <w:t>F-Open</w:t>
            </w:r>
          </w:p>
        </w:tc>
        <w:tc>
          <w:tcPr>
            <w:tcW w:type="dxa" w:w="1134"/>
            <w:vAlign w:val="center"/>
          </w:tcPr>
          <w:p>
            <w:pPr>
              <w:spacing w:after="0" w:before="0"/>
              <w:jc w:val="center"/>
            </w:pPr>
            <w:r>
              <w:rPr>
                <w:sz w:val="18"/>
              </w:rPr>
            </w:r>
            <w:r>
              <w:rPr>
                <w:sz w:val="18"/>
              </w:rPr>
              <w:t>1.406</w:t>
            </w:r>
          </w:p>
        </w:tc>
        <w:tc>
          <w:tcPr>
            <w:tcW w:type="dxa" w:w="1701"/>
            <w:vAlign w:val="center"/>
          </w:tcPr>
          <w:p>
            <w:pPr>
              <w:spacing w:after="0" w:before="0"/>
              <w:jc w:val="center"/>
            </w:pPr>
            <w:r>
              <w:rPr>
                <w:sz w:val="18"/>
              </w:rPr>
            </w:r>
            <w:r>
              <w:rPr>
                <w:sz w:val="18"/>
              </w:rPr>
              <w:t>1.4210</w:t>
            </w:r>
          </w:p>
        </w:tc>
        <w:tc>
          <w:tcPr>
            <w:tcW w:type="dxa" w:w="1701"/>
            <w:vAlign w:val="center"/>
          </w:tcPr>
          <w:p>
            <w:pPr>
              <w:spacing w:after="0" w:before="0"/>
              <w:jc w:val="center"/>
            </w:pPr>
            <w:r>
              <w:rPr>
                <w:sz w:val="18"/>
              </w:rPr>
            </w:r>
            <w:r>
              <w:rPr>
                <w:sz w:val="18"/>
              </w:rPr>
              <w:t>1.4130</w:t>
            </w:r>
          </w:p>
        </w:tc>
        <w:tc>
          <w:tcPr>
            <w:tcW w:type="dxa" w:w="3402"/>
            <w:vAlign w:val="center"/>
          </w:tcPr>
          <w:p>
            <w:pPr>
              <w:spacing w:after="0" w:before="0"/>
              <w:jc w:val="center"/>
            </w:pPr>
            <w:r>
              <w:rPr>
                <w:sz w:val="18"/>
              </w:rPr>
            </w:r>
            <w:r>
              <w:rPr>
                <w:sz w:val="18"/>
              </w:rPr>
              <w:t>V5 slightly low</w:t>
            </w:r>
          </w:p>
        </w:tc>
      </w:tr>
      <w:tr>
        <w:tc>
          <w:tcPr>
            <w:tcW w:type="dxa" w:w="1928"/>
            <w:vAlign w:val="center"/>
            <w:shd w:val="clear" w:color="auto" w:fill="FFF9E6"/>
          </w:tcPr>
          <w:p>
            <w:pPr>
              <w:spacing w:after="0" w:before="0"/>
            </w:pPr>
            <w:r>
              <w:rPr>
                <w:sz w:val="18"/>
              </w:rPr>
            </w:r>
            <w:r>
              <w:rPr>
                <w:sz w:val="18"/>
              </w:rPr>
              <w:t>F-Standard</w:t>
            </w:r>
          </w:p>
        </w:tc>
        <w:tc>
          <w:tcPr>
            <w:tcW w:type="dxa" w:w="1134"/>
            <w:vAlign w:val="center"/>
            <w:shd w:val="clear" w:color="auto" w:fill="FFF9E6"/>
          </w:tcPr>
          <w:p>
            <w:pPr>
              <w:spacing w:after="0" w:before="0"/>
              <w:jc w:val="center"/>
            </w:pPr>
            <w:r>
              <w:rPr>
                <w:sz w:val="18"/>
              </w:rPr>
            </w:r>
            <w:r>
              <w:rPr>
                <w:sz w:val="18"/>
              </w:rPr>
              <w:t>1.475</w:t>
            </w:r>
          </w:p>
        </w:tc>
        <w:tc>
          <w:tcPr>
            <w:tcW w:type="dxa" w:w="1701"/>
            <w:vAlign w:val="center"/>
            <w:shd w:val="clear" w:color="auto" w:fill="FFF9E6"/>
          </w:tcPr>
          <w:p>
            <w:pPr>
              <w:spacing w:after="0" w:before="0"/>
              <w:jc w:val="center"/>
            </w:pPr>
            <w:r>
              <w:rPr>
                <w:sz w:val="18"/>
              </w:rPr>
            </w:r>
            <w:r>
              <w:rPr>
                <w:sz w:val="18"/>
              </w:rPr>
              <w:t>1.4555</w:t>
            </w:r>
          </w:p>
        </w:tc>
        <w:tc>
          <w:tcPr>
            <w:tcW w:type="dxa" w:w="1701"/>
            <w:vAlign w:val="center"/>
            <w:shd w:val="clear" w:color="auto" w:fill="FFF9E6"/>
          </w:tcPr>
          <w:p>
            <w:pPr>
              <w:spacing w:after="0" w:before="0"/>
              <w:jc w:val="center"/>
            </w:pPr>
            <w:r>
              <w:rPr>
                <w:sz w:val="18"/>
              </w:rPr>
            </w:r>
            <w:r>
              <w:rPr>
                <w:sz w:val="18"/>
              </w:rPr>
              <w:t>1.4477</w:t>
            </w:r>
          </w:p>
        </w:tc>
        <w:tc>
          <w:tcPr>
            <w:tcW w:type="dxa" w:w="3402"/>
            <w:vAlign w:val="center"/>
            <w:shd w:val="clear" w:color="auto" w:fill="FFF9E6"/>
          </w:tcPr>
          <w:p>
            <w:pPr>
              <w:spacing w:after="0" w:before="0"/>
              <w:jc w:val="center"/>
            </w:pPr>
            <w:r>
              <w:rPr>
                <w:sz w:val="18"/>
              </w:rPr>
            </w:r>
            <w:r>
              <w:rPr>
                <w:sz w:val="18"/>
              </w:rPr>
              <w:t>V5 slightly high</w:t>
            </w:r>
          </w:p>
        </w:tc>
      </w:tr>
      <w:tr>
        <w:tc>
          <w:tcPr>
            <w:tcW w:type="dxa" w:w="1928"/>
            <w:vAlign w:val="center"/>
          </w:tcPr>
          <w:p>
            <w:pPr>
              <w:spacing w:after="0" w:before="0"/>
            </w:pPr>
            <w:r>
              <w:rPr>
                <w:sz w:val="18"/>
              </w:rPr>
            </w:r>
            <w:r>
              <w:rPr>
                <w:sz w:val="18"/>
              </w:rPr>
              <w:t>F/TR</w:t>
            </w:r>
          </w:p>
        </w:tc>
        <w:tc>
          <w:tcPr>
            <w:tcW w:type="dxa" w:w="1134"/>
            <w:vAlign w:val="center"/>
          </w:tcPr>
          <w:p>
            <w:pPr>
              <w:spacing w:after="0" w:before="0"/>
              <w:jc w:val="center"/>
            </w:pPr>
            <w:r>
              <w:rPr>
                <w:sz w:val="18"/>
              </w:rPr>
            </w:r>
            <w:r>
              <w:rPr>
                <w:sz w:val="18"/>
              </w:rPr>
              <w:t>1.450</w:t>
            </w:r>
          </w:p>
        </w:tc>
        <w:tc>
          <w:tcPr>
            <w:tcW w:type="dxa" w:w="1701"/>
            <w:vAlign w:val="center"/>
          </w:tcPr>
          <w:p>
            <w:pPr>
              <w:spacing w:after="0" w:before="0"/>
              <w:jc w:val="center"/>
            </w:pPr>
            <w:r>
              <w:rPr>
                <w:sz w:val="18"/>
              </w:rPr>
            </w:r>
            <w:r>
              <w:rPr>
                <w:sz w:val="18"/>
              </w:rPr>
              <w:t>1.4542</w:t>
            </w:r>
          </w:p>
        </w:tc>
        <w:tc>
          <w:tcPr>
            <w:tcW w:type="dxa" w:w="1701"/>
            <w:vAlign w:val="center"/>
          </w:tcPr>
          <w:p>
            <w:pPr>
              <w:spacing w:after="0" w:before="0"/>
              <w:jc w:val="center"/>
            </w:pPr>
            <w:r>
              <w:rPr>
                <w:sz w:val="18"/>
              </w:rPr>
            </w:r>
            <w:r>
              <w:rPr>
                <w:sz w:val="18"/>
              </w:rPr>
              <w:t>1.4704</w:t>
            </w:r>
          </w:p>
        </w:tc>
        <w:tc>
          <w:tcPr>
            <w:tcW w:type="dxa" w:w="3402"/>
            <w:vAlign w:val="center"/>
          </w:tcPr>
          <w:p>
            <w:pPr>
              <w:spacing w:after="0" w:before="0"/>
              <w:jc w:val="center"/>
            </w:pPr>
            <w:r>
              <w:rPr>
                <w:sz w:val="18"/>
              </w:rPr>
            </w:r>
            <w:r>
              <w:rPr>
                <w:sz w:val="18"/>
              </w:rPr>
              <w:t>V5 slightly low</w:t>
            </w:r>
          </w:p>
        </w:tc>
      </w:tr>
      <w:tr>
        <w:tc>
          <w:tcPr>
            <w:tcW w:type="dxa" w:w="1928"/>
            <w:vAlign w:val="center"/>
          </w:tcPr>
          <w:p>
            <w:pPr>
              <w:spacing w:after="0" w:before="0"/>
            </w:pPr>
            <w:r>
              <w:rPr>
                <w:sz w:val="18"/>
              </w:rPr>
            </w:r>
            <w:r>
              <w:rPr>
                <w:sz w:val="18"/>
              </w:rPr>
              <w:t>Sporter</w:t>
            </w:r>
          </w:p>
        </w:tc>
        <w:tc>
          <w:tcPr>
            <w:tcW w:type="dxa" w:w="1134"/>
            <w:vAlign w:val="center"/>
          </w:tcPr>
          <w:p>
            <w:pPr>
              <w:spacing w:after="0" w:before="0"/>
              <w:jc w:val="center"/>
            </w:pPr>
            <w:r>
              <w:rPr>
                <w:sz w:val="18"/>
              </w:rPr>
            </w:r>
            <w:r>
              <w:rPr>
                <w:sz w:val="18"/>
              </w:rPr>
              <w:t>1.383</w:t>
            </w:r>
          </w:p>
        </w:tc>
        <w:tc>
          <w:tcPr>
            <w:tcW w:type="dxa" w:w="1701"/>
            <w:vAlign w:val="center"/>
          </w:tcPr>
          <w:p>
            <w:pPr>
              <w:spacing w:after="0" w:before="0"/>
              <w:jc w:val="center"/>
            </w:pPr>
            <w:r>
              <w:rPr>
                <w:sz w:val="18"/>
              </w:rPr>
            </w:r>
            <w:r>
              <w:rPr>
                <w:sz w:val="18"/>
              </w:rPr>
              <w:t>1.3927</w:t>
            </w:r>
          </w:p>
        </w:tc>
        <w:tc>
          <w:tcPr>
            <w:tcW w:type="dxa" w:w="1701"/>
            <w:vAlign w:val="center"/>
          </w:tcPr>
          <w:p>
            <w:pPr>
              <w:spacing w:after="0" w:before="0"/>
              <w:jc w:val="center"/>
            </w:pPr>
            <w:r>
              <w:rPr>
                <w:sz w:val="18"/>
              </w:rPr>
            </w:r>
            <w:r>
              <w:rPr>
                <w:sz w:val="18"/>
              </w:rPr>
              <w:t>1.3692</w:t>
            </w:r>
          </w:p>
        </w:tc>
        <w:tc>
          <w:tcPr>
            <w:tcW w:type="dxa" w:w="3402"/>
            <w:vAlign w:val="center"/>
          </w:tcPr>
          <w:p>
            <w:pPr>
              <w:spacing w:after="0" w:before="0"/>
              <w:jc w:val="center"/>
            </w:pPr>
            <w:r>
              <w:rPr>
                <w:sz w:val="18"/>
              </w:rPr>
            </w:r>
            <w:r>
              <w:rPr>
                <w:sz w:val="18"/>
              </w:rPr>
              <w:t>they disagree — no signal</w:t>
            </w:r>
          </w:p>
        </w:tc>
      </w:tr>
    </w:tbl>
    <w:p>
      <w:pPr>
        <w:spacing w:after="60"/>
      </w:pPr>
    </w:p>
    <w:p>
      <w:pPr>
        <w:spacing w:after="100"/>
      </w:pPr>
      <w:r>
        <w:rPr>
          <w:sz w:val="20"/>
        </w:rPr>
        <w:t xml:space="preserve">Four of five agree in direction. </w:t>
      </w:r>
      <w:r>
        <w:rPr>
          <w:b/>
          <w:sz w:val="20"/>
        </w:rPr>
        <w:t>F-Standard is the one replicated signal:</w:t>
      </w:r>
      <w:r>
        <w:rPr>
          <w:sz w:val="20"/>
        </w:rPr>
        <w:t xml:space="preserve"> both championships imply V5's 1.475 is a touch high (NSWRA 1.4555, QRA 1.4477). That is the same thing NSWRA hinted at in June, now confirmed independently. Sporter points opposite ways in the two events, so there is no signal there — consistent with the small and self-selected Sporter samples.</w:t>
      </w:r>
    </w:p>
    <w:p>
      <w:pPr>
        <w:spacing w:before="160" w:after="40"/>
      </w:pPr>
      <w:r>
        <w:rPr>
          <w:b/>
          <w:color w:val="1F4E78"/>
          <w:sz w:val="23"/>
        </w:rPr>
        <w:t>4. Folding both championships into the calibration pool</w:t>
      </w:r>
    </w:p>
    <w:p>
      <w:pPr>
        <w:spacing w:after="100"/>
      </w:pPr>
      <w:r>
        <w:rPr>
          <w:sz w:val="20"/>
        </w:rPr>
        <w:t xml:space="preserve">This is the question that matters for the formula. The national K&amp;Q pool V5 was built on is </w:t>
      </w:r>
      <w:r>
        <w:rPr>
          <w:b/>
          <w:sz w:val="20"/>
        </w:rPr>
        <w:t>20,335 strings</w:t>
      </w:r>
      <w:r>
        <w:rPr>
          <w:sz w:val="20"/>
        </w:rPr>
        <w:t>. NSWRA 2026 adds 1,435 and QRA 2026 adds 2,443, a 19% increase. Re-running the calibration exactly as it was originally run — same buckets, same top-40% cohorts, same F-class anchor — gives:</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c>
          <w:tcPr>
            <w:tcW w:type="dxa" w:w="1928"/>
            <w:vAlign w:val="center"/>
            <w:shd w:val="clear" w:color="auto" w:fill="EEF3F8"/>
          </w:tcPr>
          <w:p>
            <w:pPr>
              <w:spacing w:after="0" w:before="0"/>
            </w:pPr>
            <w:r>
              <w:rPr>
                <w:b/>
                <w:color w:val="1F4E78"/>
                <w:sz w:val="18"/>
              </w:rPr>
            </w:r>
            <w:r>
              <w:rPr>
                <w:b/>
                <w:color w:val="1F4E78"/>
                <w:sz w:val="18"/>
              </w:rPr>
              <w:t>Discipline</w:t>
            </w:r>
          </w:p>
        </w:tc>
        <w:tc>
          <w:tcPr>
            <w:tcW w:type="dxa" w:w="1474"/>
            <w:vAlign w:val="center"/>
            <w:shd w:val="clear" w:color="auto" w:fill="EEF3F8"/>
          </w:tcPr>
          <w:p>
            <w:pPr>
              <w:spacing w:after="0" w:before="0"/>
              <w:jc w:val="center"/>
            </w:pPr>
            <w:r>
              <w:rPr>
                <w:b/>
                <w:color w:val="1F4E78"/>
                <w:sz w:val="18"/>
              </w:rPr>
            </w:r>
            <w:r>
              <w:rPr>
                <w:b/>
                <w:color w:val="1F4E78"/>
                <w:sz w:val="18"/>
              </w:rPr>
              <w:t>Pool only</w:t>
            </w:r>
          </w:p>
        </w:tc>
        <w:tc>
          <w:tcPr>
            <w:tcW w:type="dxa" w:w="1928"/>
            <w:vAlign w:val="center"/>
            <w:shd w:val="clear" w:color="auto" w:fill="EEF3F8"/>
          </w:tcPr>
          <w:p>
            <w:pPr>
              <w:spacing w:after="0" w:before="0"/>
              <w:jc w:val="center"/>
            </w:pPr>
            <w:r>
              <w:rPr>
                <w:b/>
                <w:color w:val="1F4E78"/>
                <w:sz w:val="18"/>
              </w:rPr>
            </w:r>
            <w:r>
              <w:rPr>
                <w:b/>
                <w:color w:val="1F4E78"/>
                <w:sz w:val="18"/>
              </w:rPr>
              <w:t>Pool + both events</w:t>
            </w:r>
          </w:p>
        </w:tc>
        <w:tc>
          <w:tcPr>
            <w:tcW w:type="dxa" w:w="1247"/>
            <w:vAlign w:val="center"/>
            <w:shd w:val="clear" w:color="auto" w:fill="EEF3F8"/>
          </w:tcPr>
          <w:p>
            <w:pPr>
              <w:spacing w:after="0" w:before="0"/>
              <w:jc w:val="center"/>
            </w:pPr>
            <w:r>
              <w:rPr>
                <w:b/>
                <w:color w:val="1F4E78"/>
                <w:sz w:val="18"/>
              </w:rPr>
            </w:r>
            <w:r>
              <w:rPr>
                <w:b/>
                <w:color w:val="1F4E78"/>
                <w:sz w:val="18"/>
              </w:rPr>
              <w:t>Move</w:t>
            </w:r>
          </w:p>
        </w:tc>
        <w:tc>
          <w:tcPr>
            <w:tcW w:type="dxa" w:w="1247"/>
            <w:vAlign w:val="center"/>
            <w:shd w:val="clear" w:color="auto" w:fill="EEF3F8"/>
          </w:tcPr>
          <w:p>
            <w:pPr>
              <w:spacing w:after="0" w:before="0"/>
              <w:jc w:val="center"/>
            </w:pPr>
            <w:r>
              <w:rPr>
                <w:b/>
                <w:color w:val="1F4E78"/>
                <w:sz w:val="18"/>
              </w:rPr>
            </w:r>
            <w:r>
              <w:rPr>
                <w:b/>
                <w:color w:val="1F4E78"/>
                <w:sz w:val="18"/>
              </w:rPr>
              <w:t>MCSI pts</w:t>
            </w:r>
          </w:p>
        </w:tc>
        <w:tc>
          <w:tcPr>
            <w:tcW w:type="dxa" w:w="2041"/>
            <w:vAlign w:val="center"/>
            <w:shd w:val="clear" w:color="auto" w:fill="EEF3F8"/>
          </w:tcPr>
          <w:p>
            <w:pPr>
              <w:spacing w:after="0" w:before="0"/>
              <w:jc w:val="center"/>
            </w:pPr>
            <w:r>
              <w:rPr>
                <w:b/>
                <w:color w:val="1F4E78"/>
                <w:sz w:val="18"/>
              </w:rPr>
            </w:r>
            <w:r>
              <w:rPr>
                <w:b/>
                <w:color w:val="1F4E78"/>
                <w:sz w:val="18"/>
              </w:rPr>
              <w:t>Verdict</w:t>
            </w:r>
          </w:p>
        </w:tc>
      </w:tr>
      <w:tr>
        <w:tc>
          <w:tcPr>
            <w:tcW w:type="dxa" w:w="1928"/>
            <w:vAlign w:val="center"/>
            <w:shd w:val="clear" w:color="auto" w:fill="FDF3E3"/>
          </w:tcPr>
          <w:p>
            <w:pPr>
              <w:spacing w:after="0" w:before="0"/>
            </w:pPr>
            <w:r>
              <w:rPr>
                <w:sz w:val="18"/>
              </w:rPr>
            </w:r>
            <w:r>
              <w:rPr>
                <w:sz w:val="18"/>
              </w:rPr>
              <w:t>Target Rifle</w:t>
            </w:r>
          </w:p>
        </w:tc>
        <w:tc>
          <w:tcPr>
            <w:tcW w:type="dxa" w:w="1474"/>
            <w:vAlign w:val="center"/>
            <w:shd w:val="clear" w:color="auto" w:fill="FDF3E3"/>
          </w:tcPr>
          <w:p>
            <w:pPr>
              <w:spacing w:after="0" w:before="0"/>
              <w:jc w:val="center"/>
            </w:pPr>
            <w:r>
              <w:rPr>
                <w:sz w:val="18"/>
              </w:rPr>
            </w:r>
            <w:r>
              <w:rPr>
                <w:sz w:val="18"/>
              </w:rPr>
              <w:t>1.4142</w:t>
            </w:r>
          </w:p>
        </w:tc>
        <w:tc>
          <w:tcPr>
            <w:tcW w:type="dxa" w:w="1928"/>
            <w:vAlign w:val="center"/>
            <w:shd w:val="clear" w:color="auto" w:fill="FDF3E3"/>
          </w:tcPr>
          <w:p>
            <w:pPr>
              <w:spacing w:after="0" w:before="0"/>
              <w:jc w:val="center"/>
            </w:pPr>
            <w:r>
              <w:rPr>
                <w:sz w:val="18"/>
              </w:rPr>
            </w:r>
            <w:r>
              <w:rPr>
                <w:sz w:val="18"/>
              </w:rPr>
              <w:t>1.4079</w:t>
            </w:r>
          </w:p>
        </w:tc>
        <w:tc>
          <w:tcPr>
            <w:tcW w:type="dxa" w:w="1247"/>
            <w:vAlign w:val="center"/>
            <w:shd w:val="clear" w:color="auto" w:fill="FDF3E3"/>
          </w:tcPr>
          <w:p>
            <w:pPr>
              <w:spacing w:after="0" w:before="0"/>
              <w:jc w:val="center"/>
            </w:pPr>
            <w:r>
              <w:rPr>
                <w:sz w:val="18"/>
              </w:rPr>
            </w:r>
            <w:r>
              <w:rPr>
                <w:sz w:val="18"/>
              </w:rPr>
              <w:t>-0.0063</w:t>
            </w:r>
          </w:p>
        </w:tc>
        <w:tc>
          <w:tcPr>
            <w:tcW w:type="dxa" w:w="1247"/>
            <w:vAlign w:val="center"/>
            <w:shd w:val="clear" w:color="auto" w:fill="FDF3E3"/>
          </w:tcPr>
          <w:p>
            <w:pPr>
              <w:spacing w:after="0" w:before="0"/>
              <w:jc w:val="center"/>
            </w:pPr>
            <w:r>
              <w:rPr>
                <w:sz w:val="18"/>
              </w:rPr>
            </w:r>
            <w:r>
              <w:rPr>
                <w:sz w:val="18"/>
              </w:rPr>
              <w:t>-3.10</w:t>
            </w:r>
          </w:p>
        </w:tc>
        <w:tc>
          <w:tcPr>
            <w:tcW w:type="dxa" w:w="2041"/>
            <w:vAlign w:val="center"/>
            <w:shd w:val="clear" w:color="auto" w:fill="FDF3E3"/>
          </w:tcPr>
          <w:p>
            <w:pPr>
              <w:spacing w:after="0" w:before="0"/>
              <w:jc w:val="center"/>
            </w:pPr>
            <w:r>
              <w:rPr>
                <w:sz w:val="18"/>
              </w:rPr>
            </w:r>
            <w:r>
              <w:rPr>
                <w:sz w:val="18"/>
              </w:rPr>
              <w:t>looks material</w:t>
            </w:r>
          </w:p>
        </w:tc>
      </w:tr>
      <w:tr>
        <w:tc>
          <w:tcPr>
            <w:tcW w:type="dxa" w:w="1928"/>
            <w:vAlign w:val="center"/>
          </w:tcPr>
          <w:p>
            <w:pPr>
              <w:spacing w:after="0" w:before="0"/>
            </w:pPr>
            <w:r>
              <w:rPr>
                <w:sz w:val="18"/>
              </w:rPr>
            </w:r>
            <w:r>
              <w:rPr>
                <w:sz w:val="18"/>
              </w:rPr>
              <w:t>F-Open</w:t>
            </w:r>
          </w:p>
        </w:tc>
        <w:tc>
          <w:tcPr>
            <w:tcW w:type="dxa" w:w="1474"/>
            <w:vAlign w:val="center"/>
          </w:tcPr>
          <w:p>
            <w:pPr>
              <w:spacing w:after="0" w:before="0"/>
              <w:jc w:val="center"/>
            </w:pPr>
            <w:r>
              <w:rPr>
                <w:sz w:val="18"/>
              </w:rPr>
            </w:r>
            <w:r>
              <w:rPr>
                <w:sz w:val="18"/>
              </w:rPr>
              <w:t>1.4081</w:t>
            </w:r>
          </w:p>
        </w:tc>
        <w:tc>
          <w:tcPr>
            <w:tcW w:type="dxa" w:w="1928"/>
            <w:vAlign w:val="center"/>
          </w:tcPr>
          <w:p>
            <w:pPr>
              <w:spacing w:after="0" w:before="0"/>
              <w:jc w:val="center"/>
            </w:pPr>
            <w:r>
              <w:rPr>
                <w:sz w:val="18"/>
              </w:rPr>
            </w:r>
            <w:r>
              <w:rPr>
                <w:sz w:val="18"/>
              </w:rPr>
              <w:t>1.4064</w:t>
            </w:r>
          </w:p>
        </w:tc>
        <w:tc>
          <w:tcPr>
            <w:tcW w:type="dxa" w:w="1247"/>
            <w:vAlign w:val="center"/>
          </w:tcPr>
          <w:p>
            <w:pPr>
              <w:spacing w:after="0" w:before="0"/>
              <w:jc w:val="center"/>
            </w:pPr>
            <w:r>
              <w:rPr>
                <w:sz w:val="18"/>
              </w:rPr>
            </w:r>
            <w:r>
              <w:rPr>
                <w:sz w:val="18"/>
              </w:rPr>
              <w:t>-0.0017</w:t>
            </w:r>
          </w:p>
        </w:tc>
        <w:tc>
          <w:tcPr>
            <w:tcW w:type="dxa" w:w="1247"/>
            <w:vAlign w:val="center"/>
          </w:tcPr>
          <w:p>
            <w:pPr>
              <w:spacing w:after="0" w:before="0"/>
              <w:jc w:val="center"/>
            </w:pPr>
            <w:r>
              <w:rPr>
                <w:sz w:val="18"/>
              </w:rPr>
            </w:r>
            <w:r>
              <w:rPr>
                <w:sz w:val="18"/>
              </w:rPr>
              <w:t>-0.82</w:t>
            </w:r>
          </w:p>
        </w:tc>
        <w:tc>
          <w:tcPr>
            <w:tcW w:type="dxa" w:w="2041"/>
            <w:vAlign w:val="center"/>
          </w:tcPr>
          <w:p>
            <w:pPr>
              <w:spacing w:after="0" w:before="0"/>
              <w:jc w:val="center"/>
            </w:pPr>
            <w:r>
              <w:rPr>
                <w:sz w:val="18"/>
              </w:rPr>
            </w:r>
            <w:r>
              <w:rPr>
                <w:sz w:val="18"/>
              </w:rPr>
              <w:t>no change</w:t>
            </w:r>
          </w:p>
        </w:tc>
      </w:tr>
      <w:tr>
        <w:tc>
          <w:tcPr>
            <w:tcW w:type="dxa" w:w="1928"/>
            <w:vAlign w:val="center"/>
          </w:tcPr>
          <w:p>
            <w:pPr>
              <w:spacing w:after="0" w:before="0"/>
            </w:pPr>
            <w:r>
              <w:rPr>
                <w:sz w:val="18"/>
              </w:rPr>
            </w:r>
            <w:r>
              <w:rPr>
                <w:sz w:val="18"/>
              </w:rPr>
              <w:t>F-Standard</w:t>
            </w:r>
          </w:p>
        </w:tc>
        <w:tc>
          <w:tcPr>
            <w:tcW w:type="dxa" w:w="1474"/>
            <w:vAlign w:val="center"/>
          </w:tcPr>
          <w:p>
            <w:pPr>
              <w:spacing w:after="0" w:before="0"/>
              <w:jc w:val="center"/>
            </w:pPr>
            <w:r>
              <w:rPr>
                <w:sz w:val="18"/>
              </w:rPr>
            </w:r>
            <w:r>
              <w:rPr>
                <w:sz w:val="18"/>
              </w:rPr>
              <w:t>1.4770</w:t>
            </w:r>
          </w:p>
        </w:tc>
        <w:tc>
          <w:tcPr>
            <w:tcW w:type="dxa" w:w="1928"/>
            <w:vAlign w:val="center"/>
          </w:tcPr>
          <w:p>
            <w:pPr>
              <w:spacing w:after="0" w:before="0"/>
              <w:jc w:val="center"/>
            </w:pPr>
            <w:r>
              <w:rPr>
                <w:sz w:val="18"/>
              </w:rPr>
            </w:r>
            <w:r>
              <w:rPr>
                <w:sz w:val="18"/>
              </w:rPr>
              <w:t>1.4784</w:t>
            </w:r>
          </w:p>
        </w:tc>
        <w:tc>
          <w:tcPr>
            <w:tcW w:type="dxa" w:w="1247"/>
            <w:vAlign w:val="center"/>
          </w:tcPr>
          <w:p>
            <w:pPr>
              <w:spacing w:after="0" w:before="0"/>
              <w:jc w:val="center"/>
            </w:pPr>
            <w:r>
              <w:rPr>
                <w:sz w:val="18"/>
              </w:rPr>
            </w:r>
            <w:r>
              <w:rPr>
                <w:sz w:val="18"/>
              </w:rPr>
              <w:t>+0.0014</w:t>
            </w:r>
          </w:p>
        </w:tc>
        <w:tc>
          <w:tcPr>
            <w:tcW w:type="dxa" w:w="1247"/>
            <w:vAlign w:val="center"/>
          </w:tcPr>
          <w:p>
            <w:pPr>
              <w:spacing w:after="0" w:before="0"/>
              <w:jc w:val="center"/>
            </w:pPr>
            <w:r>
              <w:rPr>
                <w:sz w:val="18"/>
              </w:rPr>
            </w:r>
            <w:r>
              <w:rPr>
                <w:sz w:val="18"/>
              </w:rPr>
              <w:t>+0.70</w:t>
            </w:r>
          </w:p>
        </w:tc>
        <w:tc>
          <w:tcPr>
            <w:tcW w:type="dxa" w:w="2041"/>
            <w:vAlign w:val="center"/>
          </w:tcPr>
          <w:p>
            <w:pPr>
              <w:spacing w:after="0" w:before="0"/>
              <w:jc w:val="center"/>
            </w:pPr>
            <w:r>
              <w:rPr>
                <w:sz w:val="18"/>
              </w:rPr>
            </w:r>
            <w:r>
              <w:rPr>
                <w:sz w:val="18"/>
              </w:rPr>
              <w:t>no change</w:t>
            </w:r>
          </w:p>
        </w:tc>
      </w:tr>
      <w:tr>
        <w:tc>
          <w:tcPr>
            <w:tcW w:type="dxa" w:w="1928"/>
            <w:vAlign w:val="center"/>
          </w:tcPr>
          <w:p>
            <w:pPr>
              <w:spacing w:after="0" w:before="0"/>
            </w:pPr>
            <w:r>
              <w:rPr>
                <w:sz w:val="18"/>
              </w:rPr>
            </w:r>
            <w:r>
              <w:rPr>
                <w:sz w:val="18"/>
              </w:rPr>
              <w:t>F/TR</w:t>
            </w:r>
          </w:p>
        </w:tc>
        <w:tc>
          <w:tcPr>
            <w:tcW w:type="dxa" w:w="1474"/>
            <w:vAlign w:val="center"/>
          </w:tcPr>
          <w:p>
            <w:pPr>
              <w:spacing w:after="0" w:before="0"/>
              <w:jc w:val="center"/>
            </w:pPr>
            <w:r>
              <w:rPr>
                <w:sz w:val="18"/>
              </w:rPr>
            </w:r>
            <w:r>
              <w:rPr>
                <w:sz w:val="18"/>
              </w:rPr>
              <w:t>1.4459</w:t>
            </w:r>
          </w:p>
        </w:tc>
        <w:tc>
          <w:tcPr>
            <w:tcW w:type="dxa" w:w="1928"/>
            <w:vAlign w:val="center"/>
          </w:tcPr>
          <w:p>
            <w:pPr>
              <w:spacing w:after="0" w:before="0"/>
              <w:jc w:val="center"/>
            </w:pPr>
            <w:r>
              <w:rPr>
                <w:sz w:val="18"/>
              </w:rPr>
            </w:r>
            <w:r>
              <w:rPr>
                <w:sz w:val="18"/>
              </w:rPr>
              <w:t>1.4462</w:t>
            </w:r>
          </w:p>
        </w:tc>
        <w:tc>
          <w:tcPr>
            <w:tcW w:type="dxa" w:w="1247"/>
            <w:vAlign w:val="center"/>
          </w:tcPr>
          <w:p>
            <w:pPr>
              <w:spacing w:after="0" w:before="0"/>
              <w:jc w:val="center"/>
            </w:pPr>
            <w:r>
              <w:rPr>
                <w:sz w:val="18"/>
              </w:rPr>
            </w:r>
            <w:r>
              <w:rPr>
                <w:sz w:val="18"/>
              </w:rPr>
              <w:t>+0.0003</w:t>
            </w:r>
          </w:p>
        </w:tc>
        <w:tc>
          <w:tcPr>
            <w:tcW w:type="dxa" w:w="1247"/>
            <w:vAlign w:val="center"/>
          </w:tcPr>
          <w:p>
            <w:pPr>
              <w:spacing w:after="0" w:before="0"/>
              <w:jc w:val="center"/>
            </w:pPr>
            <w:r>
              <w:rPr>
                <w:sz w:val="18"/>
              </w:rPr>
            </w:r>
            <w:r>
              <w:rPr>
                <w:sz w:val="18"/>
              </w:rPr>
              <w:t>+0.16</w:t>
            </w:r>
          </w:p>
        </w:tc>
        <w:tc>
          <w:tcPr>
            <w:tcW w:type="dxa" w:w="2041"/>
            <w:vAlign w:val="center"/>
          </w:tcPr>
          <w:p>
            <w:pPr>
              <w:spacing w:after="0" w:before="0"/>
              <w:jc w:val="center"/>
            </w:pPr>
            <w:r>
              <w:rPr>
                <w:sz w:val="18"/>
              </w:rPr>
            </w:r>
            <w:r>
              <w:rPr>
                <w:sz w:val="18"/>
              </w:rPr>
              <w:t>no change</w:t>
            </w:r>
          </w:p>
        </w:tc>
      </w:tr>
      <w:tr>
        <w:tc>
          <w:tcPr>
            <w:tcW w:type="dxa" w:w="1928"/>
            <w:vAlign w:val="center"/>
            <w:shd w:val="clear" w:color="auto" w:fill="FDF3E3"/>
          </w:tcPr>
          <w:p>
            <w:pPr>
              <w:spacing w:after="0" w:before="0"/>
            </w:pPr>
            <w:r>
              <w:rPr>
                <w:sz w:val="18"/>
              </w:rPr>
            </w:r>
            <w:r>
              <w:rPr>
                <w:sz w:val="18"/>
              </w:rPr>
              <w:t>Sporter</w:t>
            </w:r>
          </w:p>
        </w:tc>
        <w:tc>
          <w:tcPr>
            <w:tcW w:type="dxa" w:w="1474"/>
            <w:vAlign w:val="center"/>
            <w:shd w:val="clear" w:color="auto" w:fill="FDF3E3"/>
          </w:tcPr>
          <w:p>
            <w:pPr>
              <w:spacing w:after="0" w:before="0"/>
              <w:jc w:val="center"/>
            </w:pPr>
            <w:r>
              <w:rPr>
                <w:sz w:val="18"/>
              </w:rPr>
            </w:r>
            <w:r>
              <w:rPr>
                <w:sz w:val="18"/>
              </w:rPr>
              <w:t>1.3748</w:t>
            </w:r>
          </w:p>
        </w:tc>
        <w:tc>
          <w:tcPr>
            <w:tcW w:type="dxa" w:w="1928"/>
            <w:vAlign w:val="center"/>
            <w:shd w:val="clear" w:color="auto" w:fill="FDF3E3"/>
          </w:tcPr>
          <w:p>
            <w:pPr>
              <w:spacing w:after="0" w:before="0"/>
              <w:jc w:val="center"/>
            </w:pPr>
            <w:r>
              <w:rPr>
                <w:sz w:val="18"/>
              </w:rPr>
            </w:r>
            <w:r>
              <w:rPr>
                <w:sz w:val="18"/>
              </w:rPr>
              <w:t>1.3645</w:t>
            </w:r>
          </w:p>
        </w:tc>
        <w:tc>
          <w:tcPr>
            <w:tcW w:type="dxa" w:w="1247"/>
            <w:vAlign w:val="center"/>
            <w:shd w:val="clear" w:color="auto" w:fill="FDF3E3"/>
          </w:tcPr>
          <w:p>
            <w:pPr>
              <w:spacing w:after="0" w:before="0"/>
              <w:jc w:val="center"/>
            </w:pPr>
            <w:r>
              <w:rPr>
                <w:sz w:val="18"/>
              </w:rPr>
            </w:r>
            <w:r>
              <w:rPr>
                <w:sz w:val="18"/>
              </w:rPr>
              <w:t>-0.0103</w:t>
            </w:r>
          </w:p>
        </w:tc>
        <w:tc>
          <w:tcPr>
            <w:tcW w:type="dxa" w:w="1247"/>
            <w:vAlign w:val="center"/>
            <w:shd w:val="clear" w:color="auto" w:fill="FDF3E3"/>
          </w:tcPr>
          <w:p>
            <w:pPr>
              <w:spacing w:after="0" w:before="0"/>
              <w:jc w:val="center"/>
            </w:pPr>
            <w:r>
              <w:rPr>
                <w:sz w:val="18"/>
              </w:rPr>
            </w:r>
            <w:r>
              <w:rPr>
                <w:sz w:val="18"/>
              </w:rPr>
              <w:t>-5.06</w:t>
            </w:r>
          </w:p>
        </w:tc>
        <w:tc>
          <w:tcPr>
            <w:tcW w:type="dxa" w:w="2041"/>
            <w:vAlign w:val="center"/>
            <w:shd w:val="clear" w:color="auto" w:fill="FDF3E3"/>
          </w:tcPr>
          <w:p>
            <w:pPr>
              <w:spacing w:after="0" w:before="0"/>
              <w:jc w:val="center"/>
            </w:pPr>
            <w:r>
              <w:rPr>
                <w:sz w:val="18"/>
              </w:rPr>
            </w:r>
            <w:r>
              <w:rPr>
                <w:sz w:val="18"/>
              </w:rPr>
              <w:t>looks material</w:t>
            </w:r>
          </w:p>
        </w:tc>
      </w:tr>
    </w:tbl>
    <w:p>
      <w:pPr>
        <w:spacing w:after="60"/>
      </w:pPr>
    </w:p>
    <w:p>
      <w:pPr>
        <w:spacing w:after="100"/>
      </w:pPr>
      <w:r>
        <w:rPr>
          <w:sz w:val="20"/>
        </w:rPr>
        <w:t xml:space="preserve">Taken at face value that says Target Rifle and Sporter need a real change. </w:t>
      </w:r>
      <w:r>
        <w:rPr>
          <w:b/>
          <w:sz w:val="20"/>
        </w:rPr>
        <w:t>It is an artefact, and worth understanding.</w:t>
      </w:r>
    </w:p>
    <w:p>
      <w:pPr>
        <w:spacing w:before="160" w:after="40"/>
      </w:pPr>
      <w:r>
        <w:rPr>
          <w:b/>
          <w:color w:val="1F4E78"/>
          <w:sz w:val="23"/>
        </w:rPr>
        <w:t>4a. Why that table is misleading — string length</w:t>
      </w:r>
    </w:p>
    <w:p>
      <w:pPr>
        <w:spacing w:after="100"/>
      </w:pPr>
      <w:r>
        <w:rPr>
          <w:sz w:val="20"/>
        </w:rPr>
        <w:t>The calibration pools each discipline's cohort as whole-string totals. A 15-shot string scores about half as much again as a 10-shot string, so the pooled mean depends on the mix of match lengths in the data. The mix is not the same:</w:t>
      </w:r>
    </w:p>
    <w:tbl>
      <w:tblPr>
        <w:tblStyle w:val="TableGrid"/>
        <w:tblW w:type="auto" w:w="0"/>
        <w:tblLayout w:type="fixed"/>
        <w:tblLook w:firstColumn="1" w:firstRow="1" w:lastColumn="0" w:lastRow="0" w:noHBand="0" w:noVBand="1" w:val="04A0"/>
      </w:tblPr>
      <w:tblGrid>
        <w:gridCol w:w="3289"/>
        <w:gridCol w:w="3289"/>
        <w:gridCol w:w="3289"/>
      </w:tblGrid>
      <w:tr>
        <w:tc>
          <w:tcPr>
            <w:tcW w:type="dxa" w:w="3402"/>
            <w:vAlign w:val="center"/>
            <w:shd w:val="clear" w:color="auto" w:fill="EEF3F8"/>
          </w:tcPr>
          <w:p>
            <w:pPr>
              <w:spacing w:after="0" w:before="0"/>
            </w:pPr>
            <w:r>
              <w:rPr>
                <w:b/>
                <w:color w:val="1F4E78"/>
                <w:sz w:val="18"/>
              </w:rPr>
            </w:r>
            <w:r>
              <w:rPr>
                <w:b/>
                <w:color w:val="1F4E78"/>
                <w:sz w:val="18"/>
              </w:rPr>
              <w:t>Source</w:t>
            </w:r>
          </w:p>
        </w:tc>
        <w:tc>
          <w:tcPr>
            <w:tcW w:type="dxa" w:w="2551"/>
            <w:vAlign w:val="center"/>
            <w:shd w:val="clear" w:color="auto" w:fill="EEF3F8"/>
          </w:tcPr>
          <w:p>
            <w:pPr>
              <w:spacing w:after="0" w:before="0"/>
              <w:jc w:val="center"/>
            </w:pPr>
            <w:r>
              <w:rPr>
                <w:b/>
                <w:color w:val="1F4E78"/>
                <w:sz w:val="18"/>
              </w:rPr>
            </w:r>
            <w:r>
              <w:rPr>
                <w:b/>
                <w:color w:val="1F4E78"/>
                <w:sz w:val="18"/>
              </w:rPr>
              <w:t>10-shot strings</w:t>
            </w:r>
          </w:p>
        </w:tc>
        <w:tc>
          <w:tcPr>
            <w:tcW w:type="dxa" w:w="2551"/>
            <w:vAlign w:val="center"/>
            <w:shd w:val="clear" w:color="auto" w:fill="EEF3F8"/>
          </w:tcPr>
          <w:p>
            <w:pPr>
              <w:spacing w:after="0" w:before="0"/>
              <w:jc w:val="center"/>
            </w:pPr>
            <w:r>
              <w:rPr>
                <w:b/>
                <w:color w:val="1F4E78"/>
                <w:sz w:val="18"/>
              </w:rPr>
            </w:r>
            <w:r>
              <w:rPr>
                <w:b/>
                <w:color w:val="1F4E78"/>
                <w:sz w:val="18"/>
              </w:rPr>
              <w:t>15-shot strings</w:t>
            </w:r>
          </w:p>
        </w:tc>
      </w:tr>
      <w:tr>
        <w:tc>
          <w:tcPr>
            <w:tcW w:type="dxa" w:w="3402"/>
            <w:vAlign w:val="center"/>
          </w:tcPr>
          <w:p>
            <w:pPr>
              <w:spacing w:after="0" w:before="0"/>
            </w:pPr>
            <w:r>
              <w:rPr>
                <w:sz w:val="18"/>
              </w:rPr>
            </w:r>
            <w:r>
              <w:rPr>
                <w:sz w:val="18"/>
              </w:rPr>
              <w:t>National K&amp;Q pool</w:t>
            </w:r>
          </w:p>
        </w:tc>
        <w:tc>
          <w:tcPr>
            <w:tcW w:type="dxa" w:w="2551"/>
            <w:vAlign w:val="center"/>
          </w:tcPr>
          <w:p>
            <w:pPr>
              <w:spacing w:after="0" w:before="0"/>
              <w:jc w:val="center"/>
            </w:pPr>
            <w:r>
              <w:rPr>
                <w:sz w:val="18"/>
              </w:rPr>
            </w:r>
            <w:r>
              <w:rPr>
                <w:sz w:val="18"/>
              </w:rPr>
              <w:t>87%</w:t>
            </w:r>
          </w:p>
        </w:tc>
        <w:tc>
          <w:tcPr>
            <w:tcW w:type="dxa" w:w="2551"/>
            <w:vAlign w:val="center"/>
          </w:tcPr>
          <w:p>
            <w:pPr>
              <w:spacing w:after="0" w:before="0"/>
              <w:jc w:val="center"/>
            </w:pPr>
            <w:r>
              <w:rPr>
                <w:sz w:val="18"/>
              </w:rPr>
            </w:r>
            <w:r>
              <w:rPr>
                <w:sz w:val="18"/>
              </w:rPr>
              <w:t>13%</w:t>
            </w:r>
          </w:p>
        </w:tc>
      </w:tr>
      <w:tr>
        <w:tc>
          <w:tcPr>
            <w:tcW w:type="dxa" w:w="3402"/>
            <w:vAlign w:val="center"/>
          </w:tcPr>
          <w:p>
            <w:pPr>
              <w:spacing w:after="0" w:before="0"/>
            </w:pPr>
            <w:r>
              <w:rPr>
                <w:sz w:val="18"/>
              </w:rPr>
            </w:r>
            <w:r>
              <w:rPr>
                <w:sz w:val="18"/>
              </w:rPr>
              <w:t>NSWRA 2026</w:t>
            </w:r>
          </w:p>
        </w:tc>
        <w:tc>
          <w:tcPr>
            <w:tcW w:type="dxa" w:w="2551"/>
            <w:vAlign w:val="center"/>
          </w:tcPr>
          <w:p>
            <w:pPr>
              <w:spacing w:after="0" w:before="0"/>
              <w:jc w:val="center"/>
            </w:pPr>
            <w:r>
              <w:rPr>
                <w:sz w:val="18"/>
              </w:rPr>
            </w:r>
            <w:r>
              <w:rPr>
                <w:sz w:val="18"/>
              </w:rPr>
              <w:t>50%</w:t>
            </w:r>
          </w:p>
        </w:tc>
        <w:tc>
          <w:tcPr>
            <w:tcW w:type="dxa" w:w="2551"/>
            <w:vAlign w:val="center"/>
          </w:tcPr>
          <w:p>
            <w:pPr>
              <w:spacing w:after="0" w:before="0"/>
              <w:jc w:val="center"/>
            </w:pPr>
            <w:r>
              <w:rPr>
                <w:sz w:val="18"/>
              </w:rPr>
            </w:r>
            <w:r>
              <w:rPr>
                <w:sz w:val="18"/>
              </w:rPr>
              <w:t>50%</w:t>
            </w:r>
          </w:p>
        </w:tc>
      </w:tr>
      <w:tr>
        <w:tc>
          <w:tcPr>
            <w:tcW w:type="dxa" w:w="3402"/>
            <w:vAlign w:val="center"/>
          </w:tcPr>
          <w:p>
            <w:pPr>
              <w:spacing w:after="0" w:before="0"/>
            </w:pPr>
            <w:r>
              <w:rPr>
                <w:sz w:val="18"/>
              </w:rPr>
            </w:r>
            <w:r>
              <w:rPr>
                <w:sz w:val="18"/>
              </w:rPr>
              <w:t>QRA Kings 2026</w:t>
            </w:r>
          </w:p>
        </w:tc>
        <w:tc>
          <w:tcPr>
            <w:tcW w:type="dxa" w:w="2551"/>
            <w:vAlign w:val="center"/>
          </w:tcPr>
          <w:p>
            <w:pPr>
              <w:spacing w:after="0" w:before="0"/>
              <w:jc w:val="center"/>
            </w:pPr>
            <w:r>
              <w:rPr>
                <w:sz w:val="18"/>
              </w:rPr>
            </w:r>
            <w:r>
              <w:rPr>
                <w:sz w:val="18"/>
              </w:rPr>
              <w:t>78%</w:t>
            </w:r>
          </w:p>
        </w:tc>
        <w:tc>
          <w:tcPr>
            <w:tcW w:type="dxa" w:w="2551"/>
            <w:vAlign w:val="center"/>
          </w:tcPr>
          <w:p>
            <w:pPr>
              <w:spacing w:after="0" w:before="0"/>
              <w:jc w:val="center"/>
            </w:pPr>
            <w:r>
              <w:rPr>
                <w:sz w:val="18"/>
              </w:rPr>
            </w:r>
            <w:r>
              <w:rPr>
                <w:sz w:val="18"/>
              </w:rPr>
              <w:t>22%</w:t>
            </w:r>
          </w:p>
        </w:tc>
      </w:tr>
    </w:tbl>
    <w:p>
      <w:pPr>
        <w:spacing w:after="60"/>
      </w:pPr>
    </w:p>
    <w:p>
      <w:pPr>
        <w:spacing w:after="100"/>
      </w:pPr>
      <w:r>
        <w:rPr>
          <w:sz w:val="20"/>
        </w:rPr>
        <w:t xml:space="preserve">NSWRA 2026 is half 15-shot matches against 13% in the archive. That alone lifts the pooled mean of </w:t>
      </w:r>
      <w:r>
        <w:rPr>
          <w:i/>
          <w:sz w:val="20"/>
        </w:rPr>
        <w:t>every</w:t>
      </w:r>
      <w:r>
        <w:rPr>
          <w:sz w:val="20"/>
        </w:rPr>
        <w:t xml:space="preserve"> discipline — the new events' cohort means come out about 7 points above the archive across the board, which is a match-format difference, not a shooting difference. Dividing each string's merit by its shot count before pooling makes the comparison like-for-like:</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c>
          <w:tcPr>
            <w:tcW w:type="dxa" w:w="1928"/>
            <w:vAlign w:val="center"/>
            <w:shd w:val="clear" w:color="auto" w:fill="EEF3F8"/>
          </w:tcPr>
          <w:p>
            <w:pPr>
              <w:spacing w:after="0" w:before="0"/>
            </w:pPr>
            <w:r>
              <w:rPr>
                <w:b/>
                <w:color w:val="1F4E78"/>
                <w:sz w:val="18"/>
              </w:rPr>
            </w:r>
            <w:r>
              <w:rPr>
                <w:b/>
                <w:color w:val="1F4E78"/>
                <w:sz w:val="18"/>
              </w:rPr>
              <w:t>Discipline</w:t>
            </w:r>
          </w:p>
        </w:tc>
        <w:tc>
          <w:tcPr>
            <w:tcW w:type="dxa" w:w="1474"/>
            <w:vAlign w:val="center"/>
            <w:shd w:val="clear" w:color="auto" w:fill="EEF3F8"/>
          </w:tcPr>
          <w:p>
            <w:pPr>
              <w:spacing w:after="0" w:before="0"/>
              <w:jc w:val="center"/>
            </w:pPr>
            <w:r>
              <w:rPr>
                <w:b/>
                <w:color w:val="1F4E78"/>
                <w:sz w:val="18"/>
              </w:rPr>
            </w:r>
            <w:r>
              <w:rPr>
                <w:b/>
                <w:color w:val="1F4E78"/>
                <w:sz w:val="18"/>
              </w:rPr>
              <w:t>Pool only</w:t>
            </w:r>
          </w:p>
        </w:tc>
        <w:tc>
          <w:tcPr>
            <w:tcW w:type="dxa" w:w="1928"/>
            <w:vAlign w:val="center"/>
            <w:shd w:val="clear" w:color="auto" w:fill="EEF3F8"/>
          </w:tcPr>
          <w:p>
            <w:pPr>
              <w:spacing w:after="0" w:before="0"/>
              <w:jc w:val="center"/>
            </w:pPr>
            <w:r>
              <w:rPr>
                <w:b/>
                <w:color w:val="1F4E78"/>
                <w:sz w:val="18"/>
              </w:rPr>
            </w:r>
            <w:r>
              <w:rPr>
                <w:b/>
                <w:color w:val="1F4E78"/>
                <w:sz w:val="18"/>
              </w:rPr>
              <w:t>Pool + both events</w:t>
            </w:r>
          </w:p>
        </w:tc>
        <w:tc>
          <w:tcPr>
            <w:tcW w:type="dxa" w:w="1247"/>
            <w:vAlign w:val="center"/>
            <w:shd w:val="clear" w:color="auto" w:fill="EEF3F8"/>
          </w:tcPr>
          <w:p>
            <w:pPr>
              <w:spacing w:after="0" w:before="0"/>
              <w:jc w:val="center"/>
            </w:pPr>
            <w:r>
              <w:rPr>
                <w:b/>
                <w:color w:val="1F4E78"/>
                <w:sz w:val="18"/>
              </w:rPr>
            </w:r>
            <w:r>
              <w:rPr>
                <w:b/>
                <w:color w:val="1F4E78"/>
                <w:sz w:val="18"/>
              </w:rPr>
              <w:t>Move</w:t>
            </w:r>
          </w:p>
        </w:tc>
        <w:tc>
          <w:tcPr>
            <w:tcW w:type="dxa" w:w="1247"/>
            <w:vAlign w:val="center"/>
            <w:shd w:val="clear" w:color="auto" w:fill="EEF3F8"/>
          </w:tcPr>
          <w:p>
            <w:pPr>
              <w:spacing w:after="0" w:before="0"/>
              <w:jc w:val="center"/>
            </w:pPr>
            <w:r>
              <w:rPr>
                <w:b/>
                <w:color w:val="1F4E78"/>
                <w:sz w:val="18"/>
              </w:rPr>
            </w:r>
            <w:r>
              <w:rPr>
                <w:b/>
                <w:color w:val="1F4E78"/>
                <w:sz w:val="18"/>
              </w:rPr>
              <w:t>MCSI pts</w:t>
            </w:r>
          </w:p>
        </w:tc>
        <w:tc>
          <w:tcPr>
            <w:tcW w:type="dxa" w:w="2041"/>
            <w:vAlign w:val="center"/>
            <w:shd w:val="clear" w:color="auto" w:fill="EEF3F8"/>
          </w:tcPr>
          <w:p>
            <w:pPr>
              <w:spacing w:after="0" w:before="0"/>
              <w:jc w:val="center"/>
            </w:pPr>
            <w:r>
              <w:rPr>
                <w:b/>
                <w:color w:val="1F4E78"/>
                <w:sz w:val="18"/>
              </w:rPr>
            </w:r>
            <w:r>
              <w:rPr>
                <w:b/>
                <w:color w:val="1F4E78"/>
                <w:sz w:val="18"/>
              </w:rPr>
              <w:t>Verdict</w:t>
            </w:r>
          </w:p>
        </w:tc>
      </w:tr>
      <w:tr>
        <w:tc>
          <w:tcPr>
            <w:tcW w:type="dxa" w:w="1928"/>
            <w:vAlign w:val="center"/>
          </w:tcPr>
          <w:p>
            <w:pPr>
              <w:spacing w:after="0" w:before="0"/>
            </w:pPr>
            <w:r>
              <w:rPr>
                <w:sz w:val="18"/>
              </w:rPr>
            </w:r>
            <w:r>
              <w:rPr>
                <w:sz w:val="18"/>
              </w:rPr>
              <w:t>Target Rifle</w:t>
            </w:r>
          </w:p>
        </w:tc>
        <w:tc>
          <w:tcPr>
            <w:tcW w:type="dxa" w:w="1474"/>
            <w:vAlign w:val="center"/>
          </w:tcPr>
          <w:p>
            <w:pPr>
              <w:spacing w:after="0" w:before="0"/>
              <w:jc w:val="center"/>
            </w:pPr>
            <w:r>
              <w:rPr>
                <w:sz w:val="18"/>
              </w:rPr>
            </w:r>
            <w:r>
              <w:rPr>
                <w:sz w:val="18"/>
              </w:rPr>
              <w:t>1.4164</w:t>
            </w:r>
          </w:p>
        </w:tc>
        <w:tc>
          <w:tcPr>
            <w:tcW w:type="dxa" w:w="1928"/>
            <w:vAlign w:val="center"/>
          </w:tcPr>
          <w:p>
            <w:pPr>
              <w:spacing w:after="0" w:before="0"/>
              <w:jc w:val="center"/>
            </w:pPr>
            <w:r>
              <w:rPr>
                <w:sz w:val="18"/>
              </w:rPr>
            </w:r>
            <w:r>
              <w:rPr>
                <w:sz w:val="18"/>
              </w:rPr>
              <w:t>1.4179</w:t>
            </w:r>
          </w:p>
        </w:tc>
        <w:tc>
          <w:tcPr>
            <w:tcW w:type="dxa" w:w="1247"/>
            <w:vAlign w:val="center"/>
          </w:tcPr>
          <w:p>
            <w:pPr>
              <w:spacing w:after="0" w:before="0"/>
              <w:jc w:val="center"/>
            </w:pPr>
            <w:r>
              <w:rPr>
                <w:sz w:val="18"/>
              </w:rPr>
            </w:r>
            <w:r>
              <w:rPr>
                <w:sz w:val="18"/>
              </w:rPr>
              <w:t>+0.0015</w:t>
            </w:r>
          </w:p>
        </w:tc>
        <w:tc>
          <w:tcPr>
            <w:tcW w:type="dxa" w:w="1247"/>
            <w:vAlign w:val="center"/>
          </w:tcPr>
          <w:p>
            <w:pPr>
              <w:spacing w:after="0" w:before="0"/>
              <w:jc w:val="center"/>
            </w:pPr>
            <w:r>
              <w:rPr>
                <w:sz w:val="18"/>
              </w:rPr>
            </w:r>
            <w:r>
              <w:rPr>
                <w:sz w:val="18"/>
              </w:rPr>
              <w:t>+0.76</w:t>
            </w:r>
          </w:p>
        </w:tc>
        <w:tc>
          <w:tcPr>
            <w:tcW w:type="dxa" w:w="2041"/>
            <w:vAlign w:val="center"/>
          </w:tcPr>
          <w:p>
            <w:pPr>
              <w:spacing w:after="0" w:before="0"/>
              <w:jc w:val="center"/>
            </w:pPr>
            <w:r>
              <w:rPr>
                <w:sz w:val="18"/>
              </w:rPr>
            </w:r>
            <w:r>
              <w:rPr>
                <w:sz w:val="18"/>
              </w:rPr>
              <w:t>no change</w:t>
            </w:r>
          </w:p>
        </w:tc>
      </w:tr>
      <w:tr>
        <w:tc>
          <w:tcPr>
            <w:tcW w:type="dxa" w:w="1928"/>
            <w:vAlign w:val="center"/>
          </w:tcPr>
          <w:p>
            <w:pPr>
              <w:spacing w:after="0" w:before="0"/>
            </w:pPr>
            <w:r>
              <w:rPr>
                <w:sz w:val="18"/>
              </w:rPr>
            </w:r>
            <w:r>
              <w:rPr>
                <w:sz w:val="18"/>
              </w:rPr>
              <w:t>F-Open</w:t>
            </w:r>
          </w:p>
        </w:tc>
        <w:tc>
          <w:tcPr>
            <w:tcW w:type="dxa" w:w="1474"/>
            <w:vAlign w:val="center"/>
          </w:tcPr>
          <w:p>
            <w:pPr>
              <w:spacing w:after="0" w:before="0"/>
              <w:jc w:val="center"/>
            </w:pPr>
            <w:r>
              <w:rPr>
                <w:sz w:val="18"/>
              </w:rPr>
            </w:r>
            <w:r>
              <w:rPr>
                <w:sz w:val="18"/>
              </w:rPr>
              <w:t>1.4167</w:t>
            </w:r>
          </w:p>
        </w:tc>
        <w:tc>
          <w:tcPr>
            <w:tcW w:type="dxa" w:w="1928"/>
            <w:vAlign w:val="center"/>
          </w:tcPr>
          <w:p>
            <w:pPr>
              <w:spacing w:after="0" w:before="0"/>
              <w:jc w:val="center"/>
            </w:pPr>
            <w:r>
              <w:rPr>
                <w:sz w:val="18"/>
              </w:rPr>
            </w:r>
            <w:r>
              <w:rPr>
                <w:sz w:val="18"/>
              </w:rPr>
              <w:t>1.4164</w:t>
            </w:r>
          </w:p>
        </w:tc>
        <w:tc>
          <w:tcPr>
            <w:tcW w:type="dxa" w:w="1247"/>
            <w:vAlign w:val="center"/>
          </w:tcPr>
          <w:p>
            <w:pPr>
              <w:spacing w:after="0" w:before="0"/>
              <w:jc w:val="center"/>
            </w:pPr>
            <w:r>
              <w:rPr>
                <w:sz w:val="18"/>
              </w:rPr>
            </w:r>
            <w:r>
              <w:rPr>
                <w:sz w:val="18"/>
              </w:rPr>
              <w:t>-0.0003</w:t>
            </w:r>
          </w:p>
        </w:tc>
        <w:tc>
          <w:tcPr>
            <w:tcW w:type="dxa" w:w="1247"/>
            <w:vAlign w:val="center"/>
          </w:tcPr>
          <w:p>
            <w:pPr>
              <w:spacing w:after="0" w:before="0"/>
              <w:jc w:val="center"/>
            </w:pPr>
            <w:r>
              <w:rPr>
                <w:sz w:val="18"/>
              </w:rPr>
            </w:r>
            <w:r>
              <w:rPr>
                <w:sz w:val="18"/>
              </w:rPr>
              <w:t>-0.16</w:t>
            </w:r>
          </w:p>
        </w:tc>
        <w:tc>
          <w:tcPr>
            <w:tcW w:type="dxa" w:w="2041"/>
            <w:vAlign w:val="center"/>
          </w:tcPr>
          <w:p>
            <w:pPr>
              <w:spacing w:after="0" w:before="0"/>
              <w:jc w:val="center"/>
            </w:pPr>
            <w:r>
              <w:rPr>
                <w:sz w:val="18"/>
              </w:rPr>
            </w:r>
            <w:r>
              <w:rPr>
                <w:sz w:val="18"/>
              </w:rPr>
              <w:t>no change</w:t>
            </w:r>
          </w:p>
        </w:tc>
      </w:tr>
      <w:tr>
        <w:tc>
          <w:tcPr>
            <w:tcW w:type="dxa" w:w="1928"/>
            <w:vAlign w:val="center"/>
          </w:tcPr>
          <w:p>
            <w:pPr>
              <w:spacing w:after="0" w:before="0"/>
            </w:pPr>
            <w:r>
              <w:rPr>
                <w:sz w:val="18"/>
              </w:rPr>
            </w:r>
            <w:r>
              <w:rPr>
                <w:sz w:val="18"/>
              </w:rPr>
              <w:t>F-Standard</w:t>
            </w:r>
          </w:p>
        </w:tc>
        <w:tc>
          <w:tcPr>
            <w:tcW w:type="dxa" w:w="1474"/>
            <w:vAlign w:val="center"/>
          </w:tcPr>
          <w:p>
            <w:pPr>
              <w:spacing w:after="0" w:before="0"/>
              <w:jc w:val="center"/>
            </w:pPr>
            <w:r>
              <w:rPr>
                <w:sz w:val="18"/>
              </w:rPr>
            </w:r>
            <w:r>
              <w:rPr>
                <w:sz w:val="18"/>
              </w:rPr>
              <w:t>1.4601</w:t>
            </w:r>
          </w:p>
        </w:tc>
        <w:tc>
          <w:tcPr>
            <w:tcW w:type="dxa" w:w="1928"/>
            <w:vAlign w:val="center"/>
          </w:tcPr>
          <w:p>
            <w:pPr>
              <w:spacing w:after="0" w:before="0"/>
              <w:jc w:val="center"/>
            </w:pPr>
            <w:r>
              <w:rPr>
                <w:sz w:val="18"/>
              </w:rPr>
            </w:r>
            <w:r>
              <w:rPr>
                <w:sz w:val="18"/>
              </w:rPr>
              <w:t>1.4598</w:t>
            </w:r>
          </w:p>
        </w:tc>
        <w:tc>
          <w:tcPr>
            <w:tcW w:type="dxa" w:w="1247"/>
            <w:vAlign w:val="center"/>
          </w:tcPr>
          <w:p>
            <w:pPr>
              <w:spacing w:after="0" w:before="0"/>
              <w:jc w:val="center"/>
            </w:pPr>
            <w:r>
              <w:rPr>
                <w:sz w:val="18"/>
              </w:rPr>
            </w:r>
            <w:r>
              <w:rPr>
                <w:sz w:val="18"/>
              </w:rPr>
              <w:t>-0.0003</w:t>
            </w:r>
          </w:p>
        </w:tc>
        <w:tc>
          <w:tcPr>
            <w:tcW w:type="dxa" w:w="1247"/>
            <w:vAlign w:val="center"/>
          </w:tcPr>
          <w:p>
            <w:pPr>
              <w:spacing w:after="0" w:before="0"/>
              <w:jc w:val="center"/>
            </w:pPr>
            <w:r>
              <w:rPr>
                <w:sz w:val="18"/>
              </w:rPr>
            </w:r>
            <w:r>
              <w:rPr>
                <w:sz w:val="18"/>
              </w:rPr>
              <w:t>-0.14</w:t>
            </w:r>
          </w:p>
        </w:tc>
        <w:tc>
          <w:tcPr>
            <w:tcW w:type="dxa" w:w="2041"/>
            <w:vAlign w:val="center"/>
          </w:tcPr>
          <w:p>
            <w:pPr>
              <w:spacing w:after="0" w:before="0"/>
              <w:jc w:val="center"/>
            </w:pPr>
            <w:r>
              <w:rPr>
                <w:sz w:val="18"/>
              </w:rPr>
            </w:r>
            <w:r>
              <w:rPr>
                <w:sz w:val="18"/>
              </w:rPr>
              <w:t>no change</w:t>
            </w:r>
          </w:p>
        </w:tc>
      </w:tr>
      <w:tr>
        <w:tc>
          <w:tcPr>
            <w:tcW w:type="dxa" w:w="1928"/>
            <w:vAlign w:val="center"/>
          </w:tcPr>
          <w:p>
            <w:pPr>
              <w:spacing w:after="0" w:before="0"/>
            </w:pPr>
            <w:r>
              <w:rPr>
                <w:sz w:val="18"/>
              </w:rPr>
            </w:r>
            <w:r>
              <w:rPr>
                <w:sz w:val="18"/>
              </w:rPr>
              <w:t>F/TR</w:t>
            </w:r>
          </w:p>
        </w:tc>
        <w:tc>
          <w:tcPr>
            <w:tcW w:type="dxa" w:w="1474"/>
            <w:vAlign w:val="center"/>
          </w:tcPr>
          <w:p>
            <w:pPr>
              <w:spacing w:after="0" w:before="0"/>
              <w:jc w:val="center"/>
            </w:pPr>
            <w:r>
              <w:rPr>
                <w:sz w:val="18"/>
              </w:rPr>
            </w:r>
            <w:r>
              <w:rPr>
                <w:sz w:val="18"/>
              </w:rPr>
              <w:t>1.4539</w:t>
            </w:r>
          </w:p>
        </w:tc>
        <w:tc>
          <w:tcPr>
            <w:tcW w:type="dxa" w:w="1928"/>
            <w:vAlign w:val="center"/>
          </w:tcPr>
          <w:p>
            <w:pPr>
              <w:spacing w:after="0" w:before="0"/>
              <w:jc w:val="center"/>
            </w:pPr>
            <w:r>
              <w:rPr>
                <w:sz w:val="18"/>
              </w:rPr>
            </w:r>
            <w:r>
              <w:rPr>
                <w:sz w:val="18"/>
              </w:rPr>
              <w:t>1.4545</w:t>
            </w:r>
          </w:p>
        </w:tc>
        <w:tc>
          <w:tcPr>
            <w:tcW w:type="dxa" w:w="1247"/>
            <w:vAlign w:val="center"/>
          </w:tcPr>
          <w:p>
            <w:pPr>
              <w:spacing w:after="0" w:before="0"/>
              <w:jc w:val="center"/>
            </w:pPr>
            <w:r>
              <w:rPr>
                <w:sz w:val="18"/>
              </w:rPr>
            </w:r>
            <w:r>
              <w:rPr>
                <w:sz w:val="18"/>
              </w:rPr>
              <w:t>+0.0006</w:t>
            </w:r>
          </w:p>
        </w:tc>
        <w:tc>
          <w:tcPr>
            <w:tcW w:type="dxa" w:w="1247"/>
            <w:vAlign w:val="center"/>
          </w:tcPr>
          <w:p>
            <w:pPr>
              <w:spacing w:after="0" w:before="0"/>
              <w:jc w:val="center"/>
            </w:pPr>
            <w:r>
              <w:rPr>
                <w:sz w:val="18"/>
              </w:rPr>
            </w:r>
            <w:r>
              <w:rPr>
                <w:sz w:val="18"/>
              </w:rPr>
              <w:t>+0.30</w:t>
            </w:r>
          </w:p>
        </w:tc>
        <w:tc>
          <w:tcPr>
            <w:tcW w:type="dxa" w:w="2041"/>
            <w:vAlign w:val="center"/>
          </w:tcPr>
          <w:p>
            <w:pPr>
              <w:spacing w:after="0" w:before="0"/>
              <w:jc w:val="center"/>
            </w:pPr>
            <w:r>
              <w:rPr>
                <w:sz w:val="18"/>
              </w:rPr>
            </w:r>
            <w:r>
              <w:rPr>
                <w:sz w:val="18"/>
              </w:rPr>
              <w:t>no change</w:t>
            </w:r>
          </w:p>
        </w:tc>
      </w:tr>
      <w:tr>
        <w:tc>
          <w:tcPr>
            <w:tcW w:type="dxa" w:w="1928"/>
            <w:vAlign w:val="center"/>
          </w:tcPr>
          <w:p>
            <w:pPr>
              <w:spacing w:after="0" w:before="0"/>
            </w:pPr>
            <w:r>
              <w:rPr>
                <w:sz w:val="18"/>
              </w:rPr>
            </w:r>
            <w:r>
              <w:rPr>
                <w:sz w:val="18"/>
              </w:rPr>
              <w:t>Sporter</w:t>
            </w:r>
          </w:p>
        </w:tc>
        <w:tc>
          <w:tcPr>
            <w:tcW w:type="dxa" w:w="1474"/>
            <w:vAlign w:val="center"/>
          </w:tcPr>
          <w:p>
            <w:pPr>
              <w:spacing w:after="0" w:before="0"/>
              <w:jc w:val="center"/>
            </w:pPr>
            <w:r>
              <w:rPr>
                <w:sz w:val="18"/>
              </w:rPr>
            </w:r>
            <w:r>
              <w:rPr>
                <w:sz w:val="18"/>
              </w:rPr>
              <w:t>1.3889</w:t>
            </w:r>
          </w:p>
        </w:tc>
        <w:tc>
          <w:tcPr>
            <w:tcW w:type="dxa" w:w="1928"/>
            <w:vAlign w:val="center"/>
          </w:tcPr>
          <w:p>
            <w:pPr>
              <w:spacing w:after="0" w:before="0"/>
              <w:jc w:val="center"/>
            </w:pPr>
            <w:r>
              <w:rPr>
                <w:sz w:val="18"/>
              </w:rPr>
            </w:r>
            <w:r>
              <w:rPr>
                <w:sz w:val="18"/>
              </w:rPr>
              <w:t>1.3866</w:t>
            </w:r>
          </w:p>
        </w:tc>
        <w:tc>
          <w:tcPr>
            <w:tcW w:type="dxa" w:w="1247"/>
            <w:vAlign w:val="center"/>
          </w:tcPr>
          <w:p>
            <w:pPr>
              <w:spacing w:after="0" w:before="0"/>
              <w:jc w:val="center"/>
            </w:pPr>
            <w:r>
              <w:rPr>
                <w:sz w:val="18"/>
              </w:rPr>
            </w:r>
            <w:r>
              <w:rPr>
                <w:sz w:val="18"/>
              </w:rPr>
              <w:t>-0.0023</w:t>
            </w:r>
          </w:p>
        </w:tc>
        <w:tc>
          <w:tcPr>
            <w:tcW w:type="dxa" w:w="1247"/>
            <w:vAlign w:val="center"/>
          </w:tcPr>
          <w:p>
            <w:pPr>
              <w:spacing w:after="0" w:before="0"/>
              <w:jc w:val="center"/>
            </w:pPr>
            <w:r>
              <w:rPr>
                <w:sz w:val="18"/>
              </w:rPr>
            </w:r>
            <w:r>
              <w:rPr>
                <w:sz w:val="18"/>
              </w:rPr>
              <w:t>-1.11</w:t>
            </w:r>
          </w:p>
        </w:tc>
        <w:tc>
          <w:tcPr>
            <w:tcW w:type="dxa" w:w="2041"/>
            <w:vAlign w:val="center"/>
          </w:tcPr>
          <w:p>
            <w:pPr>
              <w:spacing w:after="0" w:before="0"/>
              <w:jc w:val="center"/>
            </w:pPr>
            <w:r>
              <w:rPr>
                <w:sz w:val="18"/>
              </w:rPr>
            </w:r>
            <w:r>
              <w:rPr>
                <w:sz w:val="18"/>
              </w:rPr>
              <w:t>watch</w:t>
            </w:r>
          </w:p>
        </w:tc>
      </w:tr>
    </w:tbl>
    <w:p>
      <w:pPr>
        <w:spacing w:after="60"/>
      </w:pPr>
    </w:p>
    <w:tbl>
      <w:tblPr>
        <w:tblStyle w:val="TableGrid"/>
        <w:tblW w:type="auto" w:w="0"/>
        <w:tblLayout w:type="fixed"/>
        <w:tblLook w:firstColumn="1" w:firstRow="1" w:lastColumn="0" w:lastRow="0" w:noHBand="0" w:noVBand="1" w:val="04A0"/>
      </w:tblPr>
      <w:tblGrid>
        <w:gridCol w:w="2466"/>
        <w:gridCol w:w="2466"/>
        <w:gridCol w:w="2466"/>
        <w:gridCol w:w="2466"/>
      </w:tblGrid>
      <w:tr>
        <w:tc>
          <w:tcPr>
            <w:tcW w:type="dxa" w:w="2551"/>
            <w:vAlign w:val="center"/>
            <w:shd w:val="clear" w:color="auto" w:fill="EEF3F8"/>
          </w:tcPr>
          <w:p>
            <w:pPr>
              <w:spacing w:after="0" w:before="0"/>
            </w:pPr>
            <w:r>
              <w:rPr>
                <w:b/>
                <w:color w:val="1F4E78"/>
                <w:sz w:val="18"/>
              </w:rPr>
            </w:r>
            <w:r>
              <w:rPr>
                <w:b/>
                <w:color w:val="1F4E78"/>
                <w:sz w:val="18"/>
              </w:rPr>
              <w:t>Discipline</w:t>
            </w:r>
          </w:p>
        </w:tc>
        <w:tc>
          <w:tcPr>
            <w:tcW w:type="dxa" w:w="2438"/>
            <w:vAlign w:val="center"/>
            <w:shd w:val="clear" w:color="auto" w:fill="EEF3F8"/>
          </w:tcPr>
          <w:p>
            <w:pPr>
              <w:spacing w:after="0" w:before="0"/>
              <w:jc w:val="center"/>
            </w:pPr>
            <w:r>
              <w:rPr>
                <w:b/>
                <w:color w:val="1F4E78"/>
                <w:sz w:val="18"/>
              </w:rPr>
            </w:r>
            <w:r>
              <w:rPr>
                <w:b/>
                <w:color w:val="1F4E78"/>
                <w:sz w:val="18"/>
              </w:rPr>
              <w:t>Move, whole-string</w:t>
            </w:r>
          </w:p>
        </w:tc>
        <w:tc>
          <w:tcPr>
            <w:tcW w:type="dxa" w:w="2438"/>
            <w:vAlign w:val="center"/>
            <w:shd w:val="clear" w:color="auto" w:fill="EEF3F8"/>
          </w:tcPr>
          <w:p>
            <w:pPr>
              <w:spacing w:after="0" w:before="0"/>
              <w:jc w:val="center"/>
            </w:pPr>
            <w:r>
              <w:rPr>
                <w:b/>
                <w:color w:val="1F4E78"/>
                <w:sz w:val="18"/>
              </w:rPr>
            </w:r>
            <w:r>
              <w:rPr>
                <w:b/>
                <w:color w:val="1F4E78"/>
                <w:sz w:val="18"/>
              </w:rPr>
              <w:t>Move, per-shot</w:t>
            </w:r>
          </w:p>
        </w:tc>
        <w:tc>
          <w:tcPr>
            <w:tcW w:type="dxa" w:w="2438"/>
            <w:vAlign w:val="center"/>
            <w:shd w:val="clear" w:color="auto" w:fill="EEF3F8"/>
          </w:tcPr>
          <w:p>
            <w:pPr>
              <w:spacing w:after="0" w:before="0"/>
              <w:jc w:val="center"/>
            </w:pPr>
            <w:r>
              <w:rPr>
                <w:b/>
                <w:color w:val="1F4E78"/>
                <w:sz w:val="18"/>
              </w:rPr>
            </w:r>
            <w:r>
              <w:rPr>
                <w:b/>
                <w:color w:val="1F4E78"/>
                <w:sz w:val="18"/>
              </w:rPr>
              <w:t>Artefact share</w:t>
            </w:r>
          </w:p>
        </w:tc>
      </w:tr>
      <w:tr>
        <w:tc>
          <w:tcPr>
            <w:tcW w:type="dxa" w:w="2551"/>
            <w:vAlign w:val="center"/>
          </w:tcPr>
          <w:p>
            <w:pPr>
              <w:spacing w:after="0" w:before="0"/>
            </w:pPr>
            <w:r>
              <w:rPr>
                <w:sz w:val="18"/>
              </w:rPr>
            </w:r>
            <w:r>
              <w:rPr>
                <w:sz w:val="18"/>
              </w:rPr>
              <w:t>Target Rifle</w:t>
            </w:r>
          </w:p>
        </w:tc>
        <w:tc>
          <w:tcPr>
            <w:tcW w:type="dxa" w:w="2438"/>
            <w:vAlign w:val="center"/>
          </w:tcPr>
          <w:p>
            <w:pPr>
              <w:spacing w:after="0" w:before="0"/>
              <w:jc w:val="center"/>
            </w:pPr>
            <w:r>
              <w:rPr>
                <w:sz w:val="18"/>
              </w:rPr>
            </w:r>
            <w:r>
              <w:rPr>
                <w:sz w:val="18"/>
              </w:rPr>
              <w:t>-0.0063</w:t>
            </w:r>
          </w:p>
        </w:tc>
        <w:tc>
          <w:tcPr>
            <w:tcW w:type="dxa" w:w="2438"/>
            <w:vAlign w:val="center"/>
          </w:tcPr>
          <w:p>
            <w:pPr>
              <w:spacing w:after="0" w:before="0"/>
              <w:jc w:val="center"/>
            </w:pPr>
            <w:r>
              <w:rPr>
                <w:sz w:val="18"/>
              </w:rPr>
            </w:r>
            <w:r>
              <w:rPr>
                <w:sz w:val="18"/>
              </w:rPr>
              <w:t>+0.0015</w:t>
            </w:r>
          </w:p>
        </w:tc>
        <w:tc>
          <w:tcPr>
            <w:tcW w:type="dxa" w:w="2438"/>
            <w:vAlign w:val="center"/>
          </w:tcPr>
          <w:p>
            <w:pPr>
              <w:spacing w:after="0" w:before="0"/>
              <w:jc w:val="center"/>
            </w:pPr>
            <w:r>
              <w:rPr>
                <w:sz w:val="18"/>
              </w:rPr>
            </w:r>
            <w:r>
              <w:rPr>
                <w:sz w:val="18"/>
              </w:rPr>
              <w:t>76%</w:t>
            </w:r>
          </w:p>
        </w:tc>
      </w:tr>
      <w:tr>
        <w:tc>
          <w:tcPr>
            <w:tcW w:type="dxa" w:w="2551"/>
            <w:vAlign w:val="center"/>
          </w:tcPr>
          <w:p>
            <w:pPr>
              <w:spacing w:after="0" w:before="0"/>
            </w:pPr>
            <w:r>
              <w:rPr>
                <w:sz w:val="18"/>
              </w:rPr>
            </w:r>
            <w:r>
              <w:rPr>
                <w:sz w:val="18"/>
              </w:rPr>
              <w:t>F-Open</w:t>
            </w:r>
          </w:p>
        </w:tc>
        <w:tc>
          <w:tcPr>
            <w:tcW w:type="dxa" w:w="2438"/>
            <w:vAlign w:val="center"/>
          </w:tcPr>
          <w:p>
            <w:pPr>
              <w:spacing w:after="0" w:before="0"/>
              <w:jc w:val="center"/>
            </w:pPr>
            <w:r>
              <w:rPr>
                <w:sz w:val="18"/>
              </w:rPr>
            </w:r>
            <w:r>
              <w:rPr>
                <w:sz w:val="18"/>
              </w:rPr>
              <w:t>-0.0017</w:t>
            </w:r>
          </w:p>
        </w:tc>
        <w:tc>
          <w:tcPr>
            <w:tcW w:type="dxa" w:w="2438"/>
            <w:vAlign w:val="center"/>
          </w:tcPr>
          <w:p>
            <w:pPr>
              <w:spacing w:after="0" w:before="0"/>
              <w:jc w:val="center"/>
            </w:pPr>
            <w:r>
              <w:rPr>
                <w:sz w:val="18"/>
              </w:rPr>
            </w:r>
            <w:r>
              <w:rPr>
                <w:sz w:val="18"/>
              </w:rPr>
              <w:t>-0.0003</w:t>
            </w:r>
          </w:p>
        </w:tc>
        <w:tc>
          <w:tcPr>
            <w:tcW w:type="dxa" w:w="2438"/>
            <w:vAlign w:val="center"/>
          </w:tcPr>
          <w:p>
            <w:pPr>
              <w:spacing w:after="0" w:before="0"/>
              <w:jc w:val="center"/>
            </w:pPr>
            <w:r>
              <w:rPr>
                <w:sz w:val="18"/>
              </w:rPr>
            </w:r>
            <w:r>
              <w:rPr>
                <w:sz w:val="18"/>
              </w:rPr>
              <w:t>81%</w:t>
            </w:r>
          </w:p>
        </w:tc>
      </w:tr>
      <w:tr>
        <w:tc>
          <w:tcPr>
            <w:tcW w:type="dxa" w:w="2551"/>
            <w:vAlign w:val="center"/>
          </w:tcPr>
          <w:p>
            <w:pPr>
              <w:spacing w:after="0" w:before="0"/>
            </w:pPr>
            <w:r>
              <w:rPr>
                <w:sz w:val="18"/>
              </w:rPr>
            </w:r>
            <w:r>
              <w:rPr>
                <w:sz w:val="18"/>
              </w:rPr>
              <w:t>F-Standard</w:t>
            </w:r>
          </w:p>
        </w:tc>
        <w:tc>
          <w:tcPr>
            <w:tcW w:type="dxa" w:w="2438"/>
            <w:vAlign w:val="center"/>
          </w:tcPr>
          <w:p>
            <w:pPr>
              <w:spacing w:after="0" w:before="0"/>
              <w:jc w:val="center"/>
            </w:pPr>
            <w:r>
              <w:rPr>
                <w:sz w:val="18"/>
              </w:rPr>
            </w:r>
            <w:r>
              <w:rPr>
                <w:sz w:val="18"/>
              </w:rPr>
              <w:t>+0.0014</w:t>
            </w:r>
          </w:p>
        </w:tc>
        <w:tc>
          <w:tcPr>
            <w:tcW w:type="dxa" w:w="2438"/>
            <w:vAlign w:val="center"/>
          </w:tcPr>
          <w:p>
            <w:pPr>
              <w:spacing w:after="0" w:before="0"/>
              <w:jc w:val="center"/>
            </w:pPr>
            <w:r>
              <w:rPr>
                <w:sz w:val="18"/>
              </w:rPr>
            </w:r>
            <w:r>
              <w:rPr>
                <w:sz w:val="18"/>
              </w:rPr>
              <w:t>-0.0003</w:t>
            </w:r>
          </w:p>
        </w:tc>
        <w:tc>
          <w:tcPr>
            <w:tcW w:type="dxa" w:w="2438"/>
            <w:vAlign w:val="center"/>
          </w:tcPr>
          <w:p>
            <w:pPr>
              <w:spacing w:after="0" w:before="0"/>
              <w:jc w:val="center"/>
            </w:pPr>
            <w:r>
              <w:rPr>
                <w:sz w:val="18"/>
              </w:rPr>
            </w:r>
            <w:r>
              <w:rPr>
                <w:sz w:val="18"/>
              </w:rPr>
              <w:t>80%</w:t>
            </w:r>
          </w:p>
        </w:tc>
      </w:tr>
      <w:tr>
        <w:tc>
          <w:tcPr>
            <w:tcW w:type="dxa" w:w="2551"/>
            <w:vAlign w:val="center"/>
          </w:tcPr>
          <w:p>
            <w:pPr>
              <w:spacing w:after="0" w:before="0"/>
            </w:pPr>
            <w:r>
              <w:rPr>
                <w:sz w:val="18"/>
              </w:rPr>
            </w:r>
            <w:r>
              <w:rPr>
                <w:sz w:val="18"/>
              </w:rPr>
              <w:t>F/TR</w:t>
            </w:r>
          </w:p>
        </w:tc>
        <w:tc>
          <w:tcPr>
            <w:tcW w:type="dxa" w:w="2438"/>
            <w:vAlign w:val="center"/>
          </w:tcPr>
          <w:p>
            <w:pPr>
              <w:spacing w:after="0" w:before="0"/>
              <w:jc w:val="center"/>
            </w:pPr>
            <w:r>
              <w:rPr>
                <w:sz w:val="18"/>
              </w:rPr>
            </w:r>
            <w:r>
              <w:rPr>
                <w:sz w:val="18"/>
              </w:rPr>
              <w:t>+0.0003</w:t>
            </w:r>
          </w:p>
        </w:tc>
        <w:tc>
          <w:tcPr>
            <w:tcW w:type="dxa" w:w="2438"/>
            <w:vAlign w:val="center"/>
          </w:tcPr>
          <w:p>
            <w:pPr>
              <w:spacing w:after="0" w:before="0"/>
              <w:jc w:val="center"/>
            </w:pPr>
            <w:r>
              <w:rPr>
                <w:sz w:val="18"/>
              </w:rPr>
            </w:r>
            <w:r>
              <w:rPr>
                <w:sz w:val="18"/>
              </w:rPr>
              <w:t>+0.0006</w:t>
            </w:r>
          </w:p>
        </w:tc>
        <w:tc>
          <w:tcPr>
            <w:tcW w:type="dxa" w:w="2438"/>
            <w:vAlign w:val="center"/>
          </w:tcPr>
          <w:p>
            <w:pPr>
              <w:spacing w:after="0" w:before="0"/>
              <w:jc w:val="center"/>
            </w:pPr>
            <w:r>
              <w:rPr>
                <w:sz w:val="18"/>
              </w:rPr>
            </w:r>
            <w:r>
              <w:rPr>
                <w:sz w:val="18"/>
              </w:rPr>
              <w:t>-89%</w:t>
            </w:r>
          </w:p>
        </w:tc>
      </w:tr>
      <w:tr>
        <w:tc>
          <w:tcPr>
            <w:tcW w:type="dxa" w:w="2551"/>
            <w:vAlign w:val="center"/>
          </w:tcPr>
          <w:p>
            <w:pPr>
              <w:spacing w:after="0" w:before="0"/>
            </w:pPr>
            <w:r>
              <w:rPr>
                <w:sz w:val="18"/>
              </w:rPr>
            </w:r>
            <w:r>
              <w:rPr>
                <w:sz w:val="18"/>
              </w:rPr>
              <w:t>Sporter</w:t>
            </w:r>
          </w:p>
        </w:tc>
        <w:tc>
          <w:tcPr>
            <w:tcW w:type="dxa" w:w="2438"/>
            <w:vAlign w:val="center"/>
          </w:tcPr>
          <w:p>
            <w:pPr>
              <w:spacing w:after="0" w:before="0"/>
              <w:jc w:val="center"/>
            </w:pPr>
            <w:r>
              <w:rPr>
                <w:sz w:val="18"/>
              </w:rPr>
            </w:r>
            <w:r>
              <w:rPr>
                <w:sz w:val="18"/>
              </w:rPr>
              <w:t>-0.0103</w:t>
            </w:r>
          </w:p>
        </w:tc>
        <w:tc>
          <w:tcPr>
            <w:tcW w:type="dxa" w:w="2438"/>
            <w:vAlign w:val="center"/>
          </w:tcPr>
          <w:p>
            <w:pPr>
              <w:spacing w:after="0" w:before="0"/>
              <w:jc w:val="center"/>
            </w:pPr>
            <w:r>
              <w:rPr>
                <w:sz w:val="18"/>
              </w:rPr>
            </w:r>
            <w:r>
              <w:rPr>
                <w:sz w:val="18"/>
              </w:rPr>
              <w:t>-0.0023</w:t>
            </w:r>
          </w:p>
        </w:tc>
        <w:tc>
          <w:tcPr>
            <w:tcW w:type="dxa" w:w="2438"/>
            <w:vAlign w:val="center"/>
          </w:tcPr>
          <w:p>
            <w:pPr>
              <w:spacing w:after="0" w:before="0"/>
              <w:jc w:val="center"/>
            </w:pPr>
            <w:r>
              <w:rPr>
                <w:sz w:val="18"/>
              </w:rPr>
            </w:r>
            <w:r>
              <w:rPr>
                <w:sz w:val="18"/>
              </w:rPr>
              <w:t>78%</w:t>
            </w:r>
          </w:p>
        </w:tc>
      </w:tr>
    </w:tbl>
    <w:p>
      <w:pPr>
        <w:spacing w:after="60"/>
      </w:pPr>
    </w:p>
    <w:tbl>
      <w:tblPr>
        <w:tblW w:type="auto" w:w="0"/>
        <w:tblLayout w:type="fixed"/>
        <w:tblLook w:firstColumn="1" w:firstRow="1" w:lastColumn="0" w:lastRow="0" w:noHBand="0" w:noVBand="1" w:val="04A0"/>
      </w:tblPr>
      <w:tblGrid>
        <w:gridCol w:w="9866"/>
      </w:tblGrid>
      <w:tr>
        <w:tc>
          <w:tcPr>
            <w:tcW w:type="dxa" w:w="9865"/>
            <w:shd w:val="clear" w:color="auto" w:fill="EAF3EA"/>
            <w:tcBorders>
              <w:left w:val="single" w:sz="24" w:space="0" w:color="3C7A3C"/>
            </w:tcBorders>
          </w:tcPr>
          <w:p>
            <w:pPr>
              <w:spacing w:before="40" w:after="40"/>
            </w:pPr>
            <w:r>
              <w:rPr>
                <w:sz w:val="21"/>
              </w:rPr>
            </w:r>
            <w:r>
              <w:rPr>
                <w:b/>
                <w:sz w:val="21"/>
              </w:rPr>
              <w:t>Answer to the question:</w:t>
            </w:r>
            <w:r>
              <w:rPr>
                <w:sz w:val="21"/>
              </w:rPr>
              <w:t xml:space="preserve"> folding NSWRA 2026 and QRA 2026 into the pool </w:t>
            </w:r>
            <w:r>
              <w:rPr>
                <w:b/>
                <w:sz w:val="21"/>
              </w:rPr>
              <w:t>does not change any V5 factor</w:t>
            </w:r>
            <w:r>
              <w:rPr>
                <w:sz w:val="21"/>
              </w:rPr>
              <w:t>. On the like-for-like comparison the largest movement is 0.0023 (1.1 MCSI points on a ~490-point series aggregate), and nothing moves at the three decimals V5 is published at. Nearly 4,000 fresh King's-class strings leave the formula where it is — which is the strongest evidence yet that V5 is calibrated correctly.</w:t>
            </w:r>
          </w:p>
        </w:tc>
      </w:tr>
    </w:tbl>
    <w:p>
      <w:pPr>
        <w:spacing w:after="60"/>
      </w:pPr>
    </w:p>
    <w:p>
      <w:pPr>
        <w:spacing w:before="160" w:after="40"/>
      </w:pPr>
      <w:r>
        <w:rPr>
          <w:b/>
          <w:color w:val="1F4E78"/>
          <w:sz w:val="23"/>
        </w:rPr>
        <w:t>4b. Two caveats on the numbers above, stated plainly</w:t>
      </w:r>
    </w:p>
    <w:p>
      <w:pPr>
        <w:pStyle w:val="ListBullet"/>
        <w:spacing w:after="40"/>
      </w:pPr>
      <w:r>
        <w:rPr>
          <w:b/>
          <w:sz w:val="20"/>
        </w:rPr>
        <w:t>The baseline here is K&amp;Q only.</w:t>
      </w:r>
      <w:r>
        <w:rPr>
          <w:sz w:val="20"/>
        </w:rPr>
        <w:t xml:space="preserve"> Published V5 was set on the K&amp;Q pool plus about 31 same-conditions prize meets; that scraped supplement was cached in a temporary folder and is gone. The K&amp;Q-only baseline reproduces published V5 to within 0.008 on whole-string pooling. A larger baseline pool can only dilute new data further, so the movements reported are an </w:t>
      </w:r>
      <w:r>
        <w:rPr>
          <w:b/>
          <w:sz w:val="20"/>
        </w:rPr>
        <w:t>upper bound</w:t>
      </w:r>
      <w:r>
        <w:rPr>
          <w:sz w:val="20"/>
        </w:rPr>
        <w:t xml:space="preserve"> — the true movement against the full published pool is smaller still. Re-scraping the prize meets would let us close this off properly.</w:t>
      </w:r>
    </w:p>
    <w:p>
      <w:pPr>
        <w:pStyle w:val="ListBullet"/>
        <w:spacing w:after="40"/>
      </w:pPr>
      <w:r>
        <w:rPr>
          <w:b/>
          <w:sz w:val="20"/>
        </w:rPr>
        <w:t>Per-shot pooling shifts the baseline itself.</w:t>
      </w:r>
      <w:r>
        <w:rPr>
          <w:sz w:val="20"/>
        </w:rPr>
        <w:t xml:space="preserve"> Recalibrating the existing pool per-shot rather than whole-string would move F-Standard from 1.477 to 1.460 and F-Open from 1.408 to 1.417. That is a separate question from the one asked here, but note it points the same way as section 3: F-Standard's factor may be a little high. I would not act on it until the prize-meet data is rebuilt.</w:t>
      </w:r>
    </w:p>
    <w:p>
      <w:pPr>
        <w:spacing w:before="160" w:after="40"/>
      </w:pPr>
      <w:r>
        <w:rPr>
          <w:b/>
          <w:color w:val="1F4E78"/>
          <w:sz w:val="23"/>
        </w:rPr>
        <w:t>5. The weather, and distance-based factors</w:t>
      </w:r>
    </w:p>
    <w:p>
      <w:pPr>
        <w:spacing w:after="100"/>
      </w:pPr>
      <w:r>
        <w:rPr>
          <w:sz w:val="20"/>
        </w:rPr>
        <w:t>Conditions at the long ranges were poor and some shooters dropped scores badly. Because this source carries distances, we can look at it directly. Each row is one shoot, scored on its own:</w:t>
      </w:r>
    </w:p>
    <w:tbl>
      <w:tblPr>
        <w:tblStyle w:val="TableGrid"/>
        <w:tblW w:type="auto" w:w="0"/>
        <w:tblLayout w:type="fixed"/>
        <w:tblLook w:firstColumn="1" w:firstRow="1" w:lastColumn="0" w:lastRow="0" w:noHBand="0" w:noVBand="1" w:val="04A0"/>
      </w:tblPr>
      <w:tblGrid>
        <w:gridCol w:w="1233"/>
        <w:gridCol w:w="1233"/>
        <w:gridCol w:w="1233"/>
        <w:gridCol w:w="1233"/>
        <w:gridCol w:w="1233"/>
        <w:gridCol w:w="1233"/>
        <w:gridCol w:w="1233"/>
        <w:gridCol w:w="1233"/>
      </w:tblGrid>
      <w:tr>
        <w:tc>
          <w:tcPr>
            <w:tcW w:type="dxa" w:w="2608"/>
            <w:vAlign w:val="center"/>
            <w:shd w:val="clear" w:color="auto" w:fill="EEF3F8"/>
          </w:tcPr>
          <w:p>
            <w:pPr>
              <w:spacing w:after="0" w:before="0"/>
            </w:pPr>
            <w:r>
              <w:rPr>
                <w:b/>
                <w:color w:val="1F4E78"/>
                <w:sz w:val="18"/>
              </w:rPr>
            </w:r>
            <w:r>
              <w:rPr>
                <w:b/>
                <w:color w:val="1F4E78"/>
                <w:sz w:val="18"/>
              </w:rPr>
              <w:t>Shoot</w:t>
            </w:r>
          </w:p>
        </w:tc>
        <w:tc>
          <w:tcPr>
            <w:tcW w:type="dxa" w:w="737"/>
            <w:vAlign w:val="center"/>
            <w:shd w:val="clear" w:color="auto" w:fill="EEF3F8"/>
          </w:tcPr>
          <w:p>
            <w:pPr>
              <w:spacing w:after="0" w:before="0"/>
              <w:jc w:val="center"/>
            </w:pPr>
            <w:r>
              <w:rPr>
                <w:b/>
                <w:color w:val="1F4E78"/>
                <w:sz w:val="18"/>
              </w:rPr>
            </w:r>
            <w:r>
              <w:rPr>
                <w:b/>
                <w:color w:val="1F4E78"/>
                <w:sz w:val="18"/>
              </w:rPr>
              <w:t>Dist</w:t>
            </w:r>
          </w:p>
        </w:tc>
        <w:tc>
          <w:tcPr>
            <w:tcW w:type="dxa" w:w="964"/>
            <w:vAlign w:val="center"/>
            <w:shd w:val="clear" w:color="auto" w:fill="EEF3F8"/>
          </w:tcPr>
          <w:p>
            <w:pPr>
              <w:spacing w:after="0" w:before="0"/>
              <w:jc w:val="center"/>
            </w:pPr>
            <w:r>
              <w:rPr>
                <w:b/>
                <w:color w:val="1F4E78"/>
                <w:sz w:val="18"/>
              </w:rPr>
            </w:r>
            <w:r>
              <w:rPr>
                <w:b/>
                <w:color w:val="1F4E78"/>
                <w:sz w:val="18"/>
              </w:rPr>
              <w:t>TR</w:t>
            </w:r>
          </w:p>
        </w:tc>
        <w:tc>
          <w:tcPr>
            <w:tcW w:type="dxa" w:w="964"/>
            <w:vAlign w:val="center"/>
            <w:shd w:val="clear" w:color="auto" w:fill="EEF3F8"/>
          </w:tcPr>
          <w:p>
            <w:pPr>
              <w:spacing w:after="0" w:before="0"/>
              <w:jc w:val="center"/>
            </w:pPr>
            <w:r>
              <w:rPr>
                <w:b/>
                <w:color w:val="1F4E78"/>
                <w:sz w:val="18"/>
              </w:rPr>
            </w:r>
            <w:r>
              <w:rPr>
                <w:b/>
                <w:color w:val="1F4E78"/>
                <w:sz w:val="18"/>
              </w:rPr>
              <w:t>F-Open</w:t>
            </w:r>
          </w:p>
        </w:tc>
        <w:tc>
          <w:tcPr>
            <w:tcW w:type="dxa" w:w="964"/>
            <w:vAlign w:val="center"/>
            <w:shd w:val="clear" w:color="auto" w:fill="EEF3F8"/>
          </w:tcPr>
          <w:p>
            <w:pPr>
              <w:spacing w:after="0" w:before="0"/>
              <w:jc w:val="center"/>
            </w:pPr>
            <w:r>
              <w:rPr>
                <w:b/>
                <w:color w:val="1F4E78"/>
                <w:sz w:val="18"/>
              </w:rPr>
            </w:r>
            <w:r>
              <w:rPr>
                <w:b/>
                <w:color w:val="1F4E78"/>
                <w:sz w:val="18"/>
              </w:rPr>
              <w:t>F-Std</w:t>
            </w:r>
          </w:p>
        </w:tc>
        <w:tc>
          <w:tcPr>
            <w:tcW w:type="dxa" w:w="964"/>
            <w:vAlign w:val="center"/>
            <w:shd w:val="clear" w:color="auto" w:fill="EEF3F8"/>
          </w:tcPr>
          <w:p>
            <w:pPr>
              <w:spacing w:after="0" w:before="0"/>
              <w:jc w:val="center"/>
            </w:pPr>
            <w:r>
              <w:rPr>
                <w:b/>
                <w:color w:val="1F4E78"/>
                <w:sz w:val="18"/>
              </w:rPr>
            </w:r>
            <w:r>
              <w:rPr>
                <w:b/>
                <w:color w:val="1F4E78"/>
                <w:sz w:val="18"/>
              </w:rPr>
              <w:t>F/TR</w:t>
            </w:r>
          </w:p>
        </w:tc>
        <w:tc>
          <w:tcPr>
            <w:tcW w:type="dxa" w:w="964"/>
            <w:vAlign w:val="center"/>
            <w:shd w:val="clear" w:color="auto" w:fill="EEF3F8"/>
          </w:tcPr>
          <w:p>
            <w:pPr>
              <w:spacing w:after="0" w:before="0"/>
              <w:jc w:val="center"/>
            </w:pPr>
            <w:r>
              <w:rPr>
                <w:b/>
                <w:color w:val="1F4E78"/>
                <w:sz w:val="18"/>
              </w:rPr>
            </w:r>
            <w:r>
              <w:rPr>
                <w:b/>
                <w:color w:val="1F4E78"/>
                <w:sz w:val="18"/>
              </w:rPr>
              <w:t>Sporter</w:t>
            </w:r>
          </w:p>
        </w:tc>
        <w:tc>
          <w:tcPr>
            <w:tcW w:type="dxa" w:w="1134"/>
            <w:vAlign w:val="center"/>
            <w:shd w:val="clear" w:color="auto" w:fill="EEF3F8"/>
          </w:tcPr>
          <w:p>
            <w:pPr>
              <w:spacing w:after="0" w:before="0"/>
              <w:jc w:val="center"/>
            </w:pPr>
            <w:r>
              <w:rPr>
                <w:b/>
                <w:color w:val="1F4E78"/>
                <w:sz w:val="18"/>
              </w:rPr>
            </w:r>
            <w:r>
              <w:rPr>
                <w:b/>
                <w:color w:val="1F4E78"/>
                <w:sz w:val="18"/>
              </w:rPr>
              <w:t>Difficulty*</w:t>
            </w:r>
          </w:p>
        </w:tc>
      </w:tr>
      <w:tr>
        <w:tc>
          <w:tcPr>
            <w:tcW w:type="dxa" w:w="2608"/>
            <w:vAlign w:val="center"/>
          </w:tcPr>
          <w:p>
            <w:pPr>
              <w:spacing w:after="0" w:before="0"/>
            </w:pPr>
            <w:r>
              <w:rPr>
                <w:sz w:val="18"/>
              </w:rPr>
            </w:r>
            <w:r>
              <w:rPr>
                <w:sz w:val="18"/>
              </w:rPr>
              <w:t>Day 1 - 300 yds</w:t>
            </w:r>
          </w:p>
        </w:tc>
        <w:tc>
          <w:tcPr>
            <w:tcW w:type="dxa" w:w="737"/>
            <w:vAlign w:val="center"/>
          </w:tcPr>
          <w:p>
            <w:pPr>
              <w:spacing w:after="0" w:before="0"/>
              <w:jc w:val="center"/>
            </w:pPr>
            <w:r>
              <w:rPr>
                <w:sz w:val="18"/>
              </w:rPr>
            </w:r>
            <w:r>
              <w:rPr>
                <w:sz w:val="18"/>
              </w:rPr>
              <w:t>300</w:t>
            </w:r>
          </w:p>
        </w:tc>
        <w:tc>
          <w:tcPr>
            <w:tcW w:type="dxa" w:w="964"/>
            <w:vAlign w:val="center"/>
          </w:tcPr>
          <w:p>
            <w:pPr>
              <w:spacing w:after="0" w:before="0"/>
              <w:jc w:val="center"/>
            </w:pPr>
            <w:r>
              <w:rPr>
                <w:sz w:val="18"/>
              </w:rPr>
            </w:r>
            <w:r>
              <w:rPr>
                <w:sz w:val="18"/>
              </w:rPr>
              <w:t>1.428</w:t>
            </w:r>
          </w:p>
        </w:tc>
        <w:tc>
          <w:tcPr>
            <w:tcW w:type="dxa" w:w="964"/>
            <w:vAlign w:val="center"/>
          </w:tcPr>
          <w:p>
            <w:pPr>
              <w:spacing w:after="0" w:before="0"/>
              <w:jc w:val="center"/>
            </w:pPr>
            <w:r>
              <w:rPr>
                <w:sz w:val="18"/>
              </w:rPr>
            </w:r>
            <w:r>
              <w:rPr>
                <w:sz w:val="18"/>
              </w:rPr>
              <w:t>1.423</w:t>
            </w:r>
          </w:p>
        </w:tc>
        <w:tc>
          <w:tcPr>
            <w:tcW w:type="dxa" w:w="964"/>
            <w:vAlign w:val="center"/>
          </w:tcPr>
          <w:p>
            <w:pPr>
              <w:spacing w:after="0" w:before="0"/>
              <w:jc w:val="center"/>
            </w:pPr>
            <w:r>
              <w:rPr>
                <w:sz w:val="18"/>
              </w:rPr>
            </w:r>
            <w:r>
              <w:rPr>
                <w:sz w:val="18"/>
              </w:rPr>
              <w:t>1.434</w:t>
            </w:r>
          </w:p>
        </w:tc>
        <w:tc>
          <w:tcPr>
            <w:tcW w:type="dxa" w:w="964"/>
            <w:vAlign w:val="center"/>
          </w:tcPr>
          <w:p>
            <w:pPr>
              <w:spacing w:after="0" w:before="0"/>
              <w:jc w:val="center"/>
            </w:pPr>
            <w:r>
              <w:rPr>
                <w:sz w:val="18"/>
              </w:rPr>
            </w:r>
            <w:r>
              <w:rPr>
                <w:sz w:val="18"/>
              </w:rPr>
              <w:t>1.475</w:t>
            </w:r>
          </w:p>
        </w:tc>
        <w:tc>
          <w:tcPr>
            <w:tcW w:type="dxa" w:w="964"/>
            <w:vAlign w:val="center"/>
          </w:tcPr>
          <w:p>
            <w:pPr>
              <w:spacing w:after="0" w:before="0"/>
              <w:jc w:val="center"/>
            </w:pPr>
            <w:r>
              <w:rPr>
                <w:sz w:val="18"/>
              </w:rPr>
            </w:r>
            <w:r>
              <w:rPr>
                <w:sz w:val="18"/>
              </w:rPr>
              <w:t>1.389</w:t>
            </w:r>
          </w:p>
        </w:tc>
        <w:tc>
          <w:tcPr>
            <w:tcW w:type="dxa" w:w="1134"/>
            <w:vAlign w:val="center"/>
          </w:tcPr>
          <w:p>
            <w:pPr>
              <w:spacing w:after="0" w:before="0"/>
              <w:jc w:val="center"/>
            </w:pPr>
            <w:r>
              <w:rPr>
                <w:sz w:val="18"/>
              </w:rPr>
            </w:r>
            <w:r>
              <w:rPr>
                <w:sz w:val="18"/>
              </w:rPr>
              <w:t>6.42</w:t>
            </w:r>
          </w:p>
        </w:tc>
      </w:tr>
      <w:tr>
        <w:tc>
          <w:tcPr>
            <w:tcW w:type="dxa" w:w="2608"/>
            <w:vAlign w:val="center"/>
          </w:tcPr>
          <w:p>
            <w:pPr>
              <w:spacing w:after="0" w:before="0"/>
            </w:pPr>
            <w:r>
              <w:rPr>
                <w:sz w:val="18"/>
              </w:rPr>
            </w:r>
            <w:r>
              <w:rPr>
                <w:sz w:val="18"/>
              </w:rPr>
              <w:t>Day 1 - 500 yds</w:t>
            </w:r>
          </w:p>
        </w:tc>
        <w:tc>
          <w:tcPr>
            <w:tcW w:type="dxa" w:w="737"/>
            <w:vAlign w:val="center"/>
          </w:tcPr>
          <w:p>
            <w:pPr>
              <w:spacing w:after="0" w:before="0"/>
              <w:jc w:val="center"/>
            </w:pPr>
            <w:r>
              <w:rPr>
                <w:sz w:val="18"/>
              </w:rPr>
            </w:r>
            <w:r>
              <w:rPr>
                <w:sz w:val="18"/>
              </w:rPr>
              <w:t>500</w:t>
            </w:r>
          </w:p>
        </w:tc>
        <w:tc>
          <w:tcPr>
            <w:tcW w:type="dxa" w:w="964"/>
            <w:vAlign w:val="center"/>
          </w:tcPr>
          <w:p>
            <w:pPr>
              <w:spacing w:after="0" w:before="0"/>
              <w:jc w:val="center"/>
            </w:pPr>
            <w:r>
              <w:rPr>
                <w:sz w:val="18"/>
              </w:rPr>
            </w:r>
            <w:r>
              <w:rPr>
                <w:sz w:val="18"/>
              </w:rPr>
              <w:t>1.416</w:t>
            </w:r>
          </w:p>
        </w:tc>
        <w:tc>
          <w:tcPr>
            <w:tcW w:type="dxa" w:w="964"/>
            <w:vAlign w:val="center"/>
          </w:tcPr>
          <w:p>
            <w:pPr>
              <w:spacing w:after="0" w:before="0"/>
              <w:jc w:val="center"/>
            </w:pPr>
            <w:r>
              <w:rPr>
                <w:sz w:val="18"/>
              </w:rPr>
            </w:r>
            <w:r>
              <w:rPr>
                <w:sz w:val="18"/>
              </w:rPr>
              <w:t>1.409</w:t>
            </w:r>
          </w:p>
        </w:tc>
        <w:tc>
          <w:tcPr>
            <w:tcW w:type="dxa" w:w="964"/>
            <w:vAlign w:val="center"/>
          </w:tcPr>
          <w:p>
            <w:pPr>
              <w:spacing w:after="0" w:before="0"/>
              <w:jc w:val="center"/>
            </w:pPr>
            <w:r>
              <w:rPr>
                <w:sz w:val="18"/>
              </w:rPr>
            </w:r>
            <w:r>
              <w:rPr>
                <w:sz w:val="18"/>
              </w:rPr>
              <w:t>1.458</w:t>
            </w:r>
          </w:p>
        </w:tc>
        <w:tc>
          <w:tcPr>
            <w:tcW w:type="dxa" w:w="964"/>
            <w:vAlign w:val="center"/>
          </w:tcPr>
          <w:p>
            <w:pPr>
              <w:spacing w:after="0" w:before="0"/>
              <w:jc w:val="center"/>
            </w:pPr>
            <w:r>
              <w:rPr>
                <w:sz w:val="18"/>
              </w:rPr>
            </w:r>
            <w:r>
              <w:rPr>
                <w:sz w:val="18"/>
              </w:rPr>
              <w:t>1.464</w:t>
            </w:r>
          </w:p>
        </w:tc>
        <w:tc>
          <w:tcPr>
            <w:tcW w:type="dxa" w:w="964"/>
            <w:vAlign w:val="center"/>
          </w:tcPr>
          <w:p>
            <w:pPr>
              <w:spacing w:after="0" w:before="0"/>
              <w:jc w:val="center"/>
            </w:pPr>
            <w:r>
              <w:rPr>
                <w:sz w:val="18"/>
              </w:rPr>
            </w:r>
            <w:r>
              <w:rPr>
                <w:sz w:val="18"/>
              </w:rPr>
              <w:t>1.381</w:t>
            </w:r>
          </w:p>
        </w:tc>
        <w:tc>
          <w:tcPr>
            <w:tcW w:type="dxa" w:w="1134"/>
            <w:vAlign w:val="center"/>
          </w:tcPr>
          <w:p>
            <w:pPr>
              <w:spacing w:after="0" w:before="0"/>
              <w:jc w:val="center"/>
            </w:pPr>
            <w:r>
              <w:rPr>
                <w:sz w:val="18"/>
              </w:rPr>
            </w:r>
            <w:r>
              <w:rPr>
                <w:sz w:val="18"/>
              </w:rPr>
              <w:t>6.41</w:t>
            </w:r>
          </w:p>
        </w:tc>
      </w:tr>
      <w:tr>
        <w:tc>
          <w:tcPr>
            <w:tcW w:type="dxa" w:w="2608"/>
            <w:vAlign w:val="center"/>
          </w:tcPr>
          <w:p>
            <w:pPr>
              <w:spacing w:after="0" w:before="0"/>
            </w:pPr>
            <w:r>
              <w:rPr>
                <w:sz w:val="18"/>
              </w:rPr>
            </w:r>
            <w:r>
              <w:rPr>
                <w:sz w:val="18"/>
              </w:rPr>
              <w:t>Day 1 - 600 yds</w:t>
            </w:r>
          </w:p>
        </w:tc>
        <w:tc>
          <w:tcPr>
            <w:tcW w:type="dxa" w:w="737"/>
            <w:vAlign w:val="center"/>
          </w:tcPr>
          <w:p>
            <w:pPr>
              <w:spacing w:after="0" w:before="0"/>
              <w:jc w:val="center"/>
            </w:pPr>
            <w:r>
              <w:rPr>
                <w:sz w:val="18"/>
              </w:rPr>
            </w:r>
            <w:r>
              <w:rPr>
                <w:sz w:val="18"/>
              </w:rPr>
              <w:t>600</w:t>
            </w:r>
          </w:p>
        </w:tc>
        <w:tc>
          <w:tcPr>
            <w:tcW w:type="dxa" w:w="964"/>
            <w:vAlign w:val="center"/>
          </w:tcPr>
          <w:p>
            <w:pPr>
              <w:spacing w:after="0" w:before="0"/>
              <w:jc w:val="center"/>
            </w:pPr>
            <w:r>
              <w:rPr>
                <w:sz w:val="18"/>
              </w:rPr>
            </w:r>
            <w:r>
              <w:rPr>
                <w:sz w:val="18"/>
              </w:rPr>
              <w:t>1.430</w:t>
            </w:r>
          </w:p>
        </w:tc>
        <w:tc>
          <w:tcPr>
            <w:tcW w:type="dxa" w:w="964"/>
            <w:vAlign w:val="center"/>
          </w:tcPr>
          <w:p>
            <w:pPr>
              <w:spacing w:after="0" w:before="0"/>
              <w:jc w:val="center"/>
            </w:pPr>
            <w:r>
              <w:rPr>
                <w:sz w:val="18"/>
              </w:rPr>
            </w:r>
            <w:r>
              <w:rPr>
                <w:sz w:val="18"/>
              </w:rPr>
              <w:t>1.420</w:t>
            </w:r>
          </w:p>
        </w:tc>
        <w:tc>
          <w:tcPr>
            <w:tcW w:type="dxa" w:w="964"/>
            <w:vAlign w:val="center"/>
          </w:tcPr>
          <w:p>
            <w:pPr>
              <w:spacing w:after="0" w:before="0"/>
              <w:jc w:val="center"/>
            </w:pPr>
            <w:r>
              <w:rPr>
                <w:sz w:val="18"/>
              </w:rPr>
            </w:r>
            <w:r>
              <w:rPr>
                <w:sz w:val="18"/>
              </w:rPr>
              <w:t>1.458</w:t>
            </w:r>
          </w:p>
        </w:tc>
        <w:tc>
          <w:tcPr>
            <w:tcW w:type="dxa" w:w="964"/>
            <w:vAlign w:val="center"/>
          </w:tcPr>
          <w:p>
            <w:pPr>
              <w:spacing w:after="0" w:before="0"/>
              <w:jc w:val="center"/>
            </w:pPr>
            <w:r>
              <w:rPr>
                <w:sz w:val="18"/>
              </w:rPr>
            </w:r>
            <w:r>
              <w:rPr>
                <w:sz w:val="18"/>
              </w:rPr>
              <w:t>1.453</w:t>
            </w:r>
          </w:p>
        </w:tc>
        <w:tc>
          <w:tcPr>
            <w:tcW w:type="dxa" w:w="964"/>
            <w:vAlign w:val="center"/>
          </w:tcPr>
          <w:p>
            <w:pPr>
              <w:spacing w:after="0" w:before="0"/>
              <w:jc w:val="center"/>
            </w:pPr>
            <w:r>
              <w:rPr>
                <w:sz w:val="18"/>
              </w:rPr>
            </w:r>
            <w:r>
              <w:rPr>
                <w:sz w:val="18"/>
              </w:rPr>
              <w:t>1.390</w:t>
            </w:r>
          </w:p>
        </w:tc>
        <w:tc>
          <w:tcPr>
            <w:tcW w:type="dxa" w:w="1134"/>
            <w:vAlign w:val="center"/>
          </w:tcPr>
          <w:p>
            <w:pPr>
              <w:spacing w:after="0" w:before="0"/>
              <w:jc w:val="center"/>
            </w:pPr>
            <w:r>
              <w:rPr>
                <w:sz w:val="18"/>
              </w:rPr>
            </w:r>
            <w:r>
              <w:rPr>
                <w:sz w:val="18"/>
              </w:rPr>
              <w:t>6.38</w:t>
            </w:r>
          </w:p>
        </w:tc>
      </w:tr>
      <w:tr>
        <w:tc>
          <w:tcPr>
            <w:tcW w:type="dxa" w:w="2608"/>
            <w:vAlign w:val="center"/>
          </w:tcPr>
          <w:p>
            <w:pPr>
              <w:spacing w:after="0" w:before="0"/>
            </w:pPr>
            <w:r>
              <w:rPr>
                <w:sz w:val="18"/>
              </w:rPr>
            </w:r>
            <w:r>
              <w:rPr>
                <w:sz w:val="18"/>
              </w:rPr>
              <w:t>Day 2 - 800 yds (1)</w:t>
            </w:r>
          </w:p>
        </w:tc>
        <w:tc>
          <w:tcPr>
            <w:tcW w:type="dxa" w:w="737"/>
            <w:vAlign w:val="center"/>
          </w:tcPr>
          <w:p>
            <w:pPr>
              <w:spacing w:after="0" w:before="0"/>
              <w:jc w:val="center"/>
            </w:pPr>
            <w:r>
              <w:rPr>
                <w:sz w:val="18"/>
              </w:rPr>
            </w:r>
            <w:r>
              <w:rPr>
                <w:sz w:val="18"/>
              </w:rPr>
              <w:t>800</w:t>
            </w:r>
          </w:p>
        </w:tc>
        <w:tc>
          <w:tcPr>
            <w:tcW w:type="dxa" w:w="964"/>
            <w:vAlign w:val="center"/>
          </w:tcPr>
          <w:p>
            <w:pPr>
              <w:spacing w:after="0" w:before="0"/>
              <w:jc w:val="center"/>
            </w:pPr>
            <w:r>
              <w:rPr>
                <w:sz w:val="18"/>
              </w:rPr>
            </w:r>
            <w:r>
              <w:rPr>
                <w:sz w:val="18"/>
              </w:rPr>
              <w:t>1.410</w:t>
            </w:r>
          </w:p>
        </w:tc>
        <w:tc>
          <w:tcPr>
            <w:tcW w:type="dxa" w:w="964"/>
            <w:vAlign w:val="center"/>
          </w:tcPr>
          <w:p>
            <w:pPr>
              <w:spacing w:after="0" w:before="0"/>
              <w:jc w:val="center"/>
            </w:pPr>
            <w:r>
              <w:rPr>
                <w:sz w:val="18"/>
              </w:rPr>
            </w:r>
            <w:r>
              <w:rPr>
                <w:sz w:val="18"/>
              </w:rPr>
              <w:t>1.423</w:t>
            </w:r>
          </w:p>
        </w:tc>
        <w:tc>
          <w:tcPr>
            <w:tcW w:type="dxa" w:w="964"/>
            <w:vAlign w:val="center"/>
          </w:tcPr>
          <w:p>
            <w:pPr>
              <w:spacing w:after="0" w:before="0"/>
              <w:jc w:val="center"/>
            </w:pPr>
            <w:r>
              <w:rPr>
                <w:sz w:val="18"/>
              </w:rPr>
            </w:r>
            <w:r>
              <w:rPr>
                <w:sz w:val="18"/>
              </w:rPr>
              <w:t>1.445</w:t>
            </w:r>
          </w:p>
        </w:tc>
        <w:tc>
          <w:tcPr>
            <w:tcW w:type="dxa" w:w="964"/>
            <w:vAlign w:val="center"/>
          </w:tcPr>
          <w:p>
            <w:pPr>
              <w:spacing w:after="0" w:before="0"/>
              <w:jc w:val="center"/>
            </w:pPr>
            <w:r>
              <w:rPr>
                <w:sz w:val="18"/>
              </w:rPr>
            </w:r>
            <w:r>
              <w:rPr>
                <w:sz w:val="18"/>
              </w:rPr>
              <w:t>1.463</w:t>
            </w:r>
          </w:p>
        </w:tc>
        <w:tc>
          <w:tcPr>
            <w:tcW w:type="dxa" w:w="964"/>
            <w:vAlign w:val="center"/>
          </w:tcPr>
          <w:p>
            <w:pPr>
              <w:spacing w:after="0" w:before="0"/>
              <w:jc w:val="center"/>
            </w:pPr>
            <w:r>
              <w:rPr>
                <w:sz w:val="18"/>
              </w:rPr>
            </w:r>
            <w:r>
              <w:rPr>
                <w:sz w:val="18"/>
              </w:rPr>
              <w:t>1.382</w:t>
            </w:r>
          </w:p>
        </w:tc>
        <w:tc>
          <w:tcPr>
            <w:tcW w:type="dxa" w:w="1134"/>
            <w:vAlign w:val="center"/>
          </w:tcPr>
          <w:p>
            <w:pPr>
              <w:spacing w:after="0" w:before="0"/>
              <w:jc w:val="center"/>
            </w:pPr>
            <w:r>
              <w:rPr>
                <w:sz w:val="18"/>
              </w:rPr>
            </w:r>
            <w:r>
              <w:rPr>
                <w:sz w:val="18"/>
              </w:rPr>
              <w:t>6.46</w:t>
            </w:r>
          </w:p>
        </w:tc>
      </w:tr>
      <w:tr>
        <w:tc>
          <w:tcPr>
            <w:tcW w:type="dxa" w:w="2608"/>
            <w:vAlign w:val="center"/>
          </w:tcPr>
          <w:p>
            <w:pPr>
              <w:spacing w:after="0" w:before="0"/>
            </w:pPr>
            <w:r>
              <w:rPr>
                <w:sz w:val="18"/>
              </w:rPr>
            </w:r>
            <w:r>
              <w:rPr>
                <w:sz w:val="18"/>
              </w:rPr>
              <w:t>Day 2 - 800 yds (2)</w:t>
            </w:r>
          </w:p>
        </w:tc>
        <w:tc>
          <w:tcPr>
            <w:tcW w:type="dxa" w:w="737"/>
            <w:vAlign w:val="center"/>
          </w:tcPr>
          <w:p>
            <w:pPr>
              <w:spacing w:after="0" w:before="0"/>
              <w:jc w:val="center"/>
            </w:pPr>
            <w:r>
              <w:rPr>
                <w:sz w:val="18"/>
              </w:rPr>
            </w:r>
            <w:r>
              <w:rPr>
                <w:sz w:val="18"/>
              </w:rPr>
              <w:t>800</w:t>
            </w:r>
          </w:p>
        </w:tc>
        <w:tc>
          <w:tcPr>
            <w:tcW w:type="dxa" w:w="964"/>
            <w:vAlign w:val="center"/>
          </w:tcPr>
          <w:p>
            <w:pPr>
              <w:spacing w:after="0" w:before="0"/>
              <w:jc w:val="center"/>
            </w:pPr>
            <w:r>
              <w:rPr>
                <w:sz w:val="18"/>
              </w:rPr>
            </w:r>
            <w:r>
              <w:rPr>
                <w:sz w:val="18"/>
              </w:rPr>
              <w:t>1.414</w:t>
            </w:r>
          </w:p>
        </w:tc>
        <w:tc>
          <w:tcPr>
            <w:tcW w:type="dxa" w:w="964"/>
            <w:vAlign w:val="center"/>
          </w:tcPr>
          <w:p>
            <w:pPr>
              <w:spacing w:after="0" w:before="0"/>
              <w:jc w:val="center"/>
            </w:pPr>
            <w:r>
              <w:rPr>
                <w:sz w:val="18"/>
              </w:rPr>
            </w:r>
            <w:r>
              <w:rPr>
                <w:sz w:val="18"/>
              </w:rPr>
              <w:t>1.430</w:t>
            </w:r>
          </w:p>
        </w:tc>
        <w:tc>
          <w:tcPr>
            <w:tcW w:type="dxa" w:w="964"/>
            <w:vAlign w:val="center"/>
          </w:tcPr>
          <w:p>
            <w:pPr>
              <w:spacing w:after="0" w:before="0"/>
              <w:jc w:val="center"/>
            </w:pPr>
            <w:r>
              <w:rPr>
                <w:sz w:val="18"/>
              </w:rPr>
            </w:r>
            <w:r>
              <w:rPr>
                <w:sz w:val="18"/>
              </w:rPr>
              <w:t>1.439</w:t>
            </w:r>
          </w:p>
        </w:tc>
        <w:tc>
          <w:tcPr>
            <w:tcW w:type="dxa" w:w="964"/>
            <w:vAlign w:val="center"/>
          </w:tcPr>
          <w:p>
            <w:pPr>
              <w:spacing w:after="0" w:before="0"/>
              <w:jc w:val="center"/>
            </w:pPr>
            <w:r>
              <w:rPr>
                <w:sz w:val="18"/>
              </w:rPr>
            </w:r>
            <w:r>
              <w:rPr>
                <w:sz w:val="18"/>
              </w:rPr>
              <w:t>1.461</w:t>
            </w:r>
          </w:p>
        </w:tc>
        <w:tc>
          <w:tcPr>
            <w:tcW w:type="dxa" w:w="964"/>
            <w:vAlign w:val="center"/>
          </w:tcPr>
          <w:p>
            <w:pPr>
              <w:spacing w:after="0" w:before="0"/>
              <w:jc w:val="center"/>
            </w:pPr>
            <w:r>
              <w:rPr>
                <w:sz w:val="18"/>
              </w:rPr>
            </w:r>
            <w:r>
              <w:rPr>
                <w:sz w:val="18"/>
              </w:rPr>
              <w:t>1.382</w:t>
            </w:r>
          </w:p>
        </w:tc>
        <w:tc>
          <w:tcPr>
            <w:tcW w:type="dxa" w:w="1134"/>
            <w:vAlign w:val="center"/>
          </w:tcPr>
          <w:p>
            <w:pPr>
              <w:spacing w:after="0" w:before="0"/>
              <w:jc w:val="center"/>
            </w:pPr>
            <w:r>
              <w:rPr>
                <w:sz w:val="18"/>
              </w:rPr>
            </w:r>
            <w:r>
              <w:rPr>
                <w:sz w:val="18"/>
              </w:rPr>
              <w:t>6.35</w:t>
            </w:r>
          </w:p>
        </w:tc>
      </w:tr>
      <w:tr>
        <w:tc>
          <w:tcPr>
            <w:tcW w:type="dxa" w:w="2608"/>
            <w:vAlign w:val="center"/>
          </w:tcPr>
          <w:p>
            <w:pPr>
              <w:spacing w:after="0" w:before="0"/>
            </w:pPr>
            <w:r>
              <w:rPr>
                <w:sz w:val="18"/>
              </w:rPr>
            </w:r>
            <w:r>
              <w:rPr>
                <w:sz w:val="18"/>
              </w:rPr>
              <w:t>Day 2 - 900 yds (1)</w:t>
            </w:r>
          </w:p>
        </w:tc>
        <w:tc>
          <w:tcPr>
            <w:tcW w:type="dxa" w:w="737"/>
            <w:vAlign w:val="center"/>
          </w:tcPr>
          <w:p>
            <w:pPr>
              <w:spacing w:after="0" w:before="0"/>
              <w:jc w:val="center"/>
            </w:pPr>
            <w:r>
              <w:rPr>
                <w:sz w:val="18"/>
              </w:rPr>
            </w:r>
            <w:r>
              <w:rPr>
                <w:sz w:val="18"/>
              </w:rPr>
              <w:t>900</w:t>
            </w:r>
          </w:p>
        </w:tc>
        <w:tc>
          <w:tcPr>
            <w:tcW w:type="dxa" w:w="964"/>
            <w:vAlign w:val="center"/>
          </w:tcPr>
          <w:p>
            <w:pPr>
              <w:spacing w:after="0" w:before="0"/>
              <w:jc w:val="center"/>
            </w:pPr>
            <w:r>
              <w:rPr>
                <w:sz w:val="18"/>
              </w:rPr>
            </w:r>
            <w:r>
              <w:rPr>
                <w:sz w:val="18"/>
              </w:rPr>
              <w:t>1.424</w:t>
            </w:r>
          </w:p>
        </w:tc>
        <w:tc>
          <w:tcPr>
            <w:tcW w:type="dxa" w:w="964"/>
            <w:vAlign w:val="center"/>
          </w:tcPr>
          <w:p>
            <w:pPr>
              <w:spacing w:after="0" w:before="0"/>
              <w:jc w:val="center"/>
            </w:pPr>
            <w:r>
              <w:rPr>
                <w:sz w:val="18"/>
              </w:rPr>
            </w:r>
            <w:r>
              <w:rPr>
                <w:sz w:val="18"/>
              </w:rPr>
              <w:t>1.396</w:t>
            </w:r>
          </w:p>
        </w:tc>
        <w:tc>
          <w:tcPr>
            <w:tcW w:type="dxa" w:w="964"/>
            <w:vAlign w:val="center"/>
          </w:tcPr>
          <w:p>
            <w:pPr>
              <w:spacing w:after="0" w:before="0"/>
              <w:jc w:val="center"/>
            </w:pPr>
            <w:r>
              <w:rPr>
                <w:sz w:val="18"/>
              </w:rPr>
            </w:r>
            <w:r>
              <w:rPr>
                <w:sz w:val="18"/>
              </w:rPr>
              <w:t>1.448</w:t>
            </w:r>
          </w:p>
        </w:tc>
        <w:tc>
          <w:tcPr>
            <w:tcW w:type="dxa" w:w="964"/>
            <w:vAlign w:val="center"/>
          </w:tcPr>
          <w:p>
            <w:pPr>
              <w:spacing w:after="0" w:before="0"/>
              <w:jc w:val="center"/>
            </w:pPr>
            <w:r>
              <w:rPr>
                <w:sz w:val="18"/>
              </w:rPr>
            </w:r>
            <w:r>
              <w:rPr>
                <w:sz w:val="18"/>
              </w:rPr>
              <w:t>1.489</w:t>
            </w:r>
          </w:p>
        </w:tc>
        <w:tc>
          <w:tcPr>
            <w:tcW w:type="dxa" w:w="964"/>
            <w:vAlign w:val="center"/>
          </w:tcPr>
          <w:p>
            <w:pPr>
              <w:spacing w:after="0" w:before="0"/>
              <w:jc w:val="center"/>
            </w:pPr>
            <w:r>
              <w:rPr>
                <w:sz w:val="18"/>
              </w:rPr>
            </w:r>
            <w:r>
              <w:rPr>
                <w:sz w:val="18"/>
              </w:rPr>
              <w:t>1.345</w:t>
            </w:r>
          </w:p>
        </w:tc>
        <w:tc>
          <w:tcPr>
            <w:tcW w:type="dxa" w:w="1134"/>
            <w:vAlign w:val="center"/>
          </w:tcPr>
          <w:p>
            <w:pPr>
              <w:spacing w:after="0" w:before="0"/>
              <w:jc w:val="center"/>
            </w:pPr>
            <w:r>
              <w:rPr>
                <w:sz w:val="18"/>
              </w:rPr>
            </w:r>
            <w:r>
              <w:rPr>
                <w:sz w:val="18"/>
              </w:rPr>
              <w:t>6.13</w:t>
            </w:r>
          </w:p>
        </w:tc>
      </w:tr>
      <w:tr>
        <w:tc>
          <w:tcPr>
            <w:tcW w:type="dxa" w:w="2608"/>
            <w:vAlign w:val="center"/>
          </w:tcPr>
          <w:p>
            <w:pPr>
              <w:spacing w:after="0" w:before="0"/>
            </w:pPr>
            <w:r>
              <w:rPr>
                <w:sz w:val="18"/>
              </w:rPr>
            </w:r>
            <w:r>
              <w:rPr>
                <w:sz w:val="18"/>
              </w:rPr>
              <w:t>Day 2 - 900 yds (2)</w:t>
            </w:r>
          </w:p>
        </w:tc>
        <w:tc>
          <w:tcPr>
            <w:tcW w:type="dxa" w:w="737"/>
            <w:vAlign w:val="center"/>
          </w:tcPr>
          <w:p>
            <w:pPr>
              <w:spacing w:after="0" w:before="0"/>
              <w:jc w:val="center"/>
            </w:pPr>
            <w:r>
              <w:rPr>
                <w:sz w:val="18"/>
              </w:rPr>
            </w:r>
            <w:r>
              <w:rPr>
                <w:sz w:val="18"/>
              </w:rPr>
              <w:t>900</w:t>
            </w:r>
          </w:p>
        </w:tc>
        <w:tc>
          <w:tcPr>
            <w:tcW w:type="dxa" w:w="964"/>
            <w:vAlign w:val="center"/>
          </w:tcPr>
          <w:p>
            <w:pPr>
              <w:spacing w:after="0" w:before="0"/>
              <w:jc w:val="center"/>
            </w:pPr>
            <w:r>
              <w:rPr>
                <w:sz w:val="18"/>
              </w:rPr>
            </w:r>
            <w:r>
              <w:rPr>
                <w:sz w:val="18"/>
              </w:rPr>
              <w:t>1.419</w:t>
            </w:r>
          </w:p>
        </w:tc>
        <w:tc>
          <w:tcPr>
            <w:tcW w:type="dxa" w:w="964"/>
            <w:vAlign w:val="center"/>
          </w:tcPr>
          <w:p>
            <w:pPr>
              <w:spacing w:after="0" w:before="0"/>
              <w:jc w:val="center"/>
            </w:pPr>
            <w:r>
              <w:rPr>
                <w:sz w:val="18"/>
              </w:rPr>
            </w:r>
            <w:r>
              <w:rPr>
                <w:sz w:val="18"/>
              </w:rPr>
              <w:t>1.410</w:t>
            </w:r>
          </w:p>
        </w:tc>
        <w:tc>
          <w:tcPr>
            <w:tcW w:type="dxa" w:w="964"/>
            <w:vAlign w:val="center"/>
          </w:tcPr>
          <w:p>
            <w:pPr>
              <w:spacing w:after="0" w:before="0"/>
              <w:jc w:val="center"/>
            </w:pPr>
            <w:r>
              <w:rPr>
                <w:sz w:val="18"/>
              </w:rPr>
            </w:r>
            <w:r>
              <w:rPr>
                <w:sz w:val="18"/>
              </w:rPr>
              <w:t>1.440</w:t>
            </w:r>
          </w:p>
        </w:tc>
        <w:tc>
          <w:tcPr>
            <w:tcW w:type="dxa" w:w="964"/>
            <w:vAlign w:val="center"/>
          </w:tcPr>
          <w:p>
            <w:pPr>
              <w:spacing w:after="0" w:before="0"/>
              <w:jc w:val="center"/>
            </w:pPr>
            <w:r>
              <w:rPr>
                <w:sz w:val="18"/>
              </w:rPr>
            </w:r>
            <w:r>
              <w:rPr>
                <w:sz w:val="18"/>
              </w:rPr>
              <w:t>1.481</w:t>
            </w:r>
          </w:p>
        </w:tc>
        <w:tc>
          <w:tcPr>
            <w:tcW w:type="dxa" w:w="964"/>
            <w:vAlign w:val="center"/>
          </w:tcPr>
          <w:p>
            <w:pPr>
              <w:spacing w:after="0" w:before="0"/>
              <w:jc w:val="center"/>
            </w:pPr>
            <w:r>
              <w:rPr>
                <w:sz w:val="18"/>
              </w:rPr>
            </w:r>
            <w:r>
              <w:rPr>
                <w:sz w:val="18"/>
              </w:rPr>
              <w:t>1.372</w:t>
            </w:r>
          </w:p>
        </w:tc>
        <w:tc>
          <w:tcPr>
            <w:tcW w:type="dxa" w:w="1134"/>
            <w:vAlign w:val="center"/>
          </w:tcPr>
          <w:p>
            <w:pPr>
              <w:spacing w:after="0" w:before="0"/>
              <w:jc w:val="center"/>
            </w:pPr>
            <w:r>
              <w:rPr>
                <w:sz w:val="18"/>
              </w:rPr>
            </w:r>
            <w:r>
              <w:rPr>
                <w:sz w:val="18"/>
              </w:rPr>
              <w:t>6.16</w:t>
            </w:r>
          </w:p>
        </w:tc>
      </w:tr>
      <w:tr>
        <w:tc>
          <w:tcPr>
            <w:tcW w:type="dxa" w:w="2608"/>
            <w:vAlign w:val="center"/>
          </w:tcPr>
          <w:p>
            <w:pPr>
              <w:spacing w:after="0" w:before="0"/>
            </w:pPr>
            <w:r>
              <w:rPr>
                <w:sz w:val="18"/>
              </w:rPr>
            </w:r>
            <w:r>
              <w:rPr>
                <w:sz w:val="18"/>
              </w:rPr>
              <w:t>Day 3 - 900 yds</w:t>
            </w:r>
          </w:p>
        </w:tc>
        <w:tc>
          <w:tcPr>
            <w:tcW w:type="dxa" w:w="737"/>
            <w:vAlign w:val="center"/>
          </w:tcPr>
          <w:p>
            <w:pPr>
              <w:spacing w:after="0" w:before="0"/>
              <w:jc w:val="center"/>
            </w:pPr>
            <w:r>
              <w:rPr>
                <w:sz w:val="18"/>
              </w:rPr>
            </w:r>
            <w:r>
              <w:rPr>
                <w:sz w:val="18"/>
              </w:rPr>
              <w:t>900</w:t>
            </w:r>
          </w:p>
        </w:tc>
        <w:tc>
          <w:tcPr>
            <w:tcW w:type="dxa" w:w="964"/>
            <w:vAlign w:val="center"/>
          </w:tcPr>
          <w:p>
            <w:pPr>
              <w:spacing w:after="0" w:before="0"/>
              <w:jc w:val="center"/>
            </w:pPr>
            <w:r>
              <w:rPr>
                <w:sz w:val="18"/>
              </w:rPr>
            </w:r>
            <w:r>
              <w:rPr>
                <w:sz w:val="18"/>
              </w:rPr>
              <w:t>1.416</w:t>
            </w:r>
          </w:p>
        </w:tc>
        <w:tc>
          <w:tcPr>
            <w:tcW w:type="dxa" w:w="964"/>
            <w:vAlign w:val="center"/>
          </w:tcPr>
          <w:p>
            <w:pPr>
              <w:spacing w:after="0" w:before="0"/>
              <w:jc w:val="center"/>
            </w:pPr>
            <w:r>
              <w:rPr>
                <w:sz w:val="18"/>
              </w:rPr>
            </w:r>
            <w:r>
              <w:rPr>
                <w:sz w:val="18"/>
              </w:rPr>
              <w:t>1.421</w:t>
            </w:r>
          </w:p>
        </w:tc>
        <w:tc>
          <w:tcPr>
            <w:tcW w:type="dxa" w:w="964"/>
            <w:vAlign w:val="center"/>
          </w:tcPr>
          <w:p>
            <w:pPr>
              <w:spacing w:after="0" w:before="0"/>
              <w:jc w:val="center"/>
            </w:pPr>
            <w:r>
              <w:rPr>
                <w:sz w:val="18"/>
              </w:rPr>
            </w:r>
            <w:r>
              <w:rPr>
                <w:sz w:val="18"/>
              </w:rPr>
              <w:t>1.445</w:t>
            </w:r>
          </w:p>
        </w:tc>
        <w:tc>
          <w:tcPr>
            <w:tcW w:type="dxa" w:w="964"/>
            <w:vAlign w:val="center"/>
          </w:tcPr>
          <w:p>
            <w:pPr>
              <w:spacing w:after="0" w:before="0"/>
              <w:jc w:val="center"/>
            </w:pPr>
            <w:r>
              <w:rPr>
                <w:sz w:val="18"/>
              </w:rPr>
            </w:r>
            <w:r>
              <w:rPr>
                <w:sz w:val="18"/>
              </w:rPr>
              <w:t>1.464</w:t>
            </w:r>
          </w:p>
        </w:tc>
        <w:tc>
          <w:tcPr>
            <w:tcW w:type="dxa" w:w="964"/>
            <w:vAlign w:val="center"/>
          </w:tcPr>
          <w:p>
            <w:pPr>
              <w:spacing w:after="0" w:before="0"/>
              <w:jc w:val="center"/>
            </w:pPr>
            <w:r>
              <w:rPr>
                <w:sz w:val="18"/>
              </w:rPr>
            </w:r>
            <w:r>
              <w:rPr>
                <w:sz w:val="18"/>
              </w:rPr>
              <w:t>1.368</w:t>
            </w:r>
          </w:p>
        </w:tc>
        <w:tc>
          <w:tcPr>
            <w:tcW w:type="dxa" w:w="1134"/>
            <w:vAlign w:val="center"/>
          </w:tcPr>
          <w:p>
            <w:pPr>
              <w:spacing w:after="0" w:before="0"/>
              <w:jc w:val="center"/>
            </w:pPr>
            <w:r>
              <w:rPr>
                <w:sz w:val="18"/>
              </w:rPr>
            </w:r>
            <w:r>
              <w:rPr>
                <w:sz w:val="18"/>
              </w:rPr>
              <w:t>6.31</w:t>
            </w:r>
          </w:p>
        </w:tc>
      </w:tr>
      <w:tr>
        <w:tc>
          <w:tcPr>
            <w:tcW w:type="dxa" w:w="2608"/>
            <w:vAlign w:val="center"/>
            <w:shd w:val="clear" w:color="auto" w:fill="FDF3E3"/>
          </w:tcPr>
          <w:p>
            <w:pPr>
              <w:spacing w:after="0" w:before="0"/>
            </w:pPr>
            <w:r>
              <w:rPr>
                <w:sz w:val="18"/>
              </w:rPr>
            </w:r>
            <w:r>
              <w:rPr>
                <w:sz w:val="18"/>
              </w:rPr>
              <w:t>Day 3 - 1000 yds</w:t>
            </w:r>
          </w:p>
        </w:tc>
        <w:tc>
          <w:tcPr>
            <w:tcW w:type="dxa" w:w="737"/>
            <w:vAlign w:val="center"/>
            <w:shd w:val="clear" w:color="auto" w:fill="FDF3E3"/>
          </w:tcPr>
          <w:p>
            <w:pPr>
              <w:spacing w:after="0" w:before="0"/>
              <w:jc w:val="center"/>
            </w:pPr>
            <w:r>
              <w:rPr>
                <w:sz w:val="18"/>
              </w:rPr>
            </w:r>
            <w:r>
              <w:rPr>
                <w:sz w:val="18"/>
              </w:rPr>
              <w:t>1000</w:t>
            </w:r>
          </w:p>
        </w:tc>
        <w:tc>
          <w:tcPr>
            <w:tcW w:type="dxa" w:w="964"/>
            <w:vAlign w:val="center"/>
            <w:shd w:val="clear" w:color="auto" w:fill="FDF3E3"/>
          </w:tcPr>
          <w:p>
            <w:pPr>
              <w:spacing w:after="0" w:before="0"/>
              <w:jc w:val="center"/>
            </w:pPr>
            <w:r>
              <w:rPr>
                <w:sz w:val="18"/>
              </w:rPr>
            </w:r>
            <w:r>
              <w:rPr>
                <w:sz w:val="18"/>
              </w:rPr>
              <w:t>1.447</w:t>
            </w:r>
          </w:p>
        </w:tc>
        <w:tc>
          <w:tcPr>
            <w:tcW w:type="dxa" w:w="964"/>
            <w:vAlign w:val="center"/>
            <w:shd w:val="clear" w:color="auto" w:fill="FDF3E3"/>
          </w:tcPr>
          <w:p>
            <w:pPr>
              <w:spacing w:after="0" w:before="0"/>
              <w:jc w:val="center"/>
            </w:pPr>
            <w:r>
              <w:rPr>
                <w:sz w:val="18"/>
              </w:rPr>
            </w:r>
            <w:r>
              <w:rPr>
                <w:sz w:val="18"/>
              </w:rPr>
              <w:t>1.376</w:t>
            </w:r>
          </w:p>
        </w:tc>
        <w:tc>
          <w:tcPr>
            <w:tcW w:type="dxa" w:w="964"/>
            <w:vAlign w:val="center"/>
            <w:shd w:val="clear" w:color="auto" w:fill="FDF3E3"/>
          </w:tcPr>
          <w:p>
            <w:pPr>
              <w:spacing w:after="0" w:before="0"/>
              <w:jc w:val="center"/>
            </w:pPr>
            <w:r>
              <w:rPr>
                <w:sz w:val="18"/>
              </w:rPr>
            </w:r>
            <w:r>
              <w:rPr>
                <w:sz w:val="18"/>
              </w:rPr>
              <w:t>1.488</w:t>
            </w:r>
          </w:p>
        </w:tc>
        <w:tc>
          <w:tcPr>
            <w:tcW w:type="dxa" w:w="964"/>
            <w:vAlign w:val="center"/>
            <w:shd w:val="clear" w:color="auto" w:fill="FDF3E3"/>
          </w:tcPr>
          <w:p>
            <w:pPr>
              <w:spacing w:after="0" w:before="0"/>
              <w:jc w:val="center"/>
            </w:pPr>
            <w:r>
              <w:rPr>
                <w:sz w:val="18"/>
              </w:rPr>
            </w:r>
            <w:r>
              <w:rPr>
                <w:sz w:val="18"/>
              </w:rPr>
              <w:t>1.469</w:t>
            </w:r>
          </w:p>
        </w:tc>
        <w:tc>
          <w:tcPr>
            <w:tcW w:type="dxa" w:w="964"/>
            <w:vAlign w:val="center"/>
            <w:shd w:val="clear" w:color="auto" w:fill="FDF3E3"/>
          </w:tcPr>
          <w:p>
            <w:pPr>
              <w:spacing w:after="0" w:before="0"/>
              <w:jc w:val="center"/>
            </w:pPr>
            <w:r>
              <w:rPr>
                <w:sz w:val="18"/>
              </w:rPr>
            </w:r>
            <w:r>
              <w:rPr>
                <w:sz w:val="18"/>
              </w:rPr>
              <w:t>1.326</w:t>
            </w:r>
          </w:p>
        </w:tc>
        <w:tc>
          <w:tcPr>
            <w:tcW w:type="dxa" w:w="1134"/>
            <w:vAlign w:val="center"/>
            <w:shd w:val="clear" w:color="auto" w:fill="FDF3E3"/>
          </w:tcPr>
          <w:p>
            <w:pPr>
              <w:spacing w:after="0" w:before="0"/>
              <w:jc w:val="center"/>
            </w:pPr>
            <w:r>
              <w:rPr>
                <w:sz w:val="18"/>
              </w:rPr>
            </w:r>
            <w:r>
              <w:rPr>
                <w:sz w:val="18"/>
              </w:rPr>
              <w:t>5.56</w:t>
            </w:r>
          </w:p>
        </w:tc>
      </w:tr>
    </w:tbl>
    <w:p>
      <w:pPr>
        <w:spacing w:after="60"/>
      </w:pPr>
    </w:p>
    <w:p>
      <w:pPr>
        <w:spacing w:after="100"/>
      </w:pPr>
      <w:r>
        <w:rPr>
          <w:i/>
          <w:color w:val="888888"/>
          <w:sz w:val="17"/>
        </w:rPr>
        <w:t>*Difficulty = mean per-shot merit of the top 40% of the Target Rifle field in that shoot. Higher is easier. TR is used because it is the biggest cohort and is not part of the F-Standard/F-Open comparison below, so the two are independent.</w:t>
      </w:r>
    </w:p>
    <w:p>
      <w:pPr>
        <w:spacing w:after="100"/>
      </w:pPr>
      <w:r>
        <w:rPr>
          <w:sz w:val="20"/>
        </w:rPr>
        <w:t>The 1000-yard shoot is the outlier, exactly where you said the weather hit. In that one shoot F-Standard's implied factor rises to 1.488 while F-Open's falls to 1.376 — a gap of 0.113 against roughly 0.01 to 0.05 everywhere else. That is physically sensible: in hard wind the restricted F-Standard cartridges get pushed around in a way the F-Open rifles do not.</w:t>
      </w:r>
    </w:p>
    <w:p>
      <w:pPr>
        <w:spacing w:after="100"/>
      </w:pPr>
      <w:r>
        <w:rPr>
          <w:b/>
          <w:sz w:val="20"/>
        </w:rPr>
        <w:t>But that is a conditions effect, not a distance effect, and the meeting proves it.</w:t>
      </w:r>
      <w:r>
        <w:rPr>
          <w:sz w:val="20"/>
        </w:rPr>
        <w:t xml:space="preserve"> 900 yards was shot three times — twice on Day 2 and once on Day 3. Those three shoots disagree with each other by roughly half the spread seen across all six distances. Testing it properly, the F-Standard-minus-F-Open gap tracks difficulty far better than it tracks distance:</w:t>
      </w:r>
    </w:p>
    <w:tbl>
      <w:tblPr>
        <w:tblStyle w:val="TableGrid"/>
        <w:tblW w:type="auto" w:w="0"/>
        <w:tblLayout w:type="fixed"/>
        <w:tblLook w:firstColumn="1" w:firstRow="1" w:lastColumn="0" w:lastRow="0" w:noHBand="0" w:noVBand="1" w:val="04A0"/>
      </w:tblPr>
      <w:tblGrid>
        <w:gridCol w:w="4933"/>
        <w:gridCol w:w="4933"/>
      </w:tblGrid>
      <w:tr>
        <w:tc>
          <w:tcPr>
            <w:tcW w:type="dxa" w:w="5953"/>
            <w:vAlign w:val="center"/>
            <w:shd w:val="clear" w:color="auto" w:fill="EEF3F8"/>
          </w:tcPr>
          <w:p>
            <w:pPr>
              <w:spacing w:after="0" w:before="0"/>
            </w:pPr>
            <w:r>
              <w:rPr>
                <w:b/>
                <w:color w:val="1F4E78"/>
                <w:sz w:val="18"/>
              </w:rPr>
            </w:r>
            <w:r>
              <w:rPr>
                <w:b/>
                <w:color w:val="1F4E78"/>
                <w:sz w:val="18"/>
              </w:rPr>
              <w:t>Relationship</w:t>
            </w:r>
          </w:p>
        </w:tc>
        <w:tc>
          <w:tcPr>
            <w:tcW w:type="dxa" w:w="2268"/>
            <w:vAlign w:val="center"/>
            <w:shd w:val="clear" w:color="auto" w:fill="EEF3F8"/>
          </w:tcPr>
          <w:p>
            <w:pPr>
              <w:spacing w:after="0" w:before="0"/>
              <w:jc w:val="center"/>
            </w:pPr>
            <w:r>
              <w:rPr>
                <w:b/>
                <w:color w:val="1F4E78"/>
                <w:sz w:val="18"/>
              </w:rPr>
            </w:r>
            <w:r>
              <w:rPr>
                <w:b/>
                <w:color w:val="1F4E78"/>
                <w:sz w:val="18"/>
              </w:rPr>
              <w:t>Correlation</w:t>
            </w:r>
          </w:p>
        </w:tc>
      </w:tr>
      <w:tr>
        <w:tc>
          <w:tcPr>
            <w:tcW w:type="dxa" w:w="5953"/>
            <w:vAlign w:val="center"/>
            <w:shd w:val="clear" w:color="auto" w:fill="FFF9E6"/>
          </w:tcPr>
          <w:p>
            <w:pPr>
              <w:spacing w:after="0" w:before="0"/>
            </w:pPr>
            <w:r>
              <w:rPr>
                <w:sz w:val="18"/>
              </w:rPr>
            </w:r>
            <w:r>
              <w:rPr>
                <w:sz w:val="18"/>
              </w:rPr>
              <w:t>F-Std minus F-Open gap  vs  difficulty of the shoot</w:t>
            </w:r>
          </w:p>
        </w:tc>
        <w:tc>
          <w:tcPr>
            <w:tcW w:type="dxa" w:w="2268"/>
            <w:vAlign w:val="center"/>
            <w:shd w:val="clear" w:color="auto" w:fill="FFF9E6"/>
          </w:tcPr>
          <w:p>
            <w:pPr>
              <w:spacing w:after="0" w:before="0"/>
              <w:jc w:val="center"/>
            </w:pPr>
            <w:r>
              <w:rPr>
                <w:sz w:val="18"/>
              </w:rPr>
            </w:r>
            <w:r>
              <w:rPr>
                <w:sz w:val="18"/>
              </w:rPr>
              <w:t>r = -0.88</w:t>
            </w:r>
          </w:p>
        </w:tc>
      </w:tr>
      <w:tr>
        <w:tc>
          <w:tcPr>
            <w:tcW w:type="dxa" w:w="5953"/>
            <w:vAlign w:val="center"/>
          </w:tcPr>
          <w:p>
            <w:pPr>
              <w:spacing w:after="0" w:before="0"/>
            </w:pPr>
            <w:r>
              <w:rPr>
                <w:sz w:val="18"/>
              </w:rPr>
            </w:r>
            <w:r>
              <w:rPr>
                <w:sz w:val="18"/>
              </w:rPr>
              <w:t>F-Std minus F-Open gap  vs  distance</w:t>
            </w:r>
          </w:p>
        </w:tc>
        <w:tc>
          <w:tcPr>
            <w:tcW w:type="dxa" w:w="2268"/>
            <w:vAlign w:val="center"/>
          </w:tcPr>
          <w:p>
            <w:pPr>
              <w:spacing w:after="0" w:before="0"/>
              <w:jc w:val="center"/>
            </w:pPr>
            <w:r>
              <w:rPr>
                <w:sz w:val="18"/>
              </w:rPr>
            </w:r>
            <w:r>
              <w:rPr>
                <w:sz w:val="18"/>
              </w:rPr>
              <w:t>r = +0.43</w:t>
            </w:r>
          </w:p>
        </w:tc>
      </w:tr>
      <w:tr>
        <w:tc>
          <w:tcPr>
            <w:tcW w:type="dxa" w:w="5953"/>
            <w:vAlign w:val="center"/>
          </w:tcPr>
          <w:p>
            <w:pPr>
              <w:spacing w:after="0" w:before="0"/>
            </w:pPr>
            <w:r>
              <w:rPr>
                <w:sz w:val="18"/>
              </w:rPr>
            </w:r>
            <w:r>
              <w:rPr>
                <w:sz w:val="18"/>
              </w:rPr>
              <w:t>Difficulty  vs  distance</w:t>
            </w:r>
          </w:p>
        </w:tc>
        <w:tc>
          <w:tcPr>
            <w:tcW w:type="dxa" w:w="2268"/>
            <w:vAlign w:val="center"/>
          </w:tcPr>
          <w:p>
            <w:pPr>
              <w:spacing w:after="0" w:before="0"/>
              <w:jc w:val="center"/>
            </w:pPr>
            <w:r>
              <w:rPr>
                <w:sz w:val="18"/>
              </w:rPr>
            </w:r>
            <w:r>
              <w:rPr>
                <w:sz w:val="18"/>
              </w:rPr>
              <w:t>r = -0.61</w:t>
            </w:r>
          </w:p>
        </w:tc>
      </w:tr>
    </w:tbl>
    <w:p>
      <w:pPr>
        <w:spacing w:after="60"/>
      </w:pPr>
    </w:p>
    <w:tbl>
      <w:tblPr>
        <w:tblW w:type="auto" w:w="0"/>
        <w:tblLayout w:type="fixed"/>
        <w:tblLook w:firstColumn="1" w:firstRow="1" w:lastColumn="0" w:lastRow="0" w:noHBand="0" w:noVBand="1" w:val="04A0"/>
      </w:tblPr>
      <w:tblGrid>
        <w:gridCol w:w="9866"/>
      </w:tblGrid>
      <w:tr>
        <w:tc>
          <w:tcPr>
            <w:tcW w:type="dxa" w:w="9865"/>
            <w:shd w:val="clear" w:color="auto" w:fill="FDF3E3"/>
            <w:tcBorders>
              <w:left w:val="single" w:sz="24" w:space="0" w:color="B07A2B"/>
            </w:tcBorders>
          </w:tcPr>
          <w:p>
            <w:pPr>
              <w:spacing w:before="40" w:after="40"/>
            </w:pPr>
            <w:r>
              <w:rPr>
                <w:sz w:val="21"/>
              </w:rPr>
            </w:r>
            <w:r>
              <w:rPr>
                <w:b/>
                <w:sz w:val="21"/>
              </w:rPr>
              <w:t>Recommendation on distance:</w:t>
            </w:r>
            <w:r>
              <w:rPr>
                <w:sz w:val="21"/>
              </w:rPr>
              <w:t xml:space="preserve"> agreed, we are not ready — and the reason is sharper than "not enough data". Distance is only a proxy for difficulty, and a leaky one. A distance-indexed factor fitted to this meeting would mostly be encoding the weather on the Saturday. When we do build it, the variable to index on is probably </w:t>
            </w:r>
            <w:r>
              <w:rPr>
                <w:b/>
                <w:sz w:val="21"/>
              </w:rPr>
              <w:t>measured difficulty of the shoot</w:t>
            </w:r>
            <w:r>
              <w:rPr>
                <w:sz w:val="21"/>
              </w:rPr>
              <w:t xml:space="preserve"> — which the field's own scores give us for free — with distance as one input to that, not the index itself.</w:t>
            </w:r>
          </w:p>
        </w:tc>
      </w:tr>
    </w:tbl>
    <w:p>
      <w:pPr>
        <w:spacing w:after="60"/>
      </w:pPr>
    </w:p>
    <w:p>
      <w:pPr>
        <w:spacing w:after="100"/>
      </w:pPr>
      <w:r>
        <w:rPr>
          <w:i/>
          <w:color w:val="888888"/>
          <w:sz w:val="17"/>
        </w:rPr>
        <w:t>Caveat: 9 shoots, and distance and difficulty are themselves correlated (r = -0.61). Treat this as a direction to test across more meetings, not a fitted result.</w:t>
      </w:r>
    </w:p>
    <w:p>
      <w:pPr>
        <w:spacing w:before="160" w:after="40"/>
      </w:pPr>
      <w:r>
        <w:rPr>
          <w:b/>
          <w:color w:val="1F4E78"/>
          <w:sz w:val="23"/>
        </w:rPr>
        <w:t>6. What I suggest we do</w:t>
      </w:r>
    </w:p>
    <w:p>
      <w:pPr>
        <w:pStyle w:val="ListBullet"/>
        <w:spacing w:after="40"/>
      </w:pPr>
      <w:r>
        <w:rPr>
          <w:b/>
          <w:sz w:val="20"/>
        </w:rPr>
        <w:t>Change nothing in V5 now.</w:t>
      </w:r>
      <w:r>
        <w:rPr>
          <w:sz w:val="20"/>
        </w:rPr>
        <w:t xml:space="preserve"> Two fresh championships and ~3,900 new strings leave every factor where it is.</w:t>
      </w:r>
    </w:p>
    <w:p>
      <w:pPr>
        <w:pStyle w:val="ListBullet"/>
        <w:spacing w:after="40"/>
      </w:pPr>
      <w:r>
        <w:rPr>
          <w:b/>
          <w:sz w:val="20"/>
        </w:rPr>
        <w:t>Put F-Standard on the watch list.</w:t>
      </w:r>
      <w:r>
        <w:rPr>
          <w:sz w:val="20"/>
        </w:rPr>
        <w:t xml:space="preserve"> Two independent events and the per-shot baseline all point the same way — 1.475 may be a shade high. One more season before touching it.</w:t>
      </w:r>
    </w:p>
    <w:p>
      <w:pPr>
        <w:pStyle w:val="ListBullet"/>
        <w:spacing w:after="40"/>
      </w:pPr>
      <w:r>
        <w:rPr>
          <w:b/>
          <w:sz w:val="20"/>
        </w:rPr>
        <w:t>Fix the pooling method before the next recalibration.</w:t>
      </w:r>
      <w:r>
        <w:rPr>
          <w:sz w:val="20"/>
        </w:rPr>
        <w:t xml:space="preserve"> Normalise merit per shot so the calibration is not sensitive to how many 10- versus 15-shot matches happen to be in the data. This is a genuine robustness improvement that this exercise flushed out.</w:t>
      </w:r>
    </w:p>
    <w:p>
      <w:pPr>
        <w:pStyle w:val="ListBullet"/>
        <w:spacing w:after="40"/>
      </w:pPr>
      <w:r>
        <w:rPr>
          <w:b/>
          <w:sz w:val="20"/>
        </w:rPr>
        <w:t>Rebuild the prize-meet scrape</w:t>
      </w:r>
      <w:r>
        <w:rPr>
          <w:sz w:val="20"/>
        </w:rPr>
        <w:t xml:space="preserve"> so the calibration pool is fully reproducible again rather than depending on a cache that has since been cleared.</w:t>
      </w:r>
    </w:p>
    <w:p>
      <w:pPr>
        <w:pStyle w:val="ListBullet"/>
        <w:spacing w:after="40"/>
      </w:pPr>
      <w:r>
        <w:rPr>
          <w:b/>
          <w:sz w:val="20"/>
        </w:rPr>
        <w:t>Keep collecting distance-tagged results.</w:t>
      </w:r>
      <w:r>
        <w:rPr>
          <w:sz w:val="20"/>
        </w:rPr>
        <w:t xml:space="preserve"> QRA publishes them; if we can get the same from other associations we can properly test a difficulty-aware model next season.</w:t>
      </w:r>
    </w:p>
    <w:p>
      <w:pPr>
        <w:spacing w:after="80"/>
        <w:pBdr>
          <w:bottom w:val="single" w:sz="6" w:space="1" w:color="CCCCCC"/>
        </w:pBdr>
      </w:pPr>
    </w:p>
    <w:p>
      <w:pPr>
        <w:spacing w:after="100"/>
      </w:pPr>
      <w:r>
        <w:rPr>
          <w:i/>
          <w:color w:val="888888"/>
          <w:sz w:val="17"/>
        </w:rPr>
        <w:t>Sources: QRA Kings Prize Shoot 2026 results (shooting.hexsystems.com.au/competition/711), validated string-by-string against all 1,089 published aggregate rows; NSWRA 150th Annual Open Championships 2026; national K&amp;Q pool, 20,335 strings from 2024 onward across seven associations. Accompanying file: QRA_Kings_2026_scores.csv — every string with its V5 and June-13 adjusted score. Reproduce with fetch_qra_v5.py, analyse_qra_v5.py, compare_qra_nswra.py, pool_recalibration.py.</w:t>
      </w:r>
    </w:p>
    <w:sectPr w:rsidR="00FC693F" w:rsidRPr="0006063C" w:rsidSect="00034616">
      <w:pgSz w:w="11906" w:h="16838"/>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