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4E78"/>
          <w:sz w:val="40"/>
        </w:rPr>
        <w:t>Multi-Class Shooting Index (MCSI) Formula V5</w:t>
      </w:r>
    </w:p>
    <w:p>
      <w:pPr>
        <w:spacing w:after="280"/>
      </w:pPr>
      <w:r>
        <w:rPr>
          <w:i/>
          <w:color w:val="444444"/>
          <w:sz w:val="24"/>
        </w:rPr>
        <w:t>One-page committee briefing — June 2026</w:t>
      </w:r>
    </w:p>
    <w:p>
      <w:pPr>
        <w:pBdr>
          <w:bottom w:val="single" w:sz="6" w:space="1" w:color="CCCCCC"/>
        </w:pBdr>
      </w:pPr>
    </w:p>
    <w:p>
      <w:pPr>
        <w:spacing w:before="200" w:after="80"/>
      </w:pPr>
      <w:r>
        <w:rPr>
          <w:b/>
          <w:color w:val="1F4E78"/>
          <w:sz w:val="24"/>
        </w:rPr>
        <w:t>Recommendation</w:t>
      </w:r>
    </w:p>
    <w:p>
      <w:pPr>
        <w:spacing w:after="120"/>
      </w:pPr>
      <w:r>
        <w:rPr>
          <w:b/>
          <w:sz w:val="21"/>
        </w:rPr>
        <w:t>Adopt V5 as the active MCSI formula for club championship scoring.</w:t>
      </w:r>
      <w:r>
        <w:rPr>
          <w:sz w:val="21"/>
        </w:rPr>
        <w:t xml:space="preserve"> V5 is calibrated against 20,335 K&amp;Q championship strings from 2024 onwards, across all seven Australian state and national associations. Statistical confidence intervals are tight (±0.015 factor SE or better on every discipline).</w:t>
      </w:r>
    </w:p>
    <w:p>
      <w:pPr>
        <w:spacing w:after="120"/>
      </w:pPr>
      <w:r>
        <w:rPr>
          <w:b/>
          <w:sz w:val="21"/>
        </w:rPr>
        <w:t>A headline finding worth noting up front:</w:t>
      </w:r>
      <w:r>
        <w:rPr>
          <w:sz w:val="21"/>
        </w:rPr>
        <w:t xml:space="preserve"> the five V5 factors span only 0.092 (from 1.383 to 1.475) — a much narrower range than commonly perceived. V5 concludes that the disciplines are far closer in difficulty than shooter intuition often suggests; the formula is more about fairness in centre-rewarding and conversion than about large equipment penalties.</w:t>
      </w:r>
    </w:p>
    <w:p>
      <w:pPr>
        <w:spacing w:before="200" w:after="80"/>
      </w:pPr>
      <w:r>
        <w:rPr>
          <w:b/>
          <w:color w:val="1F4E78"/>
          <w:sz w:val="24"/>
        </w:rPr>
        <w:t>V5 factors</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4252"/>
            <w:vAlign w:val="center"/>
            <w:shd w:val="clear" w:color="auto" w:fill="EEF3F8"/>
          </w:tcPr>
          <w:p>
            <w:pPr>
              <w:spacing w:after="0" w:before="0"/>
            </w:pPr>
            <w:r>
              <w:rPr>
                <w:b/>
                <w:color w:val="1F4E78"/>
                <w:sz w:val="19"/>
              </w:rPr>
            </w:r>
            <w:r>
              <w:rPr>
                <w:b/>
                <w:color w:val="1F4E78"/>
                <w:sz w:val="19"/>
              </w:rPr>
              <w:t>Discipline</w:t>
            </w:r>
          </w:p>
        </w:tc>
        <w:tc>
          <w:tcPr>
            <w:tcW w:type="dxa" w:w="1417"/>
            <w:vAlign w:val="center"/>
            <w:shd w:val="clear" w:color="auto" w:fill="EEF3F8"/>
          </w:tcPr>
          <w:p>
            <w:pPr>
              <w:spacing w:after="0" w:before="0"/>
            </w:pPr>
            <w:r>
              <w:rPr>
                <w:b/>
                <w:color w:val="1F4E78"/>
                <w:sz w:val="19"/>
              </w:rPr>
            </w:r>
            <w:r>
              <w:rPr>
                <w:b/>
                <w:color w:val="1F4E78"/>
                <w:sz w:val="19"/>
              </w:rPr>
              <w:t>Factor</w:t>
            </w:r>
          </w:p>
        </w:tc>
        <w:tc>
          <w:tcPr>
            <w:tcW w:type="dxa" w:w="1417"/>
            <w:vAlign w:val="center"/>
            <w:shd w:val="clear" w:color="auto" w:fill="EEF3F8"/>
          </w:tcPr>
          <w:p>
            <w:pPr>
              <w:spacing w:after="0" w:before="0"/>
            </w:pPr>
            <w:r>
              <w:rPr>
                <w:b/>
                <w:color w:val="1F4E78"/>
                <w:sz w:val="19"/>
              </w:rPr>
            </w:r>
            <w:r>
              <w:rPr>
                <w:b/>
                <w:color w:val="1F4E78"/>
                <w:sz w:val="19"/>
              </w:rPr>
              <w:t>Conversion</w:t>
            </w:r>
          </w:p>
        </w:tc>
        <w:tc>
          <w:tcPr>
            <w:tcW w:type="dxa" w:w="1701"/>
            <w:vAlign w:val="center"/>
            <w:shd w:val="clear" w:color="auto" w:fill="EEF3F8"/>
          </w:tcPr>
          <w:p>
            <w:pPr>
              <w:spacing w:after="0" w:before="0"/>
            </w:pPr>
            <w:r>
              <w:rPr>
                <w:b/>
                <w:color w:val="1F4E78"/>
                <w:sz w:val="19"/>
              </w:rPr>
            </w:r>
            <w:r>
              <w:rPr>
                <w:b/>
                <w:color w:val="1F4E78"/>
                <w:sz w:val="19"/>
              </w:rPr>
              <w:t>Centre weight</w:t>
            </w:r>
          </w:p>
        </w:tc>
      </w:tr>
      <w:tr>
        <w:tc>
          <w:tcPr>
            <w:tcW w:type="dxa" w:w="4252"/>
            <w:vAlign w:val="center"/>
          </w:tcPr>
          <w:p>
            <w:pPr>
              <w:spacing w:after="0" w:before="0"/>
            </w:pPr>
            <w:r>
              <w:rPr>
                <w:sz w:val="19"/>
              </w:rPr>
            </w:r>
            <w:r>
              <w:rPr>
                <w:sz w:val="19"/>
              </w:rPr>
              <w:t>Target Rifle (TR)</w:t>
            </w:r>
          </w:p>
        </w:tc>
        <w:tc>
          <w:tcPr>
            <w:tcW w:type="dxa" w:w="1417"/>
            <w:vAlign w:val="center"/>
          </w:tcPr>
          <w:p>
            <w:pPr>
              <w:spacing w:after="0" w:before="0"/>
            </w:pPr>
            <w:r>
              <w:rPr>
                <w:sz w:val="19"/>
              </w:rPr>
            </w:r>
            <w:r>
              <w:rPr>
                <w:sz w:val="19"/>
              </w:rPr>
              <w:t>1.412</w:t>
            </w:r>
          </w:p>
        </w:tc>
        <w:tc>
          <w:tcPr>
            <w:tcW w:type="dxa" w:w="1417"/>
            <w:vAlign w:val="center"/>
          </w:tcPr>
          <w:p>
            <w:pPr>
              <w:spacing w:after="0" w:before="0"/>
            </w:pPr>
            <w:r>
              <w:rPr>
                <w:sz w:val="19"/>
              </w:rPr>
            </w:r>
            <w:r>
              <w:rPr>
                <w:sz w:val="19"/>
              </w:rPr>
              <w:t>1.20</w:t>
            </w:r>
          </w:p>
        </w:tc>
        <w:tc>
          <w:tcPr>
            <w:tcW w:type="dxa" w:w="1701"/>
            <w:vAlign w:val="center"/>
          </w:tcPr>
          <w:p>
            <w:pPr>
              <w:spacing w:after="0" w:before="0"/>
            </w:pPr>
            <w:r>
              <w:rPr>
                <w:sz w:val="19"/>
              </w:rPr>
            </w:r>
            <w:r>
              <w:rPr>
                <w:sz w:val="19"/>
              </w:rPr>
              <w:t>0.70</w:t>
            </w:r>
          </w:p>
        </w:tc>
      </w:tr>
      <w:tr>
        <w:tc>
          <w:tcPr>
            <w:tcW w:type="dxa" w:w="4252"/>
            <w:vAlign w:val="center"/>
          </w:tcPr>
          <w:p>
            <w:pPr>
              <w:spacing w:after="0" w:before="0"/>
            </w:pPr>
            <w:r>
              <w:rPr>
                <w:sz w:val="19"/>
              </w:rPr>
            </w:r>
            <w:r>
              <w:rPr>
                <w:sz w:val="19"/>
              </w:rPr>
              <w:t>F-Open</w:t>
            </w:r>
          </w:p>
        </w:tc>
        <w:tc>
          <w:tcPr>
            <w:tcW w:type="dxa" w:w="1417"/>
            <w:vAlign w:val="center"/>
          </w:tcPr>
          <w:p>
            <w:pPr>
              <w:spacing w:after="0" w:before="0"/>
            </w:pPr>
            <w:r>
              <w:rPr>
                <w:sz w:val="19"/>
              </w:rPr>
            </w:r>
            <w:r>
              <w:rPr>
                <w:sz w:val="19"/>
              </w:rPr>
              <w:t>1.406</w:t>
            </w:r>
          </w:p>
        </w:tc>
        <w:tc>
          <w:tcPr>
            <w:tcW w:type="dxa" w:w="1417"/>
            <w:vAlign w:val="center"/>
          </w:tcPr>
          <w:p>
            <w:pPr>
              <w:spacing w:after="0" w:before="0"/>
            </w:pPr>
            <w:r>
              <w:rPr>
                <w:sz w:val="19"/>
              </w:rPr>
            </w:r>
            <w:r>
              <w:rPr>
                <w:sz w:val="19"/>
              </w:rPr>
              <w:t>1.00</w:t>
            </w:r>
          </w:p>
        </w:tc>
        <w:tc>
          <w:tcPr>
            <w:tcW w:type="dxa" w:w="1701"/>
            <w:vAlign w:val="center"/>
          </w:tcPr>
          <w:p>
            <w:pPr>
              <w:spacing w:after="0" w:before="0"/>
            </w:pPr>
            <w:r>
              <w:rPr>
                <w:sz w:val="19"/>
              </w:rPr>
            </w:r>
            <w:r>
              <w:rPr>
                <w:sz w:val="19"/>
              </w:rPr>
              <w:t>0.70</w:t>
            </w:r>
          </w:p>
        </w:tc>
      </w:tr>
      <w:tr>
        <w:tc>
          <w:tcPr>
            <w:tcW w:type="dxa" w:w="4252"/>
            <w:vAlign w:val="center"/>
          </w:tcPr>
          <w:p>
            <w:pPr>
              <w:spacing w:after="0" w:before="0"/>
            </w:pPr>
            <w:r>
              <w:rPr>
                <w:sz w:val="19"/>
              </w:rPr>
            </w:r>
            <w:r>
              <w:rPr>
                <w:sz w:val="19"/>
              </w:rPr>
              <w:t>F-Standard</w:t>
            </w:r>
          </w:p>
        </w:tc>
        <w:tc>
          <w:tcPr>
            <w:tcW w:type="dxa" w:w="1417"/>
            <w:vAlign w:val="center"/>
          </w:tcPr>
          <w:p>
            <w:pPr>
              <w:spacing w:after="0" w:before="0"/>
            </w:pPr>
            <w:r>
              <w:rPr>
                <w:sz w:val="19"/>
              </w:rPr>
            </w:r>
            <w:r>
              <w:rPr>
                <w:sz w:val="19"/>
              </w:rPr>
              <w:t>1.475</w:t>
            </w:r>
          </w:p>
        </w:tc>
        <w:tc>
          <w:tcPr>
            <w:tcW w:type="dxa" w:w="1417"/>
            <w:vAlign w:val="center"/>
          </w:tcPr>
          <w:p>
            <w:pPr>
              <w:spacing w:after="0" w:before="0"/>
            </w:pPr>
            <w:r>
              <w:rPr>
                <w:sz w:val="19"/>
              </w:rPr>
            </w:r>
            <w:r>
              <w:rPr>
                <w:sz w:val="19"/>
              </w:rPr>
              <w:t>1.00</w:t>
            </w:r>
          </w:p>
        </w:tc>
        <w:tc>
          <w:tcPr>
            <w:tcW w:type="dxa" w:w="1701"/>
            <w:vAlign w:val="center"/>
          </w:tcPr>
          <w:p>
            <w:pPr>
              <w:spacing w:after="0" w:before="0"/>
            </w:pPr>
            <w:r>
              <w:rPr>
                <w:sz w:val="19"/>
              </w:rPr>
            </w:r>
            <w:r>
              <w:rPr>
                <w:sz w:val="19"/>
              </w:rPr>
              <w:t>0.70</w:t>
            </w:r>
          </w:p>
        </w:tc>
      </w:tr>
      <w:tr>
        <w:tc>
          <w:tcPr>
            <w:tcW w:type="dxa" w:w="4252"/>
            <w:vAlign w:val="center"/>
          </w:tcPr>
          <w:p>
            <w:pPr>
              <w:spacing w:after="0" w:before="0"/>
            </w:pPr>
            <w:r>
              <w:rPr>
                <w:sz w:val="19"/>
              </w:rPr>
            </w:r>
            <w:r>
              <w:rPr>
                <w:sz w:val="19"/>
              </w:rPr>
              <w:t>F/TR (FTR)</w:t>
            </w:r>
          </w:p>
        </w:tc>
        <w:tc>
          <w:tcPr>
            <w:tcW w:type="dxa" w:w="1417"/>
            <w:vAlign w:val="center"/>
          </w:tcPr>
          <w:p>
            <w:pPr>
              <w:spacing w:after="0" w:before="0"/>
            </w:pPr>
            <w:r>
              <w:rPr>
                <w:sz w:val="19"/>
              </w:rPr>
            </w:r>
            <w:r>
              <w:rPr>
                <w:sz w:val="19"/>
              </w:rPr>
              <w:t>1.450</w:t>
            </w:r>
          </w:p>
        </w:tc>
        <w:tc>
          <w:tcPr>
            <w:tcW w:type="dxa" w:w="1417"/>
            <w:vAlign w:val="center"/>
          </w:tcPr>
          <w:p>
            <w:pPr>
              <w:spacing w:after="0" w:before="0"/>
            </w:pPr>
            <w:r>
              <w:rPr>
                <w:sz w:val="19"/>
              </w:rPr>
            </w:r>
            <w:r>
              <w:rPr>
                <w:sz w:val="19"/>
              </w:rPr>
              <w:t>1.00</w:t>
            </w:r>
          </w:p>
        </w:tc>
        <w:tc>
          <w:tcPr>
            <w:tcW w:type="dxa" w:w="1701"/>
            <w:vAlign w:val="center"/>
          </w:tcPr>
          <w:p>
            <w:pPr>
              <w:spacing w:after="0" w:before="0"/>
            </w:pPr>
            <w:r>
              <w:rPr>
                <w:sz w:val="19"/>
              </w:rPr>
            </w:r>
            <w:r>
              <w:rPr>
                <w:sz w:val="19"/>
              </w:rPr>
              <w:t>0.70</w:t>
            </w:r>
          </w:p>
        </w:tc>
      </w:tr>
      <w:tr>
        <w:tc>
          <w:tcPr>
            <w:tcW w:type="dxa" w:w="4252"/>
            <w:vAlign w:val="center"/>
          </w:tcPr>
          <w:p>
            <w:pPr>
              <w:spacing w:after="0" w:before="0"/>
            </w:pPr>
            <w:r>
              <w:rPr>
                <w:sz w:val="19"/>
              </w:rPr>
            </w:r>
            <w:r>
              <w:rPr>
                <w:sz w:val="19"/>
              </w:rPr>
              <w:t>Sporter (Open + Production merged)</w:t>
            </w:r>
          </w:p>
        </w:tc>
        <w:tc>
          <w:tcPr>
            <w:tcW w:type="dxa" w:w="1417"/>
            <w:vAlign w:val="center"/>
          </w:tcPr>
          <w:p>
            <w:pPr>
              <w:spacing w:after="0" w:before="0"/>
            </w:pPr>
            <w:r>
              <w:rPr>
                <w:sz w:val="19"/>
              </w:rPr>
            </w:r>
            <w:r>
              <w:rPr>
                <w:sz w:val="19"/>
              </w:rPr>
              <w:t>1.383</w:t>
            </w:r>
          </w:p>
        </w:tc>
        <w:tc>
          <w:tcPr>
            <w:tcW w:type="dxa" w:w="1417"/>
            <w:vAlign w:val="center"/>
          </w:tcPr>
          <w:p>
            <w:pPr>
              <w:spacing w:after="0" w:before="0"/>
            </w:pPr>
            <w:r>
              <w:rPr>
                <w:sz w:val="19"/>
              </w:rPr>
            </w:r>
            <w:r>
              <w:rPr>
                <w:sz w:val="19"/>
              </w:rPr>
              <w:t>1.20</w:t>
            </w:r>
          </w:p>
        </w:tc>
        <w:tc>
          <w:tcPr>
            <w:tcW w:type="dxa" w:w="1701"/>
            <w:vAlign w:val="center"/>
          </w:tcPr>
          <w:p>
            <w:pPr>
              <w:spacing w:after="0" w:before="0"/>
            </w:pPr>
            <w:r>
              <w:rPr>
                <w:sz w:val="19"/>
              </w:rPr>
            </w:r>
            <w:r>
              <w:rPr>
                <w:sz w:val="19"/>
              </w:rPr>
              <w:t>0.70</w:t>
            </w:r>
          </w:p>
        </w:tc>
      </w:tr>
    </w:tbl>
    <w:p>
      <w:pPr>
        <w:spacing w:after="80"/>
      </w:pPr>
    </w:p>
    <w:p>
      <w:pPr>
        <w:spacing w:after="160"/>
      </w:pPr>
      <w:r>
        <w:rPr>
          <w:i/>
          <w:color w:val="888888"/>
          <w:sz w:val="18"/>
        </w:rPr>
        <w:t>Adjusted MCSI = (Raw Score × Conversion + Centres × 0.7) × Factor</w:t>
      </w:r>
    </w:p>
    <w:p>
      <w:pPr>
        <w:spacing w:before="200" w:after="80"/>
      </w:pPr>
      <w:r>
        <w:rPr>
          <w:b/>
          <w:color w:val="1F4E78"/>
          <w:sz w:val="24"/>
        </w:rPr>
        <w:t>Why this calibration source</w:t>
      </w:r>
    </w:p>
    <w:p>
      <w:pPr>
        <w:pStyle w:val="ListBullet"/>
        <w:spacing w:after="60"/>
      </w:pPr>
      <w:r>
        <w:rPr>
          <w:sz w:val="21"/>
        </w:rPr>
        <w:t>K&amp;Q championships are the only Australian event class where all five disciplines fire on the same days in the same conditions (13 of 14 events qualify).</w:t>
      </w:r>
    </w:p>
    <w:p>
      <w:pPr>
        <w:pStyle w:val="ListBullet"/>
        <w:spacing w:after="60"/>
      </w:pPr>
      <w:r>
        <w:rPr>
          <w:sz w:val="21"/>
        </w:rPr>
        <w:t>Cross-state participation provides ~1,000+ distinct shooters across many clubs — minimising per-club bias by design.</w:t>
      </w:r>
    </w:p>
    <w:p>
      <w:pPr>
        <w:pStyle w:val="ListBullet"/>
        <w:spacing w:after="60"/>
      </w:pPr>
      <w:r>
        <w:rPr>
          <w:sz w:val="21"/>
        </w:rPr>
        <w:t>Sample size is 75× larger than any single-club season can produce.</w:t>
      </w:r>
    </w:p>
    <w:p>
      <w:pPr>
        <w:spacing w:before="200" w:after="80"/>
      </w:pPr>
      <w:r>
        <w:rPr>
          <w:b/>
          <w:color w:val="1F4E78"/>
          <w:sz w:val="24"/>
        </w:rPr>
        <w:t>What was investigated and excluded — and why</w:t>
      </w:r>
    </w:p>
    <w:p>
      <w:pPr>
        <w:pStyle w:val="ListBullet"/>
        <w:spacing w:after="60"/>
      </w:pPr>
      <w:r>
        <w:rPr>
          <w:b/>
          <w:sz w:val="21"/>
        </w:rPr>
        <w:t>Open Prize Meet data:</w:t>
      </w:r>
      <w:r>
        <w:rPr>
          <w:sz w:val="21"/>
        </w:rPr>
        <w:t xml:space="preserve"> 223 OPMs scraped. Two structural biases found — regional (WA prize meets shift Sporter factor by 0.06) and per-club discipline specialisation (east-coast OPMs shift TR and Sporter factors by 0.07 each). See Section 4.</w:t>
      </w:r>
    </w:p>
    <w:p>
      <w:pPr>
        <w:pStyle w:val="ListBullet"/>
        <w:spacing w:after="60"/>
      </w:pPr>
      <w:r>
        <w:rPr>
          <w:b/>
          <w:sz w:val="21"/>
        </w:rPr>
        <w:t>Single-club data:</w:t>
      </w:r>
      <w:r>
        <w:rPr>
          <w:sz w:val="21"/>
        </w:rPr>
        <w:t xml:space="preserve"> Projected 95% confidence intervals exceed ±9 MCSI points on Sporter from any club's annual sample — wider than the entire range between top and bottom shooter. Single clubs typically have only 9 F/TR strings from 2 shooters, making F/TR factor calibration impossible. See Section 3.</w:t>
      </w:r>
    </w:p>
    <w:p>
      <w:pPr>
        <w:spacing w:before="200" w:after="80"/>
      </w:pPr>
      <w:r>
        <w:rPr>
          <w:b/>
          <w:color w:val="1F4E78"/>
          <w:sz w:val="24"/>
        </w:rPr>
        <w:t>Statistical validation</w:t>
      </w:r>
    </w:p>
    <w:p>
      <w:pPr>
        <w:spacing w:after="120"/>
      </w:pPr>
      <w:r>
        <w:rPr>
          <w:sz w:val="21"/>
        </w:rPr>
        <w:t>Factor standard errors are tight on every discipline: TR ±0.0077, F-Open ±0.0111, F-Standard ±0.0104, F/TR ±0.0140, Sporter ±0.0152. Top-40% methodology agrees with middle-20% methodology within 0.02 factor points — strong evidence V5 captures the underlying discipline relationship, not an artefact of statistical choice. Full CIs and per-discipline cohort tables in §7.</w:t>
      </w:r>
    </w:p>
    <w:p>
      <w:pPr>
        <w:spacing w:after="160"/>
      </w:pPr>
      <w:r>
        <w:rPr>
          <w:i/>
          <w:color w:val="888888"/>
          <w:sz w:val="18"/>
        </w:rPr>
        <w:t>Detail and methodology follows over the next several pages.</w:t>
      </w:r>
    </w:p>
    <w:p>
      <w:r>
        <w:br w:type="page"/>
      </w:r>
    </w:p>
    <w:p>
      <w:pPr>
        <w:spacing w:after="80"/>
      </w:pPr>
      <w:r>
        <w:rPr>
          <w:b/>
          <w:color w:val="1F4E78"/>
          <w:sz w:val="40"/>
        </w:rPr>
        <w:t>Multi-Class Shooting Index (MCSI) Formula V5</w:t>
      </w:r>
    </w:p>
    <w:p>
      <w:pPr>
        <w:spacing w:after="280"/>
      </w:pPr>
      <w:r>
        <w:rPr>
          <w:i/>
          <w:color w:val="444444"/>
          <w:sz w:val="24"/>
        </w:rPr>
        <w:t>Methodology, Data Selection, and Statistical Justification for Committee Adoption</w:t>
      </w:r>
    </w:p>
    <w:p>
      <w:pPr>
        <w:spacing w:after="160"/>
      </w:pPr>
      <w:r>
        <w:rPr>
          <w:i/>
          <w:color w:val="888888"/>
          <w:sz w:val="18"/>
        </w:rPr>
        <w:t>Prepared for the NRAA / Geelong Rifle Club committee — June 2026</w:t>
      </w:r>
    </w:p>
    <w:p>
      <w:pPr>
        <w:pBdr>
          <w:bottom w:val="single" w:sz="6" w:space="1" w:color="CCCCCC"/>
        </w:pBdr>
      </w:pPr>
    </w:p>
    <w:p>
      <w:pPr>
        <w:spacing w:before="280" w:after="120"/>
      </w:pPr>
      <w:r>
        <w:rPr>
          <w:b/>
          <w:color w:val="1F4E78"/>
          <w:sz w:val="30"/>
        </w:rPr>
        <w:t>Executive Summary</w:t>
      </w:r>
    </w:p>
    <w:p>
      <w:pPr>
        <w:spacing w:after="120"/>
      </w:pPr>
      <w:r>
        <w:rPr>
          <w:sz w:val="21"/>
        </w:rPr>
        <w:t xml:space="preserve">The MCSI formula V5 is recommended for committee adoption. It produces a fair cross-discipline scoring index calibrated against </w:t>
      </w:r>
      <w:r>
        <w:rPr>
          <w:b/>
          <w:sz w:val="21"/>
        </w:rPr>
        <w:t>20,335 King's &amp; Queen's championship strings from 2024 onwards</w:t>
      </w:r>
      <w:r>
        <w:rPr>
          <w:sz w:val="21"/>
        </w:rPr>
        <w:t>, drawn from seven Australian state and national associations. The factors are statistically robust with 95% confidence intervals tighter than ±1.05 MCSI points on all five disciplines.</w:t>
      </w:r>
    </w:p>
    <w:p>
      <w:pPr>
        <w:spacing w:after="120"/>
      </w:pPr>
      <w:r>
        <w:rPr>
          <w:sz w:val="21"/>
        </w:rPr>
        <w:t>This report explains why K&amp;Q championship data was selected as the calibration anchor, why Open Prize Meet (OPM) data was investigated and ultimately excluded, and why single-club datasets are statistically inadequate to support a credible cross-discipline calibration.</w:t>
      </w:r>
    </w:p>
    <w:p>
      <w:pPr>
        <w:spacing w:before="200" w:after="80"/>
      </w:pPr>
      <w:r>
        <w:rPr>
          <w:b/>
          <w:color w:val="1F4E78"/>
          <w:sz w:val="24"/>
        </w:rPr>
        <w:t>Recommended V5 factors:</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4252"/>
            <w:vAlign w:val="center"/>
            <w:shd w:val="clear" w:color="auto" w:fill="EEF3F8"/>
          </w:tcPr>
          <w:p>
            <w:pPr>
              <w:spacing w:after="0" w:before="0"/>
            </w:pPr>
            <w:r>
              <w:rPr>
                <w:b/>
                <w:color w:val="1F4E78"/>
                <w:sz w:val="19"/>
              </w:rPr>
            </w:r>
            <w:r>
              <w:rPr>
                <w:b/>
                <w:color w:val="1F4E78"/>
                <w:sz w:val="19"/>
              </w:rPr>
              <w:t>Discipline</w:t>
            </w:r>
          </w:p>
        </w:tc>
        <w:tc>
          <w:tcPr>
            <w:tcW w:type="dxa" w:w="1587"/>
            <w:vAlign w:val="center"/>
            <w:shd w:val="clear" w:color="auto" w:fill="EEF3F8"/>
          </w:tcPr>
          <w:p>
            <w:pPr>
              <w:spacing w:after="0" w:before="0"/>
            </w:pPr>
            <w:r>
              <w:rPr>
                <w:b/>
                <w:color w:val="1F4E78"/>
                <w:sz w:val="19"/>
              </w:rPr>
            </w:r>
            <w:r>
              <w:rPr>
                <w:b/>
                <w:color w:val="1F4E78"/>
                <w:sz w:val="19"/>
              </w:rPr>
              <w:t>V5 Factor</w:t>
            </w:r>
          </w:p>
        </w:tc>
        <w:tc>
          <w:tcPr>
            <w:tcW w:type="dxa" w:w="1417"/>
            <w:vAlign w:val="center"/>
            <w:shd w:val="clear" w:color="auto" w:fill="EEF3F8"/>
          </w:tcPr>
          <w:p>
            <w:pPr>
              <w:spacing w:after="0" w:before="0"/>
            </w:pPr>
            <w:r>
              <w:rPr>
                <w:b/>
                <w:color w:val="1F4E78"/>
                <w:sz w:val="19"/>
              </w:rPr>
            </w:r>
            <w:r>
              <w:rPr>
                <w:b/>
                <w:color w:val="1F4E78"/>
                <w:sz w:val="19"/>
              </w:rPr>
              <w:t>Conversion</w:t>
            </w:r>
          </w:p>
        </w:tc>
        <w:tc>
          <w:tcPr>
            <w:tcW w:type="dxa" w:w="1814"/>
            <w:vAlign w:val="center"/>
            <w:shd w:val="clear" w:color="auto" w:fill="EEF3F8"/>
          </w:tcPr>
          <w:p>
            <w:pPr>
              <w:spacing w:after="0" w:before="0"/>
            </w:pPr>
            <w:r>
              <w:rPr>
                <w:b/>
                <w:color w:val="1F4E78"/>
                <w:sz w:val="19"/>
              </w:rPr>
            </w:r>
            <w:r>
              <w:rPr>
                <w:b/>
                <w:color w:val="1F4E78"/>
                <w:sz w:val="19"/>
              </w:rPr>
              <w:t>Centre weight</w:t>
            </w:r>
          </w:p>
        </w:tc>
      </w:tr>
      <w:tr>
        <w:tc>
          <w:tcPr>
            <w:tcW w:type="dxa" w:w="4252"/>
            <w:vAlign w:val="center"/>
          </w:tcPr>
          <w:p>
            <w:pPr>
              <w:spacing w:after="0" w:before="0"/>
            </w:pPr>
            <w:r>
              <w:rPr>
                <w:sz w:val="19"/>
              </w:rPr>
            </w:r>
            <w:r>
              <w:rPr>
                <w:sz w:val="19"/>
              </w:rPr>
              <w:t>Target Rifle (TR)</w:t>
            </w:r>
          </w:p>
        </w:tc>
        <w:tc>
          <w:tcPr>
            <w:tcW w:type="dxa" w:w="1587"/>
            <w:vAlign w:val="center"/>
          </w:tcPr>
          <w:p>
            <w:pPr>
              <w:spacing w:after="0" w:before="0"/>
            </w:pPr>
            <w:r>
              <w:rPr>
                <w:sz w:val="19"/>
              </w:rPr>
            </w:r>
            <w:r>
              <w:rPr>
                <w:sz w:val="19"/>
              </w:rPr>
              <w:t>1.412</w:t>
            </w:r>
          </w:p>
        </w:tc>
        <w:tc>
          <w:tcPr>
            <w:tcW w:type="dxa" w:w="1417"/>
            <w:vAlign w:val="center"/>
          </w:tcPr>
          <w:p>
            <w:pPr>
              <w:spacing w:after="0" w:before="0"/>
            </w:pPr>
            <w:r>
              <w:rPr>
                <w:sz w:val="19"/>
              </w:rPr>
            </w:r>
            <w:r>
              <w:rPr>
                <w:sz w:val="19"/>
              </w:rPr>
              <w:t>1.20</w:t>
            </w:r>
          </w:p>
        </w:tc>
        <w:tc>
          <w:tcPr>
            <w:tcW w:type="dxa" w:w="1814"/>
            <w:vAlign w:val="center"/>
          </w:tcPr>
          <w:p>
            <w:pPr>
              <w:spacing w:after="0" w:before="0"/>
            </w:pPr>
            <w:r>
              <w:rPr>
                <w:sz w:val="19"/>
              </w:rPr>
            </w:r>
            <w:r>
              <w:rPr>
                <w:sz w:val="19"/>
              </w:rPr>
              <w:t>0.70</w:t>
            </w:r>
          </w:p>
        </w:tc>
      </w:tr>
      <w:tr>
        <w:tc>
          <w:tcPr>
            <w:tcW w:type="dxa" w:w="4252"/>
            <w:vAlign w:val="center"/>
          </w:tcPr>
          <w:p>
            <w:pPr>
              <w:spacing w:after="0" w:before="0"/>
            </w:pPr>
            <w:r>
              <w:rPr>
                <w:sz w:val="19"/>
              </w:rPr>
            </w:r>
            <w:r>
              <w:rPr>
                <w:sz w:val="19"/>
              </w:rPr>
              <w:t>F-Open</w:t>
            </w:r>
          </w:p>
        </w:tc>
        <w:tc>
          <w:tcPr>
            <w:tcW w:type="dxa" w:w="1587"/>
            <w:vAlign w:val="center"/>
          </w:tcPr>
          <w:p>
            <w:pPr>
              <w:spacing w:after="0" w:before="0"/>
            </w:pPr>
            <w:r>
              <w:rPr>
                <w:sz w:val="19"/>
              </w:rPr>
            </w:r>
            <w:r>
              <w:rPr>
                <w:sz w:val="19"/>
              </w:rPr>
              <w:t>1.406</w:t>
            </w:r>
          </w:p>
        </w:tc>
        <w:tc>
          <w:tcPr>
            <w:tcW w:type="dxa" w:w="1417"/>
            <w:vAlign w:val="center"/>
          </w:tcPr>
          <w:p>
            <w:pPr>
              <w:spacing w:after="0" w:before="0"/>
            </w:pPr>
            <w:r>
              <w:rPr>
                <w:sz w:val="19"/>
              </w:rPr>
            </w:r>
            <w:r>
              <w:rPr>
                <w:sz w:val="19"/>
              </w:rPr>
              <w:t>1.00</w:t>
            </w:r>
          </w:p>
        </w:tc>
        <w:tc>
          <w:tcPr>
            <w:tcW w:type="dxa" w:w="1814"/>
            <w:vAlign w:val="center"/>
          </w:tcPr>
          <w:p>
            <w:pPr>
              <w:spacing w:after="0" w:before="0"/>
            </w:pPr>
            <w:r>
              <w:rPr>
                <w:sz w:val="19"/>
              </w:rPr>
            </w:r>
            <w:r>
              <w:rPr>
                <w:sz w:val="19"/>
              </w:rPr>
              <w:t>0.70</w:t>
            </w:r>
          </w:p>
        </w:tc>
      </w:tr>
      <w:tr>
        <w:tc>
          <w:tcPr>
            <w:tcW w:type="dxa" w:w="4252"/>
            <w:vAlign w:val="center"/>
          </w:tcPr>
          <w:p>
            <w:pPr>
              <w:spacing w:after="0" w:before="0"/>
            </w:pPr>
            <w:r>
              <w:rPr>
                <w:sz w:val="19"/>
              </w:rPr>
            </w:r>
            <w:r>
              <w:rPr>
                <w:sz w:val="19"/>
              </w:rPr>
              <w:t>F-Standard</w:t>
            </w:r>
          </w:p>
        </w:tc>
        <w:tc>
          <w:tcPr>
            <w:tcW w:type="dxa" w:w="1587"/>
            <w:vAlign w:val="center"/>
          </w:tcPr>
          <w:p>
            <w:pPr>
              <w:spacing w:after="0" w:before="0"/>
            </w:pPr>
            <w:r>
              <w:rPr>
                <w:sz w:val="19"/>
              </w:rPr>
            </w:r>
            <w:r>
              <w:rPr>
                <w:sz w:val="19"/>
              </w:rPr>
              <w:t>1.475</w:t>
            </w:r>
          </w:p>
        </w:tc>
        <w:tc>
          <w:tcPr>
            <w:tcW w:type="dxa" w:w="1417"/>
            <w:vAlign w:val="center"/>
          </w:tcPr>
          <w:p>
            <w:pPr>
              <w:spacing w:after="0" w:before="0"/>
            </w:pPr>
            <w:r>
              <w:rPr>
                <w:sz w:val="19"/>
              </w:rPr>
            </w:r>
            <w:r>
              <w:rPr>
                <w:sz w:val="19"/>
              </w:rPr>
              <w:t>1.00</w:t>
            </w:r>
          </w:p>
        </w:tc>
        <w:tc>
          <w:tcPr>
            <w:tcW w:type="dxa" w:w="1814"/>
            <w:vAlign w:val="center"/>
          </w:tcPr>
          <w:p>
            <w:pPr>
              <w:spacing w:after="0" w:before="0"/>
            </w:pPr>
            <w:r>
              <w:rPr>
                <w:sz w:val="19"/>
              </w:rPr>
            </w:r>
            <w:r>
              <w:rPr>
                <w:sz w:val="19"/>
              </w:rPr>
              <w:t>0.70</w:t>
            </w:r>
          </w:p>
        </w:tc>
      </w:tr>
      <w:tr>
        <w:tc>
          <w:tcPr>
            <w:tcW w:type="dxa" w:w="4252"/>
            <w:vAlign w:val="center"/>
          </w:tcPr>
          <w:p>
            <w:pPr>
              <w:spacing w:after="0" w:before="0"/>
            </w:pPr>
            <w:r>
              <w:rPr>
                <w:sz w:val="19"/>
              </w:rPr>
            </w:r>
            <w:r>
              <w:rPr>
                <w:sz w:val="19"/>
              </w:rPr>
              <w:t>F/TR (FTR)</w:t>
            </w:r>
          </w:p>
        </w:tc>
        <w:tc>
          <w:tcPr>
            <w:tcW w:type="dxa" w:w="1587"/>
            <w:vAlign w:val="center"/>
          </w:tcPr>
          <w:p>
            <w:pPr>
              <w:spacing w:after="0" w:before="0"/>
            </w:pPr>
            <w:r>
              <w:rPr>
                <w:sz w:val="19"/>
              </w:rPr>
            </w:r>
            <w:r>
              <w:rPr>
                <w:sz w:val="19"/>
              </w:rPr>
              <w:t>1.450</w:t>
            </w:r>
          </w:p>
        </w:tc>
        <w:tc>
          <w:tcPr>
            <w:tcW w:type="dxa" w:w="1417"/>
            <w:vAlign w:val="center"/>
          </w:tcPr>
          <w:p>
            <w:pPr>
              <w:spacing w:after="0" w:before="0"/>
            </w:pPr>
            <w:r>
              <w:rPr>
                <w:sz w:val="19"/>
              </w:rPr>
            </w:r>
            <w:r>
              <w:rPr>
                <w:sz w:val="19"/>
              </w:rPr>
              <w:t>1.00</w:t>
            </w:r>
          </w:p>
        </w:tc>
        <w:tc>
          <w:tcPr>
            <w:tcW w:type="dxa" w:w="1814"/>
            <w:vAlign w:val="center"/>
          </w:tcPr>
          <w:p>
            <w:pPr>
              <w:spacing w:after="0" w:before="0"/>
            </w:pPr>
            <w:r>
              <w:rPr>
                <w:sz w:val="19"/>
              </w:rPr>
            </w:r>
            <w:r>
              <w:rPr>
                <w:sz w:val="19"/>
              </w:rPr>
              <w:t>0.70</w:t>
            </w:r>
          </w:p>
        </w:tc>
      </w:tr>
      <w:tr>
        <w:tc>
          <w:tcPr>
            <w:tcW w:type="dxa" w:w="4252"/>
            <w:vAlign w:val="center"/>
          </w:tcPr>
          <w:p>
            <w:pPr>
              <w:spacing w:after="0" w:before="0"/>
            </w:pPr>
            <w:r>
              <w:rPr>
                <w:sz w:val="19"/>
              </w:rPr>
            </w:r>
            <w:r>
              <w:rPr>
                <w:sz w:val="19"/>
              </w:rPr>
              <w:t>Sporter (Open + Production, merged)</w:t>
            </w:r>
          </w:p>
        </w:tc>
        <w:tc>
          <w:tcPr>
            <w:tcW w:type="dxa" w:w="1587"/>
            <w:vAlign w:val="center"/>
          </w:tcPr>
          <w:p>
            <w:pPr>
              <w:spacing w:after="0" w:before="0"/>
            </w:pPr>
            <w:r>
              <w:rPr>
                <w:sz w:val="19"/>
              </w:rPr>
            </w:r>
            <w:r>
              <w:rPr>
                <w:sz w:val="19"/>
              </w:rPr>
              <w:t>1.383</w:t>
            </w:r>
          </w:p>
        </w:tc>
        <w:tc>
          <w:tcPr>
            <w:tcW w:type="dxa" w:w="1417"/>
            <w:vAlign w:val="center"/>
          </w:tcPr>
          <w:p>
            <w:pPr>
              <w:spacing w:after="0" w:before="0"/>
            </w:pPr>
            <w:r>
              <w:rPr>
                <w:sz w:val="19"/>
              </w:rPr>
            </w:r>
            <w:r>
              <w:rPr>
                <w:sz w:val="19"/>
              </w:rPr>
              <w:t>1.20</w:t>
            </w:r>
          </w:p>
        </w:tc>
        <w:tc>
          <w:tcPr>
            <w:tcW w:type="dxa" w:w="1814"/>
            <w:vAlign w:val="center"/>
          </w:tcPr>
          <w:p>
            <w:pPr>
              <w:spacing w:after="0" w:before="0"/>
            </w:pPr>
            <w:r>
              <w:rPr>
                <w:sz w:val="19"/>
              </w:rPr>
            </w:r>
            <w:r>
              <w:rPr>
                <w:sz w:val="19"/>
              </w:rPr>
              <w:t>0.70</w:t>
            </w:r>
          </w:p>
        </w:tc>
      </w:tr>
    </w:tbl>
    <w:p>
      <w:pPr>
        <w:spacing w:after="80"/>
      </w:pPr>
    </w:p>
    <w:p>
      <w:pPr>
        <w:spacing w:after="160"/>
      </w:pPr>
      <w:r>
        <w:rPr>
          <w:i/>
          <w:color w:val="888888"/>
          <w:sz w:val="18"/>
        </w:rPr>
        <w:t>Formula: Adjusted MCSI = (Raw Score × Conversion + Centres × Centre weight) × Factor</w:t>
      </w:r>
    </w:p>
    <w:p>
      <w:r>
        <w:br w:type="page"/>
      </w:r>
    </w:p>
    <w:p>
      <w:pPr>
        <w:spacing w:before="280" w:after="120"/>
      </w:pPr>
      <w:r>
        <w:rPr>
          <w:b/>
          <w:color w:val="1F4E78"/>
          <w:sz w:val="30"/>
        </w:rPr>
        <w:t>1. Background and Calibration Challenge</w:t>
      </w:r>
    </w:p>
    <w:p>
      <w:pPr>
        <w:spacing w:after="120"/>
      </w:pPr>
      <w:r>
        <w:rPr>
          <w:sz w:val="21"/>
        </w:rPr>
        <w:t>The MCSI exists to allow fair cross-discipline ranking when shooters from different equipment categories compete in the same event. Each discipline has different inherent scoring characteristics — Target Rifle and Sporter are limited by iron-sight resolution and rifle precision, while F-class enjoys optical sights and bipod stability. The MCSI applies a per-discipline multiplier to make a perfect score in any discipline weight comparably toward a club championship.</w:t>
      </w:r>
    </w:p>
    <w:p>
      <w:pPr>
        <w:spacing w:after="120"/>
      </w:pPr>
      <w:r>
        <w:rPr>
          <w:sz w:val="21"/>
        </w:rPr>
        <w:t>The calibration challenge is to determine these multipliers in a way that is statistically defensible, free of regional or club-specific bias, and capable of withstanding scrutiny from competitors who feel their discipline is being either over- or under-rewarded.</w:t>
      </w:r>
    </w:p>
    <w:p>
      <w:pPr>
        <w:spacing w:before="200" w:after="80"/>
      </w:pPr>
      <w:r>
        <w:rPr>
          <w:b/>
          <w:color w:val="1F4E78"/>
          <w:sz w:val="24"/>
        </w:rPr>
        <w:t>1.1 Three non-negotiable requirements</w:t>
      </w:r>
    </w:p>
    <w:p>
      <w:pPr>
        <w:spacing w:after="120"/>
      </w:pPr>
      <w:r>
        <w:rPr>
          <w:sz w:val="21"/>
        </w:rPr>
        <w:t>Any calibration methodology must satisfy three structural requirements:</w:t>
      </w:r>
    </w:p>
    <w:p>
      <w:pPr>
        <w:pStyle w:val="ListBullet"/>
        <w:spacing w:after="60"/>
      </w:pPr>
      <w:r>
        <w:rPr>
          <w:b/>
          <w:sz w:val="21"/>
        </w:rPr>
        <w:t>1. Same-conditions sampling.</w:t>
      </w:r>
      <w:r>
        <w:rPr>
          <w:sz w:val="21"/>
        </w:rPr>
        <w:t xml:space="preserve"> Cross-discipline comparison is only valid when the disciplines being compared have shot in the same wind, light, and mirage conditions. A perfect TR score in calm conditions is not equivalent to a perfect FTR score in 15 knots of wind.</w:t>
      </w:r>
    </w:p>
    <w:p>
      <w:pPr>
        <w:pStyle w:val="ListBullet"/>
        <w:spacing w:after="60"/>
      </w:pPr>
      <w:r>
        <w:rPr>
          <w:b/>
          <w:sz w:val="21"/>
        </w:rPr>
        <w:t>2. All five disciplines present in each event used.</w:t>
      </w:r>
      <w:r>
        <w:rPr>
          <w:sz w:val="21"/>
        </w:rPr>
        <w:t xml:space="preserve"> Pooling data from events where some disciplines were absent contaminates the comparison — the present disciplines are weighted disproportionately to the missing ones.</w:t>
      </w:r>
    </w:p>
    <w:p>
      <w:pPr>
        <w:pStyle w:val="ListBullet"/>
        <w:spacing w:after="60"/>
      </w:pPr>
      <w:r>
        <w:rPr>
          <w:b/>
          <w:sz w:val="21"/>
        </w:rPr>
        <w:t>3. Statistically adequate sample size.</w:t>
      </w:r>
      <w:r>
        <w:rPr>
          <w:sz w:val="21"/>
        </w:rPr>
        <w:t xml:space="preserve"> Confidence intervals on the derived factors must be tight enough that small data fluctuations do not swing the leaderboard. Typically this requires 700+ strings per discipline in the top-cohort selection used for calibration.</w:t>
      </w:r>
    </w:p>
    <w:p>
      <w:pPr>
        <w:spacing w:before="280" w:after="120"/>
      </w:pPr>
      <w:r>
        <w:rPr>
          <w:b/>
          <w:color w:val="1F4E78"/>
          <w:sz w:val="30"/>
        </w:rPr>
        <w:t>2. Data Sources Reviewed</w:t>
      </w:r>
    </w:p>
    <w:p>
      <w:pPr>
        <w:spacing w:after="120"/>
      </w:pPr>
      <w:r>
        <w:rPr>
          <w:sz w:val="21"/>
        </w:rPr>
        <w:t>Four classes of data were considered as the calibration anchor:</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3118"/>
            <w:vAlign w:val="center"/>
            <w:shd w:val="clear" w:color="auto" w:fill="EEF3F8"/>
          </w:tcPr>
          <w:p>
            <w:pPr>
              <w:spacing w:after="0" w:before="0"/>
            </w:pPr>
            <w:r>
              <w:rPr>
                <w:b/>
                <w:color w:val="1F4E78"/>
                <w:sz w:val="19"/>
              </w:rPr>
            </w:r>
            <w:r>
              <w:rPr>
                <w:b/>
                <w:color w:val="1F4E78"/>
                <w:sz w:val="19"/>
              </w:rPr>
              <w:t>Source</w:t>
            </w:r>
          </w:p>
        </w:tc>
        <w:tc>
          <w:tcPr>
            <w:tcW w:type="dxa" w:w="1984"/>
            <w:vAlign w:val="center"/>
            <w:shd w:val="clear" w:color="auto" w:fill="EEF3F8"/>
          </w:tcPr>
          <w:p>
            <w:pPr>
              <w:spacing w:after="0" w:before="0"/>
            </w:pPr>
            <w:r>
              <w:rPr>
                <w:b/>
                <w:color w:val="1F4E78"/>
                <w:sz w:val="19"/>
              </w:rPr>
            </w:r>
            <w:r>
              <w:rPr>
                <w:b/>
                <w:color w:val="1F4E78"/>
                <w:sz w:val="19"/>
              </w:rPr>
              <w:t>Available strings</w:t>
            </w:r>
          </w:p>
        </w:tc>
        <w:tc>
          <w:tcPr>
            <w:tcW w:type="dxa" w:w="1984"/>
            <w:vAlign w:val="center"/>
            <w:shd w:val="clear" w:color="auto" w:fill="EEF3F8"/>
          </w:tcPr>
          <w:p>
            <w:pPr>
              <w:spacing w:after="0" w:before="0"/>
            </w:pPr>
            <w:r>
              <w:rPr>
                <w:b/>
                <w:color w:val="1F4E78"/>
                <w:sz w:val="19"/>
              </w:rPr>
            </w:r>
            <w:r>
              <w:rPr>
                <w:b/>
                <w:color w:val="1F4E78"/>
                <w:sz w:val="19"/>
              </w:rPr>
              <w:t>All 5 disciplines?</w:t>
            </w:r>
          </w:p>
        </w:tc>
        <w:tc>
          <w:tcPr>
            <w:tcW w:type="dxa" w:w="2268"/>
            <w:vAlign w:val="center"/>
            <w:shd w:val="clear" w:color="auto" w:fill="EEF3F8"/>
          </w:tcPr>
          <w:p>
            <w:pPr>
              <w:spacing w:after="0" w:before="0"/>
            </w:pPr>
            <w:r>
              <w:rPr>
                <w:b/>
                <w:color w:val="1F4E78"/>
                <w:sz w:val="19"/>
              </w:rPr>
            </w:r>
            <w:r>
              <w:rPr>
                <w:b/>
                <w:color w:val="1F4E78"/>
                <w:sz w:val="19"/>
              </w:rPr>
              <w:t>Decision</w:t>
            </w:r>
          </w:p>
        </w:tc>
      </w:tr>
      <w:tr>
        <w:tc>
          <w:tcPr>
            <w:tcW w:type="dxa" w:w="3118"/>
            <w:vAlign w:val="center"/>
          </w:tcPr>
          <w:p>
            <w:pPr>
              <w:spacing w:after="0" w:before="0"/>
            </w:pPr>
            <w:r>
              <w:rPr>
                <w:sz w:val="19"/>
              </w:rPr>
            </w:r>
            <w:r>
              <w:rPr>
                <w:sz w:val="19"/>
              </w:rPr>
              <w:t>Single-club season data</w:t>
            </w:r>
          </w:p>
          <w:p>
            <w:pPr>
              <w:spacing w:after="0"/>
            </w:pPr>
            <w:r>
              <w:rPr>
                <w:sz w:val="19"/>
              </w:rPr>
              <w:t>(e.g. one Geelong year)</w:t>
            </w:r>
          </w:p>
        </w:tc>
        <w:tc>
          <w:tcPr>
            <w:tcW w:type="dxa" w:w="1984"/>
            <w:vAlign w:val="center"/>
          </w:tcPr>
          <w:p>
            <w:pPr>
              <w:spacing w:after="0" w:before="0"/>
            </w:pPr>
            <w:r>
              <w:rPr>
                <w:sz w:val="19"/>
              </w:rPr>
            </w:r>
            <w:r>
              <w:rPr>
                <w:sz w:val="19"/>
              </w:rPr>
              <w:t>~270 strings</w:t>
            </w:r>
          </w:p>
        </w:tc>
        <w:tc>
          <w:tcPr>
            <w:tcW w:type="dxa" w:w="1984"/>
            <w:vAlign w:val="center"/>
          </w:tcPr>
          <w:p>
            <w:pPr>
              <w:spacing w:after="0" w:before="0"/>
            </w:pPr>
            <w:r>
              <w:rPr>
                <w:sz w:val="19"/>
              </w:rPr>
            </w:r>
            <w:r>
              <w:rPr>
                <w:sz w:val="19"/>
              </w:rPr>
              <w:t>Partially</w:t>
            </w:r>
          </w:p>
        </w:tc>
        <w:tc>
          <w:tcPr>
            <w:tcW w:type="dxa" w:w="2268"/>
            <w:vAlign w:val="center"/>
          </w:tcPr>
          <w:p>
            <w:pPr>
              <w:spacing w:after="0" w:before="0"/>
            </w:pPr>
            <w:r>
              <w:rPr>
                <w:sz w:val="19"/>
              </w:rPr>
            </w:r>
            <w:r>
              <w:rPr>
                <w:b/>
                <w:sz w:val="19"/>
              </w:rPr>
              <w:t>Excluded</w:t>
            </w:r>
            <w:r>
              <w:rPr>
                <w:sz w:val="19"/>
              </w:rPr>
              <w:t xml:space="preserve"> — sample size</w:t>
            </w:r>
          </w:p>
        </w:tc>
      </w:tr>
      <w:tr>
        <w:tc>
          <w:tcPr>
            <w:tcW w:type="dxa" w:w="3118"/>
            <w:vAlign w:val="center"/>
          </w:tcPr>
          <w:p>
            <w:pPr>
              <w:spacing w:after="0" w:before="0"/>
            </w:pPr>
            <w:r>
              <w:rPr>
                <w:sz w:val="19"/>
              </w:rPr>
            </w:r>
            <w:r>
              <w:rPr>
                <w:sz w:val="19"/>
              </w:rPr>
              <w:t>Open Prize Meets (OPMs)</w:t>
            </w:r>
          </w:p>
          <w:p>
            <w:pPr>
              <w:spacing w:after="0"/>
            </w:pPr>
            <w:r>
              <w:rPr>
                <w:sz w:val="19"/>
              </w:rPr>
              <w:t>across Australia</w:t>
            </w:r>
          </w:p>
        </w:tc>
        <w:tc>
          <w:tcPr>
            <w:tcW w:type="dxa" w:w="1984"/>
            <w:vAlign w:val="center"/>
          </w:tcPr>
          <w:p>
            <w:pPr>
              <w:spacing w:after="0" w:before="0"/>
            </w:pPr>
            <w:r>
              <w:rPr>
                <w:sz w:val="19"/>
              </w:rPr>
            </w:r>
            <w:r>
              <w:rPr>
                <w:sz w:val="19"/>
              </w:rPr>
              <w:t>~70,000+</w:t>
            </w:r>
          </w:p>
        </w:tc>
        <w:tc>
          <w:tcPr>
            <w:tcW w:type="dxa" w:w="1984"/>
            <w:vAlign w:val="center"/>
          </w:tcPr>
          <w:p>
            <w:pPr>
              <w:spacing w:after="0" w:before="0"/>
            </w:pPr>
            <w:r>
              <w:rPr>
                <w:sz w:val="19"/>
              </w:rPr>
            </w:r>
            <w:r>
              <w:rPr>
                <w:sz w:val="19"/>
              </w:rPr>
              <w:t>Per-meet basis</w:t>
            </w:r>
          </w:p>
        </w:tc>
        <w:tc>
          <w:tcPr>
            <w:tcW w:type="dxa" w:w="2268"/>
            <w:vAlign w:val="center"/>
          </w:tcPr>
          <w:p>
            <w:pPr>
              <w:spacing w:after="0" w:before="0"/>
            </w:pPr>
            <w:r>
              <w:rPr>
                <w:sz w:val="19"/>
              </w:rPr>
            </w:r>
            <w:r>
              <w:rPr>
                <w:b/>
                <w:sz w:val="19"/>
              </w:rPr>
              <w:t>Excluded</w:t>
            </w:r>
            <w:r>
              <w:rPr>
                <w:sz w:val="19"/>
              </w:rPr>
              <w:t xml:space="preserve"> — bias</w:t>
            </w:r>
          </w:p>
        </w:tc>
      </w:tr>
      <w:tr>
        <w:tc>
          <w:tcPr>
            <w:tcW w:type="dxa" w:w="3118"/>
            <w:vAlign w:val="center"/>
          </w:tcPr>
          <w:p>
            <w:pPr>
              <w:spacing w:after="0" w:before="0"/>
            </w:pPr>
            <w:r>
              <w:rPr>
                <w:sz w:val="19"/>
              </w:rPr>
            </w:r>
            <w:r>
              <w:rPr>
                <w:sz w:val="19"/>
              </w:rPr>
              <w:t>State and National King's &amp;</w:t>
            </w:r>
          </w:p>
          <w:p>
            <w:pPr>
              <w:spacing w:after="0"/>
            </w:pPr>
            <w:r>
              <w:rPr>
                <w:sz w:val="19"/>
              </w:rPr>
              <w:t>Queen's championships</w:t>
            </w:r>
          </w:p>
        </w:tc>
        <w:tc>
          <w:tcPr>
            <w:tcW w:type="dxa" w:w="1984"/>
            <w:vAlign w:val="center"/>
          </w:tcPr>
          <w:p>
            <w:pPr>
              <w:spacing w:after="0" w:before="0"/>
            </w:pPr>
            <w:r>
              <w:rPr>
                <w:sz w:val="19"/>
              </w:rPr>
            </w:r>
            <w:r>
              <w:rPr>
                <w:sz w:val="19"/>
              </w:rPr>
              <w:t>20,335 strings</w:t>
            </w:r>
          </w:p>
          <w:p>
            <w:pPr>
              <w:spacing w:after="0"/>
            </w:pPr>
            <w:r>
              <w:rPr>
                <w:sz w:val="19"/>
              </w:rPr>
              <w:t>(2024+)</w:t>
            </w:r>
          </w:p>
        </w:tc>
        <w:tc>
          <w:tcPr>
            <w:tcW w:type="dxa" w:w="1984"/>
            <w:vAlign w:val="center"/>
          </w:tcPr>
          <w:p>
            <w:pPr>
              <w:spacing w:after="0" w:before="0"/>
            </w:pPr>
            <w:r>
              <w:rPr>
                <w:sz w:val="19"/>
              </w:rPr>
            </w:r>
            <w:r>
              <w:rPr>
                <w:sz w:val="19"/>
              </w:rPr>
              <w:t>Yes (13 of 14 events)</w:t>
            </w:r>
          </w:p>
        </w:tc>
        <w:tc>
          <w:tcPr>
            <w:tcW w:type="dxa" w:w="2268"/>
            <w:vAlign w:val="center"/>
          </w:tcPr>
          <w:p>
            <w:pPr>
              <w:spacing w:after="0" w:before="0"/>
            </w:pPr>
            <w:r>
              <w:rPr>
                <w:sz w:val="19"/>
              </w:rPr>
            </w:r>
            <w:r>
              <w:rPr>
                <w:b/>
                <w:sz w:val="19"/>
              </w:rPr>
              <w:t>Adopted</w:t>
            </w:r>
          </w:p>
        </w:tc>
      </w:tr>
      <w:tr>
        <w:tc>
          <w:tcPr>
            <w:tcW w:type="dxa" w:w="3118"/>
            <w:vAlign w:val="center"/>
          </w:tcPr>
          <w:p>
            <w:pPr>
              <w:spacing w:after="0" w:before="0"/>
            </w:pPr>
            <w:r>
              <w:rPr>
                <w:sz w:val="19"/>
              </w:rPr>
            </w:r>
            <w:r>
              <w:rPr>
                <w:sz w:val="19"/>
              </w:rPr>
              <w:t>Survey crowdsourcing</w:t>
            </w:r>
          </w:p>
          <w:p>
            <w:pPr>
              <w:spacing w:after="0"/>
            </w:pPr>
            <w:r>
              <w:rPr>
                <w:sz w:val="19"/>
              </w:rPr>
              <w:t>(supplementary)</w:t>
            </w:r>
          </w:p>
        </w:tc>
        <w:tc>
          <w:tcPr>
            <w:tcW w:type="dxa" w:w="1984"/>
            <w:vAlign w:val="center"/>
          </w:tcPr>
          <w:p>
            <w:pPr>
              <w:spacing w:after="0" w:before="0"/>
            </w:pPr>
            <w:r>
              <w:rPr>
                <w:sz w:val="19"/>
              </w:rPr>
            </w:r>
            <w:r>
              <w:rPr>
                <w:sz w:val="19"/>
              </w:rPr>
              <w:t>~115 rankings</w:t>
            </w:r>
          </w:p>
          <w:p>
            <w:pPr>
              <w:spacing w:after="0"/>
            </w:pPr>
            <w:r>
              <w:rPr>
                <w:sz w:val="19"/>
              </w:rPr>
              <w:t>(growing)</w:t>
            </w:r>
          </w:p>
        </w:tc>
        <w:tc>
          <w:tcPr>
            <w:tcW w:type="dxa" w:w="1984"/>
            <w:vAlign w:val="center"/>
          </w:tcPr>
          <w:p>
            <w:pPr>
              <w:spacing w:after="0" w:before="0"/>
            </w:pPr>
            <w:r>
              <w:rPr>
                <w:sz w:val="19"/>
              </w:rPr>
            </w:r>
            <w:r>
              <w:rPr>
                <w:sz w:val="19"/>
              </w:rPr>
              <w:t>N/A</w:t>
            </w:r>
          </w:p>
        </w:tc>
        <w:tc>
          <w:tcPr>
            <w:tcW w:type="dxa" w:w="2268"/>
            <w:vAlign w:val="center"/>
          </w:tcPr>
          <w:p>
            <w:pPr>
              <w:spacing w:after="0" w:before="0"/>
            </w:pPr>
            <w:r>
              <w:rPr>
                <w:sz w:val="19"/>
              </w:rPr>
            </w:r>
            <w:r>
              <w:rPr>
                <w:sz w:val="19"/>
              </w:rPr>
              <w:t>Validation tool, not primary</w:t>
            </w:r>
          </w:p>
        </w:tc>
      </w:tr>
    </w:tbl>
    <w:p>
      <w:pPr>
        <w:spacing w:after="80"/>
      </w:pPr>
    </w:p>
    <w:p>
      <w:pPr>
        <w:spacing w:after="120"/>
      </w:pPr>
      <w:r>
        <w:rPr>
          <w:sz w:val="21"/>
        </w:rPr>
        <w:t>Each excluded source was tested with full calibration to verify the exclusion is justified rather than assumed. The results are presented in Sections 3 and 4.</w:t>
      </w:r>
    </w:p>
    <w:p>
      <w:r>
        <w:br w:type="page"/>
      </w:r>
    </w:p>
    <w:p>
      <w:pPr>
        <w:spacing w:before="280" w:after="120"/>
      </w:pPr>
      <w:r>
        <w:rPr>
          <w:b/>
          <w:color w:val="1F4E78"/>
          <w:sz w:val="30"/>
        </w:rPr>
        <w:t>3. Why Single-Club Data Cannot Support Calibration</w:t>
      </w:r>
    </w:p>
    <w:p>
      <w:pPr>
        <w:spacing w:after="120"/>
      </w:pPr>
      <w:r>
        <w:rPr>
          <w:sz w:val="21"/>
        </w:rPr>
        <w:t>The most natural instinct is to calibrate the MCSI using only data from the club whose championship the formula will be applied to. This was investigated and found to be statistically untenable for any single club of normal size.</w:t>
      </w:r>
    </w:p>
    <w:p>
      <w:pPr>
        <w:spacing w:before="200" w:after="80"/>
      </w:pPr>
      <w:r>
        <w:rPr>
          <w:b/>
          <w:color w:val="1F4E78"/>
          <w:sz w:val="24"/>
        </w:rPr>
        <w:t>3.1 Sample sizes at club level (Geelong 2026 season as worked example)</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c>
          <w:tcPr>
            <w:tcW w:type="dxa" w:w="1984"/>
            <w:vAlign w:val="center"/>
            <w:shd w:val="clear" w:color="auto" w:fill="EEF3F8"/>
          </w:tcPr>
          <w:p>
            <w:pPr>
              <w:spacing w:after="0" w:before="0"/>
            </w:pPr>
            <w:r>
              <w:rPr>
                <w:b/>
                <w:color w:val="1F4E78"/>
                <w:sz w:val="19"/>
              </w:rPr>
            </w:r>
            <w:r>
              <w:rPr>
                <w:b/>
                <w:color w:val="1F4E78"/>
                <w:sz w:val="19"/>
              </w:rPr>
              <w:t>Discipline</w:t>
            </w:r>
          </w:p>
        </w:tc>
        <w:tc>
          <w:tcPr>
            <w:tcW w:type="dxa" w:w="1134"/>
            <w:vAlign w:val="center"/>
            <w:shd w:val="clear" w:color="auto" w:fill="EEF3F8"/>
          </w:tcPr>
          <w:p>
            <w:pPr>
              <w:spacing w:after="0" w:before="0"/>
            </w:pPr>
            <w:r>
              <w:rPr>
                <w:b/>
                <w:color w:val="1F4E78"/>
                <w:sz w:val="19"/>
              </w:rPr>
            </w:r>
            <w:r>
              <w:rPr>
                <w:b/>
                <w:color w:val="1F4E78"/>
                <w:sz w:val="19"/>
              </w:rPr>
              <w:t>Strings</w:t>
            </w:r>
          </w:p>
        </w:tc>
        <w:tc>
          <w:tcPr>
            <w:tcW w:type="dxa" w:w="1814"/>
            <w:vAlign w:val="center"/>
            <w:shd w:val="clear" w:color="auto" w:fill="EEF3F8"/>
          </w:tcPr>
          <w:p>
            <w:pPr>
              <w:spacing w:after="0" w:before="0"/>
            </w:pPr>
            <w:r>
              <w:rPr>
                <w:b/>
                <w:color w:val="1F4E78"/>
                <w:sz w:val="19"/>
              </w:rPr>
            </w:r>
            <w:r>
              <w:rPr>
                <w:b/>
                <w:color w:val="1F4E78"/>
                <w:sz w:val="19"/>
              </w:rPr>
              <w:t>Distinct shooters</w:t>
            </w:r>
          </w:p>
        </w:tc>
        <w:tc>
          <w:tcPr>
            <w:tcW w:type="dxa" w:w="1814"/>
            <w:vAlign w:val="center"/>
            <w:shd w:val="clear" w:color="auto" w:fill="EEF3F8"/>
          </w:tcPr>
          <w:p>
            <w:pPr>
              <w:spacing w:after="0" w:before="0"/>
            </w:pPr>
            <w:r>
              <w:rPr>
                <w:b/>
                <w:color w:val="1F4E78"/>
                <w:sz w:val="19"/>
              </w:rPr>
            </w:r>
            <w:r>
              <w:rPr>
                <w:b/>
                <w:color w:val="1F4E78"/>
                <w:sz w:val="19"/>
              </w:rPr>
              <w:t>Top-40% cohort</w:t>
            </w:r>
          </w:p>
        </w:tc>
        <w:tc>
          <w:tcPr>
            <w:tcW w:type="dxa" w:w="2608"/>
            <w:vAlign w:val="center"/>
            <w:shd w:val="clear" w:color="auto" w:fill="EEF3F8"/>
          </w:tcPr>
          <w:p>
            <w:pPr>
              <w:spacing w:after="0" w:before="0"/>
            </w:pPr>
            <w:r>
              <w:rPr>
                <w:b/>
                <w:color w:val="1F4E78"/>
                <w:sz w:val="19"/>
              </w:rPr>
            </w:r>
            <w:r>
              <w:rPr>
                <w:b/>
                <w:color w:val="1F4E78"/>
                <w:sz w:val="19"/>
              </w:rPr>
              <w:t>Status</w:t>
            </w:r>
          </w:p>
        </w:tc>
      </w:tr>
      <w:tr>
        <w:tc>
          <w:tcPr>
            <w:tcW w:type="dxa" w:w="1984"/>
            <w:vAlign w:val="center"/>
          </w:tcPr>
          <w:p>
            <w:pPr>
              <w:spacing w:after="0" w:before="0"/>
            </w:pPr>
            <w:r>
              <w:rPr>
                <w:sz w:val="19"/>
              </w:rPr>
            </w:r>
            <w:r>
              <w:rPr>
                <w:sz w:val="19"/>
              </w:rPr>
              <w:t>Target Rifle</w:t>
            </w:r>
          </w:p>
        </w:tc>
        <w:tc>
          <w:tcPr>
            <w:tcW w:type="dxa" w:w="1134"/>
            <w:vAlign w:val="center"/>
          </w:tcPr>
          <w:p>
            <w:pPr>
              <w:spacing w:after="0" w:before="0"/>
            </w:pPr>
            <w:r>
              <w:rPr>
                <w:sz w:val="19"/>
              </w:rPr>
            </w:r>
            <w:r>
              <w:rPr>
                <w:sz w:val="19"/>
              </w:rPr>
              <w:t>51</w:t>
            </w:r>
          </w:p>
        </w:tc>
        <w:tc>
          <w:tcPr>
            <w:tcW w:type="dxa" w:w="1814"/>
            <w:vAlign w:val="center"/>
          </w:tcPr>
          <w:p>
            <w:pPr>
              <w:spacing w:after="0" w:before="0"/>
            </w:pPr>
            <w:r>
              <w:rPr>
                <w:sz w:val="19"/>
              </w:rPr>
            </w:r>
            <w:r>
              <w:rPr>
                <w:sz w:val="19"/>
              </w:rPr>
              <w:t>6</w:t>
            </w:r>
          </w:p>
        </w:tc>
        <w:tc>
          <w:tcPr>
            <w:tcW w:type="dxa" w:w="1814"/>
            <w:vAlign w:val="center"/>
          </w:tcPr>
          <w:p>
            <w:pPr>
              <w:spacing w:after="0" w:before="0"/>
            </w:pPr>
            <w:r>
              <w:rPr>
                <w:sz w:val="19"/>
              </w:rPr>
            </w:r>
            <w:r>
              <w:rPr>
                <w:sz w:val="19"/>
              </w:rPr>
              <w:t>20</w:t>
            </w:r>
          </w:p>
        </w:tc>
        <w:tc>
          <w:tcPr>
            <w:tcW w:type="dxa" w:w="2608"/>
            <w:vAlign w:val="center"/>
          </w:tcPr>
          <w:p>
            <w:pPr>
              <w:spacing w:after="0" w:before="0"/>
            </w:pPr>
            <w:r>
              <w:rPr>
                <w:sz w:val="19"/>
              </w:rPr>
            </w:r>
            <w:r>
              <w:rPr>
                <w:sz w:val="19"/>
              </w:rPr>
              <w:t>Marginal</w:t>
            </w:r>
          </w:p>
        </w:tc>
      </w:tr>
      <w:tr>
        <w:tc>
          <w:tcPr>
            <w:tcW w:type="dxa" w:w="1984"/>
            <w:vAlign w:val="center"/>
          </w:tcPr>
          <w:p>
            <w:pPr>
              <w:spacing w:after="0" w:before="0"/>
            </w:pPr>
            <w:r>
              <w:rPr>
                <w:sz w:val="19"/>
              </w:rPr>
            </w:r>
            <w:r>
              <w:rPr>
                <w:sz w:val="19"/>
              </w:rPr>
              <w:t>F-Open</w:t>
            </w:r>
          </w:p>
        </w:tc>
        <w:tc>
          <w:tcPr>
            <w:tcW w:type="dxa" w:w="1134"/>
            <w:vAlign w:val="center"/>
          </w:tcPr>
          <w:p>
            <w:pPr>
              <w:spacing w:after="0" w:before="0"/>
            </w:pPr>
            <w:r>
              <w:rPr>
                <w:sz w:val="19"/>
              </w:rPr>
            </w:r>
            <w:r>
              <w:rPr>
                <w:sz w:val="19"/>
              </w:rPr>
              <w:t>39</w:t>
            </w:r>
          </w:p>
        </w:tc>
        <w:tc>
          <w:tcPr>
            <w:tcW w:type="dxa" w:w="1814"/>
            <w:vAlign w:val="center"/>
          </w:tcPr>
          <w:p>
            <w:pPr>
              <w:spacing w:after="0" w:before="0"/>
            </w:pPr>
            <w:r>
              <w:rPr>
                <w:sz w:val="19"/>
              </w:rPr>
            </w:r>
            <w:r>
              <w:rPr>
                <w:sz w:val="19"/>
              </w:rPr>
              <w:t>5</w:t>
            </w:r>
          </w:p>
        </w:tc>
        <w:tc>
          <w:tcPr>
            <w:tcW w:type="dxa" w:w="1814"/>
            <w:vAlign w:val="center"/>
          </w:tcPr>
          <w:p>
            <w:pPr>
              <w:spacing w:after="0" w:before="0"/>
            </w:pPr>
            <w:r>
              <w:rPr>
                <w:sz w:val="19"/>
              </w:rPr>
            </w:r>
            <w:r>
              <w:rPr>
                <w:sz w:val="19"/>
              </w:rPr>
              <w:t>16</w:t>
            </w:r>
          </w:p>
        </w:tc>
        <w:tc>
          <w:tcPr>
            <w:tcW w:type="dxa" w:w="2608"/>
            <w:vAlign w:val="center"/>
          </w:tcPr>
          <w:p>
            <w:pPr>
              <w:spacing w:after="0" w:before="0"/>
            </w:pPr>
            <w:r>
              <w:rPr>
                <w:sz w:val="19"/>
              </w:rPr>
            </w:r>
            <w:r>
              <w:rPr>
                <w:sz w:val="19"/>
              </w:rPr>
              <w:t>Marginal</w:t>
            </w:r>
          </w:p>
        </w:tc>
      </w:tr>
      <w:tr>
        <w:tc>
          <w:tcPr>
            <w:tcW w:type="dxa" w:w="1984"/>
            <w:vAlign w:val="center"/>
          </w:tcPr>
          <w:p>
            <w:pPr>
              <w:spacing w:after="0" w:before="0"/>
            </w:pPr>
            <w:r>
              <w:rPr>
                <w:sz w:val="19"/>
              </w:rPr>
            </w:r>
            <w:r>
              <w:rPr>
                <w:sz w:val="19"/>
              </w:rPr>
              <w:t>F-Standard</w:t>
            </w:r>
          </w:p>
        </w:tc>
        <w:tc>
          <w:tcPr>
            <w:tcW w:type="dxa" w:w="1134"/>
            <w:vAlign w:val="center"/>
          </w:tcPr>
          <w:p>
            <w:pPr>
              <w:spacing w:after="0" w:before="0"/>
            </w:pPr>
            <w:r>
              <w:rPr>
                <w:sz w:val="19"/>
              </w:rPr>
            </w:r>
            <w:r>
              <w:rPr>
                <w:sz w:val="19"/>
              </w:rPr>
              <w:t>45</w:t>
            </w:r>
          </w:p>
        </w:tc>
        <w:tc>
          <w:tcPr>
            <w:tcW w:type="dxa" w:w="1814"/>
            <w:vAlign w:val="center"/>
          </w:tcPr>
          <w:p>
            <w:pPr>
              <w:spacing w:after="0" w:before="0"/>
            </w:pPr>
            <w:r>
              <w:rPr>
                <w:sz w:val="19"/>
              </w:rPr>
            </w:r>
            <w:r>
              <w:rPr>
                <w:sz w:val="19"/>
              </w:rPr>
              <w:t>6</w:t>
            </w:r>
          </w:p>
        </w:tc>
        <w:tc>
          <w:tcPr>
            <w:tcW w:type="dxa" w:w="1814"/>
            <w:vAlign w:val="center"/>
          </w:tcPr>
          <w:p>
            <w:pPr>
              <w:spacing w:after="0" w:before="0"/>
            </w:pPr>
            <w:r>
              <w:rPr>
                <w:sz w:val="19"/>
              </w:rPr>
            </w:r>
            <w:r>
              <w:rPr>
                <w:sz w:val="19"/>
              </w:rPr>
              <w:t>18</w:t>
            </w:r>
          </w:p>
        </w:tc>
        <w:tc>
          <w:tcPr>
            <w:tcW w:type="dxa" w:w="2608"/>
            <w:vAlign w:val="center"/>
          </w:tcPr>
          <w:p>
            <w:pPr>
              <w:spacing w:after="0" w:before="0"/>
            </w:pPr>
            <w:r>
              <w:rPr>
                <w:sz w:val="19"/>
              </w:rPr>
            </w:r>
            <w:r>
              <w:rPr>
                <w:sz w:val="19"/>
              </w:rPr>
              <w:t>Marginal</w:t>
            </w:r>
          </w:p>
        </w:tc>
      </w:tr>
      <w:tr>
        <w:tc>
          <w:tcPr>
            <w:tcW w:type="dxa" w:w="1984"/>
            <w:vAlign w:val="center"/>
          </w:tcPr>
          <w:p>
            <w:pPr>
              <w:spacing w:after="0" w:before="0"/>
            </w:pPr>
            <w:r>
              <w:rPr>
                <w:sz w:val="19"/>
              </w:rPr>
            </w:r>
            <w:r>
              <w:rPr>
                <w:sz w:val="19"/>
              </w:rPr>
              <w:t>F/TR</w:t>
            </w:r>
          </w:p>
        </w:tc>
        <w:tc>
          <w:tcPr>
            <w:tcW w:type="dxa" w:w="1134"/>
            <w:vAlign w:val="center"/>
          </w:tcPr>
          <w:p>
            <w:pPr>
              <w:spacing w:after="0" w:before="0"/>
            </w:pPr>
            <w:r>
              <w:rPr>
                <w:sz w:val="19"/>
              </w:rPr>
            </w:r>
            <w:r>
              <w:rPr>
                <w:sz w:val="19"/>
              </w:rPr>
              <w:t>9</w:t>
            </w:r>
          </w:p>
        </w:tc>
        <w:tc>
          <w:tcPr>
            <w:tcW w:type="dxa" w:w="1814"/>
            <w:vAlign w:val="center"/>
          </w:tcPr>
          <w:p>
            <w:pPr>
              <w:spacing w:after="0" w:before="0"/>
            </w:pPr>
            <w:r>
              <w:rPr>
                <w:sz w:val="19"/>
              </w:rPr>
            </w:r>
            <w:r>
              <w:rPr>
                <w:sz w:val="19"/>
              </w:rPr>
              <w:t>2</w:t>
            </w:r>
          </w:p>
        </w:tc>
        <w:tc>
          <w:tcPr>
            <w:tcW w:type="dxa" w:w="1814"/>
            <w:vAlign w:val="center"/>
          </w:tcPr>
          <w:p>
            <w:pPr>
              <w:spacing w:after="0" w:before="0"/>
            </w:pPr>
            <w:r>
              <w:rPr>
                <w:sz w:val="19"/>
              </w:rPr>
            </w:r>
            <w:r>
              <w:rPr>
                <w:sz w:val="19"/>
              </w:rPr>
              <w:t>4</w:t>
            </w:r>
          </w:p>
        </w:tc>
        <w:tc>
          <w:tcPr>
            <w:tcW w:type="dxa" w:w="2608"/>
            <w:vAlign w:val="center"/>
          </w:tcPr>
          <w:p>
            <w:pPr>
              <w:spacing w:after="0" w:before="0"/>
            </w:pPr>
            <w:r>
              <w:rPr>
                <w:sz w:val="19"/>
              </w:rPr>
            </w:r>
            <w:r>
              <w:rPr>
                <w:b/>
                <w:sz w:val="19"/>
              </w:rPr>
              <w:t>Unusable</w:t>
            </w:r>
          </w:p>
        </w:tc>
      </w:tr>
      <w:tr>
        <w:tc>
          <w:tcPr>
            <w:tcW w:type="dxa" w:w="1984"/>
            <w:vAlign w:val="center"/>
          </w:tcPr>
          <w:p>
            <w:pPr>
              <w:spacing w:after="0" w:before="0"/>
            </w:pPr>
            <w:r>
              <w:rPr>
                <w:sz w:val="19"/>
              </w:rPr>
            </w:r>
            <w:r>
              <w:rPr>
                <w:sz w:val="19"/>
              </w:rPr>
              <w:t>Sporter Open</w:t>
            </w:r>
          </w:p>
        </w:tc>
        <w:tc>
          <w:tcPr>
            <w:tcW w:type="dxa" w:w="1134"/>
            <w:vAlign w:val="center"/>
          </w:tcPr>
          <w:p>
            <w:pPr>
              <w:spacing w:after="0" w:before="0"/>
            </w:pPr>
            <w:r>
              <w:rPr>
                <w:sz w:val="19"/>
              </w:rPr>
            </w:r>
            <w:r>
              <w:rPr>
                <w:sz w:val="19"/>
              </w:rPr>
              <w:t>51</w:t>
            </w:r>
          </w:p>
        </w:tc>
        <w:tc>
          <w:tcPr>
            <w:tcW w:type="dxa" w:w="1814"/>
            <w:vAlign w:val="center"/>
          </w:tcPr>
          <w:p>
            <w:pPr>
              <w:spacing w:after="0" w:before="0"/>
            </w:pPr>
            <w:r>
              <w:rPr>
                <w:sz w:val="19"/>
              </w:rPr>
            </w:r>
            <w:r>
              <w:rPr>
                <w:sz w:val="19"/>
              </w:rPr>
              <w:t>10</w:t>
            </w:r>
          </w:p>
        </w:tc>
        <w:tc>
          <w:tcPr>
            <w:tcW w:type="dxa" w:w="1814"/>
            <w:vAlign w:val="center"/>
          </w:tcPr>
          <w:p>
            <w:pPr>
              <w:spacing w:after="0" w:before="0"/>
            </w:pPr>
            <w:r>
              <w:rPr>
                <w:sz w:val="19"/>
              </w:rPr>
            </w:r>
            <w:r>
              <w:rPr>
                <w:sz w:val="19"/>
              </w:rPr>
              <w:t>20</w:t>
            </w:r>
          </w:p>
        </w:tc>
        <w:tc>
          <w:tcPr>
            <w:tcW w:type="dxa" w:w="2608"/>
            <w:vAlign w:val="center"/>
          </w:tcPr>
          <w:p>
            <w:pPr>
              <w:spacing w:after="0" w:before="0"/>
            </w:pPr>
            <w:r>
              <w:rPr>
                <w:sz w:val="19"/>
              </w:rPr>
            </w:r>
            <w:r>
              <w:rPr>
                <w:sz w:val="19"/>
              </w:rPr>
              <w:t>Marginal</w:t>
            </w:r>
          </w:p>
        </w:tc>
      </w:tr>
      <w:tr>
        <w:tc>
          <w:tcPr>
            <w:tcW w:type="dxa" w:w="1984"/>
            <w:vAlign w:val="center"/>
          </w:tcPr>
          <w:p>
            <w:pPr>
              <w:spacing w:after="0" w:before="0"/>
            </w:pPr>
            <w:r>
              <w:rPr>
                <w:sz w:val="19"/>
              </w:rPr>
            </w:r>
            <w:r>
              <w:rPr>
                <w:sz w:val="19"/>
              </w:rPr>
              <w:t>Sporter Prod.</w:t>
            </w:r>
          </w:p>
        </w:tc>
        <w:tc>
          <w:tcPr>
            <w:tcW w:type="dxa" w:w="1134"/>
            <w:vAlign w:val="center"/>
          </w:tcPr>
          <w:p>
            <w:pPr>
              <w:spacing w:after="0" w:before="0"/>
            </w:pPr>
            <w:r>
              <w:rPr>
                <w:sz w:val="19"/>
              </w:rPr>
            </w:r>
            <w:r>
              <w:rPr>
                <w:sz w:val="19"/>
              </w:rPr>
              <w:t>75</w:t>
            </w:r>
          </w:p>
        </w:tc>
        <w:tc>
          <w:tcPr>
            <w:tcW w:type="dxa" w:w="1814"/>
            <w:vAlign w:val="center"/>
          </w:tcPr>
          <w:p>
            <w:pPr>
              <w:spacing w:after="0" w:before="0"/>
            </w:pPr>
            <w:r>
              <w:rPr>
                <w:sz w:val="19"/>
              </w:rPr>
            </w:r>
            <w:r>
              <w:rPr>
                <w:sz w:val="19"/>
              </w:rPr>
              <w:t>10</w:t>
            </w:r>
          </w:p>
        </w:tc>
        <w:tc>
          <w:tcPr>
            <w:tcW w:type="dxa" w:w="1814"/>
            <w:vAlign w:val="center"/>
          </w:tcPr>
          <w:p>
            <w:pPr>
              <w:spacing w:after="0" w:before="0"/>
            </w:pPr>
            <w:r>
              <w:rPr>
                <w:sz w:val="19"/>
              </w:rPr>
            </w:r>
            <w:r>
              <w:rPr>
                <w:sz w:val="19"/>
              </w:rPr>
              <w:t>30</w:t>
            </w:r>
          </w:p>
        </w:tc>
        <w:tc>
          <w:tcPr>
            <w:tcW w:type="dxa" w:w="2608"/>
            <w:vAlign w:val="center"/>
          </w:tcPr>
          <w:p>
            <w:pPr>
              <w:spacing w:after="0" w:before="0"/>
            </w:pPr>
            <w:r>
              <w:rPr>
                <w:sz w:val="19"/>
              </w:rPr>
            </w:r>
            <w:r>
              <w:rPr>
                <w:sz w:val="19"/>
              </w:rPr>
              <w:t>Marginal</w:t>
            </w:r>
          </w:p>
        </w:tc>
      </w:tr>
    </w:tbl>
    <w:p>
      <w:pPr>
        <w:spacing w:after="80"/>
      </w:pPr>
    </w:p>
    <w:p>
      <w:pPr>
        <w:spacing w:after="120"/>
      </w:pPr>
      <w:r>
        <w:rPr>
          <w:sz w:val="21"/>
        </w:rPr>
        <w:t xml:space="preserve">The total dataset is 270 strings across 36 shooters — versus the K&amp;Q anchor pool of 20,335 strings across thousands of shooters. The K&amp;Q pool is </w:t>
      </w:r>
      <w:r>
        <w:rPr>
          <w:b/>
          <w:sz w:val="21"/>
        </w:rPr>
        <w:t>75× larger</w:t>
      </w:r>
      <w:r>
        <w:rPr>
          <w:sz w:val="21"/>
        </w:rPr>
        <w:t>.</w:t>
      </w:r>
    </w:p>
    <w:p>
      <w:pPr>
        <w:spacing w:before="200" w:after="80"/>
      </w:pPr>
      <w:r>
        <w:rPr>
          <w:b/>
          <w:color w:val="1F4E78"/>
          <w:sz w:val="24"/>
        </w:rPr>
        <w:t>3.2 Confidence interval implications</w:t>
      </w:r>
    </w:p>
    <w:p>
      <w:pPr>
        <w:spacing w:after="120"/>
      </w:pPr>
      <w:r>
        <w:rPr>
          <w:sz w:val="21"/>
        </w:rPr>
        <w:t>Standard statistical theory states that confidence interval width scales with 1/√n. Applying this to the local dataset, the per-discipline 95% confidence intervals would widen by approximately √(20,335 / 270) = 8.7× compared to K&amp;Q calibration:</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1984"/>
            <w:vAlign w:val="center"/>
            <w:shd w:val="clear" w:color="auto" w:fill="EEF3F8"/>
          </w:tcPr>
          <w:p>
            <w:pPr>
              <w:spacing w:after="0" w:before="0"/>
            </w:pPr>
            <w:r>
              <w:rPr>
                <w:b/>
                <w:color w:val="1F4E78"/>
                <w:sz w:val="19"/>
              </w:rPr>
            </w:r>
            <w:r>
              <w:rPr>
                <w:b/>
                <w:color w:val="1F4E78"/>
                <w:sz w:val="19"/>
              </w:rPr>
              <w:t>Discipline</w:t>
            </w:r>
          </w:p>
        </w:tc>
        <w:tc>
          <w:tcPr>
            <w:tcW w:type="dxa" w:w="1701"/>
            <w:vAlign w:val="center"/>
            <w:shd w:val="clear" w:color="auto" w:fill="EEF3F8"/>
          </w:tcPr>
          <w:p>
            <w:pPr>
              <w:spacing w:after="0" w:before="0"/>
            </w:pPr>
            <w:r>
              <w:rPr>
                <w:b/>
                <w:color w:val="1F4E78"/>
                <w:sz w:val="19"/>
              </w:rPr>
            </w:r>
            <w:r>
              <w:rPr>
                <w:b/>
                <w:color w:val="1F4E78"/>
                <w:sz w:val="19"/>
              </w:rPr>
              <w:t>K&amp;Q CI width</w:t>
            </w:r>
          </w:p>
        </w:tc>
        <w:tc>
          <w:tcPr>
            <w:tcW w:type="dxa" w:w="2551"/>
            <w:vAlign w:val="center"/>
            <w:shd w:val="clear" w:color="auto" w:fill="EEF3F8"/>
          </w:tcPr>
          <w:p>
            <w:pPr>
              <w:spacing w:after="0" w:before="0"/>
            </w:pPr>
            <w:r>
              <w:rPr>
                <w:b/>
                <w:color w:val="1F4E78"/>
                <w:sz w:val="19"/>
              </w:rPr>
            </w:r>
            <w:r>
              <w:rPr>
                <w:b/>
                <w:color w:val="1F4E78"/>
                <w:sz w:val="19"/>
              </w:rPr>
              <w:t>Geelong-only projected CI</w:t>
            </w:r>
          </w:p>
        </w:tc>
        <w:tc>
          <w:tcPr>
            <w:tcW w:type="dxa" w:w="3118"/>
            <w:vAlign w:val="center"/>
            <w:shd w:val="clear" w:color="auto" w:fill="EEF3F8"/>
          </w:tcPr>
          <w:p>
            <w:pPr>
              <w:spacing w:after="0" w:before="0"/>
            </w:pPr>
            <w:r>
              <w:rPr>
                <w:b/>
                <w:color w:val="1F4E78"/>
                <w:sz w:val="19"/>
              </w:rPr>
            </w:r>
            <w:r>
              <w:rPr>
                <w:b/>
                <w:color w:val="1F4E78"/>
                <w:sz w:val="19"/>
              </w:rPr>
              <w:t>Practical impact</w:t>
            </w:r>
          </w:p>
        </w:tc>
      </w:tr>
      <w:tr>
        <w:tc>
          <w:tcPr>
            <w:tcW w:type="dxa" w:w="1984"/>
            <w:vAlign w:val="center"/>
          </w:tcPr>
          <w:p>
            <w:pPr>
              <w:spacing w:after="0" w:before="0"/>
            </w:pPr>
            <w:r>
              <w:rPr>
                <w:sz w:val="19"/>
              </w:rPr>
            </w:r>
            <w:r>
              <w:rPr>
                <w:sz w:val="19"/>
              </w:rPr>
              <w:t>Target Rifle</w:t>
            </w:r>
          </w:p>
        </w:tc>
        <w:tc>
          <w:tcPr>
            <w:tcW w:type="dxa" w:w="1701"/>
            <w:vAlign w:val="center"/>
          </w:tcPr>
          <w:p>
            <w:pPr>
              <w:spacing w:after="0" w:before="0"/>
            </w:pPr>
            <w:r>
              <w:rPr>
                <w:sz w:val="19"/>
              </w:rPr>
            </w:r>
            <w:r>
              <w:rPr>
                <w:sz w:val="19"/>
              </w:rPr>
              <w:t>±0.52</w:t>
            </w:r>
          </w:p>
        </w:tc>
        <w:tc>
          <w:tcPr>
            <w:tcW w:type="dxa" w:w="2551"/>
            <w:vAlign w:val="center"/>
          </w:tcPr>
          <w:p>
            <w:pPr>
              <w:spacing w:after="0" w:before="0"/>
            </w:pPr>
            <w:r>
              <w:rPr>
                <w:sz w:val="19"/>
              </w:rPr>
            </w:r>
            <w:r>
              <w:rPr>
                <w:sz w:val="19"/>
              </w:rPr>
              <w:t>±4.5 MCSI</w:t>
            </w:r>
          </w:p>
        </w:tc>
        <w:tc>
          <w:tcPr>
            <w:tcW w:type="dxa" w:w="3118"/>
            <w:vAlign w:val="center"/>
          </w:tcPr>
          <w:p>
            <w:pPr>
              <w:spacing w:after="0" w:before="0"/>
            </w:pPr>
            <w:r>
              <w:rPr>
                <w:sz w:val="19"/>
              </w:rPr>
            </w:r>
            <w:r>
              <w:rPr>
                <w:sz w:val="19"/>
              </w:rPr>
              <w:t>Factor uncertain by ±0.065</w:t>
            </w:r>
          </w:p>
        </w:tc>
      </w:tr>
      <w:tr>
        <w:tc>
          <w:tcPr>
            <w:tcW w:type="dxa" w:w="1984"/>
            <w:vAlign w:val="center"/>
          </w:tcPr>
          <w:p>
            <w:pPr>
              <w:spacing w:after="0" w:before="0"/>
            </w:pPr>
            <w:r>
              <w:rPr>
                <w:sz w:val="19"/>
              </w:rPr>
            </w:r>
            <w:r>
              <w:rPr>
                <w:sz w:val="19"/>
              </w:rPr>
              <w:t>F-Open</w:t>
            </w:r>
          </w:p>
        </w:tc>
        <w:tc>
          <w:tcPr>
            <w:tcW w:type="dxa" w:w="1701"/>
            <w:vAlign w:val="center"/>
          </w:tcPr>
          <w:p>
            <w:pPr>
              <w:spacing w:after="0" w:before="0"/>
            </w:pPr>
            <w:r>
              <w:rPr>
                <w:sz w:val="19"/>
              </w:rPr>
            </w:r>
            <w:r>
              <w:rPr>
                <w:sz w:val="19"/>
              </w:rPr>
              <w:t>±0.72</w:t>
            </w:r>
          </w:p>
        </w:tc>
        <w:tc>
          <w:tcPr>
            <w:tcW w:type="dxa" w:w="2551"/>
            <w:vAlign w:val="center"/>
          </w:tcPr>
          <w:p>
            <w:pPr>
              <w:spacing w:after="0" w:before="0"/>
            </w:pPr>
            <w:r>
              <w:rPr>
                <w:sz w:val="19"/>
              </w:rPr>
            </w:r>
            <w:r>
              <w:rPr>
                <w:sz w:val="19"/>
              </w:rPr>
              <w:t>±6.3 MCSI</w:t>
            </w:r>
          </w:p>
        </w:tc>
        <w:tc>
          <w:tcPr>
            <w:tcW w:type="dxa" w:w="3118"/>
            <w:vAlign w:val="center"/>
          </w:tcPr>
          <w:p>
            <w:pPr>
              <w:spacing w:after="0" w:before="0"/>
            </w:pPr>
            <w:r>
              <w:rPr>
                <w:sz w:val="19"/>
              </w:rPr>
            </w:r>
            <w:r>
              <w:rPr>
                <w:sz w:val="19"/>
              </w:rPr>
              <w:t>Factor uncertain by ±0.094</w:t>
            </w:r>
          </w:p>
        </w:tc>
      </w:tr>
      <w:tr>
        <w:tc>
          <w:tcPr>
            <w:tcW w:type="dxa" w:w="1984"/>
            <w:vAlign w:val="center"/>
          </w:tcPr>
          <w:p>
            <w:pPr>
              <w:spacing w:after="0" w:before="0"/>
            </w:pPr>
            <w:r>
              <w:rPr>
                <w:sz w:val="19"/>
              </w:rPr>
            </w:r>
            <w:r>
              <w:rPr>
                <w:sz w:val="19"/>
              </w:rPr>
              <w:t>F-Standard</w:t>
            </w:r>
          </w:p>
        </w:tc>
        <w:tc>
          <w:tcPr>
            <w:tcW w:type="dxa" w:w="1701"/>
            <w:vAlign w:val="center"/>
          </w:tcPr>
          <w:p>
            <w:pPr>
              <w:spacing w:after="0" w:before="0"/>
            </w:pPr>
            <w:r>
              <w:rPr>
                <w:sz w:val="19"/>
              </w:rPr>
            </w:r>
            <w:r>
              <w:rPr>
                <w:sz w:val="19"/>
              </w:rPr>
              <w:t>±0.66</w:t>
            </w:r>
          </w:p>
        </w:tc>
        <w:tc>
          <w:tcPr>
            <w:tcW w:type="dxa" w:w="2551"/>
            <w:vAlign w:val="center"/>
          </w:tcPr>
          <w:p>
            <w:pPr>
              <w:spacing w:after="0" w:before="0"/>
            </w:pPr>
            <w:r>
              <w:rPr>
                <w:sz w:val="19"/>
              </w:rPr>
            </w:r>
            <w:r>
              <w:rPr>
                <w:sz w:val="19"/>
              </w:rPr>
              <w:t>±5.7 MCSI</w:t>
            </w:r>
          </w:p>
        </w:tc>
        <w:tc>
          <w:tcPr>
            <w:tcW w:type="dxa" w:w="3118"/>
            <w:vAlign w:val="center"/>
          </w:tcPr>
          <w:p>
            <w:pPr>
              <w:spacing w:after="0" w:before="0"/>
            </w:pPr>
            <w:r>
              <w:rPr>
                <w:sz w:val="19"/>
              </w:rPr>
            </w:r>
            <w:r>
              <w:rPr>
                <w:sz w:val="19"/>
              </w:rPr>
              <w:t>Factor uncertain by ±0.087</w:t>
            </w:r>
          </w:p>
        </w:tc>
      </w:tr>
      <w:tr>
        <w:tc>
          <w:tcPr>
            <w:tcW w:type="dxa" w:w="1984"/>
            <w:vAlign w:val="center"/>
          </w:tcPr>
          <w:p>
            <w:pPr>
              <w:spacing w:after="0" w:before="0"/>
            </w:pPr>
            <w:r>
              <w:rPr>
                <w:sz w:val="19"/>
              </w:rPr>
            </w:r>
            <w:r>
              <w:rPr>
                <w:sz w:val="19"/>
              </w:rPr>
              <w:t>F/TR</w:t>
            </w:r>
          </w:p>
        </w:tc>
        <w:tc>
          <w:tcPr>
            <w:tcW w:type="dxa" w:w="1701"/>
            <w:vAlign w:val="center"/>
          </w:tcPr>
          <w:p>
            <w:pPr>
              <w:spacing w:after="0" w:before="0"/>
            </w:pPr>
            <w:r>
              <w:rPr>
                <w:sz w:val="19"/>
              </w:rPr>
            </w:r>
            <w:r>
              <w:rPr>
                <w:sz w:val="19"/>
              </w:rPr>
              <w:t>±0.90</w:t>
            </w:r>
          </w:p>
        </w:tc>
        <w:tc>
          <w:tcPr>
            <w:tcW w:type="dxa" w:w="2551"/>
            <w:vAlign w:val="center"/>
          </w:tcPr>
          <w:p>
            <w:pPr>
              <w:spacing w:after="0" w:before="0"/>
            </w:pPr>
            <w:r>
              <w:rPr>
                <w:sz w:val="19"/>
              </w:rPr>
            </w:r>
            <w:r>
              <w:rPr>
                <w:sz w:val="19"/>
              </w:rPr>
              <w:t>±7.8 MCSI</w:t>
            </w:r>
          </w:p>
        </w:tc>
        <w:tc>
          <w:tcPr>
            <w:tcW w:type="dxa" w:w="3118"/>
            <w:vAlign w:val="center"/>
          </w:tcPr>
          <w:p>
            <w:pPr>
              <w:spacing w:after="0" w:before="0"/>
            </w:pPr>
            <w:r>
              <w:rPr>
                <w:sz w:val="19"/>
              </w:rPr>
            </w:r>
            <w:r>
              <w:rPr>
                <w:sz w:val="19"/>
              </w:rPr>
              <w:t>Factor uncertain by ±0.117</w:t>
            </w:r>
          </w:p>
        </w:tc>
      </w:tr>
      <w:tr>
        <w:tc>
          <w:tcPr>
            <w:tcW w:type="dxa" w:w="1984"/>
            <w:vAlign w:val="center"/>
          </w:tcPr>
          <w:p>
            <w:pPr>
              <w:spacing w:after="0" w:before="0"/>
            </w:pPr>
            <w:r>
              <w:rPr>
                <w:sz w:val="19"/>
              </w:rPr>
            </w:r>
            <w:r>
              <w:rPr>
                <w:sz w:val="19"/>
              </w:rPr>
              <w:t>Sporter</w:t>
            </w:r>
          </w:p>
        </w:tc>
        <w:tc>
          <w:tcPr>
            <w:tcW w:type="dxa" w:w="1701"/>
            <w:vAlign w:val="center"/>
          </w:tcPr>
          <w:p>
            <w:pPr>
              <w:spacing w:after="0" w:before="0"/>
            </w:pPr>
            <w:r>
              <w:rPr>
                <w:sz w:val="19"/>
              </w:rPr>
            </w:r>
            <w:r>
              <w:rPr>
                <w:sz w:val="19"/>
              </w:rPr>
              <w:t>±1.04</w:t>
            </w:r>
          </w:p>
        </w:tc>
        <w:tc>
          <w:tcPr>
            <w:tcW w:type="dxa" w:w="2551"/>
            <w:vAlign w:val="center"/>
          </w:tcPr>
          <w:p>
            <w:pPr>
              <w:spacing w:after="0" w:before="0"/>
            </w:pPr>
            <w:r>
              <w:rPr>
                <w:sz w:val="19"/>
              </w:rPr>
            </w:r>
            <w:r>
              <w:rPr>
                <w:sz w:val="19"/>
              </w:rPr>
              <w:t>±9.0 MCSI</w:t>
            </w:r>
          </w:p>
        </w:tc>
        <w:tc>
          <w:tcPr>
            <w:tcW w:type="dxa" w:w="3118"/>
            <w:vAlign w:val="center"/>
          </w:tcPr>
          <w:p>
            <w:pPr>
              <w:spacing w:after="0" w:before="0"/>
            </w:pPr>
            <w:r>
              <w:rPr>
                <w:sz w:val="19"/>
              </w:rPr>
            </w:r>
            <w:r>
              <w:rPr>
                <w:sz w:val="19"/>
              </w:rPr>
              <w:t>Factor uncertain by ±0.130</w:t>
            </w:r>
          </w:p>
        </w:tc>
      </w:tr>
    </w:tbl>
    <w:p>
      <w:pPr>
        <w:spacing w:after="80"/>
      </w:pPr>
    </w:p>
    <w:p>
      <w:pPr>
        <w:spacing w:after="120"/>
      </w:pPr>
      <w:r>
        <w:rPr>
          <w:sz w:val="21"/>
        </w:rPr>
        <w:t>A factor uncertainty of ±0.13 on Sporter means that the "true" factor could plausibly be anywhere from 1.25 to 1.51 — a range so wide that the calibration provides no useful guidance. Two seasons in succession could produce factors differing by 0.2 simply due to natural year-to-year variation in a small cohort, causing leaderboard upheaval unrelated to actual shooter performance.</w:t>
      </w:r>
    </w:p>
    <w:p>
      <w:pPr>
        <w:spacing w:before="200" w:after="80"/>
      </w:pPr>
      <w:r>
        <w:rPr>
          <w:b/>
          <w:color w:val="1F4E78"/>
          <w:sz w:val="24"/>
        </w:rPr>
        <w:t>3.3 The F/TR-specific problem</w:t>
      </w:r>
    </w:p>
    <w:p>
      <w:pPr>
        <w:spacing w:after="120"/>
      </w:pPr>
      <w:r>
        <w:rPr>
          <w:sz w:val="21"/>
        </w:rPr>
        <w:t>At club level, F/TR participation is often very limited. The Geelong 2026 data contains only 9 F/TR strings across 2 shooters. A "top 40% of 9" cohort is 4 strings — meaningfully indistinguishable from the median of the cohort. No defensible factor can be derived from this volume of data.</w:t>
      </w:r>
    </w:p>
    <w:p>
      <w:pPr>
        <w:spacing w:before="200" w:after="80"/>
      </w:pPr>
      <w:r>
        <w:rPr>
          <w:b/>
          <w:color w:val="1F4E78"/>
          <w:sz w:val="24"/>
        </w:rPr>
        <w:t>3.4 The independence-from-self problem</w:t>
      </w:r>
    </w:p>
    <w:p>
      <w:pPr>
        <w:spacing w:after="120"/>
      </w:pPr>
      <w:r>
        <w:rPr>
          <w:sz w:val="21"/>
        </w:rPr>
        <w:t>When a club calibrates its own MCSI from its own season data, every shooter in that club is being scored against a benchmark they themselves helped establish. If one strong shooter dominates a discipline at the club, the discipline's factor will be inflated by that shooter's performance — and that same shooter will then be ranked using a factor they personally raised. This is a methodological feedback loop that the broader K&amp;Q pool eliminates by drawing from thousands of shooters across many clubs.</w:t>
      </w:r>
    </w:p>
    <w:p>
      <w:r>
        <w:br w:type="page"/>
      </w:r>
    </w:p>
    <w:p>
      <w:pPr>
        <w:spacing w:before="280" w:after="120"/>
      </w:pPr>
      <w:r>
        <w:rPr>
          <w:b/>
          <w:color w:val="1F4E78"/>
          <w:sz w:val="30"/>
        </w:rPr>
        <w:t>4. Why Open Prize Meet (OPM) Data Cannot Support Calibration</w:t>
      </w:r>
    </w:p>
    <w:p>
      <w:pPr>
        <w:spacing w:after="120"/>
      </w:pPr>
      <w:r>
        <w:rPr>
          <w:sz w:val="21"/>
        </w:rPr>
        <w:t>OPM data was investigated extensively because it offers a substantially larger sample than K&amp;Q (over 200 meets scraped across 2024–2026). Two structural biases emerged that disqualified OPM data from primary calibration:</w:t>
      </w:r>
    </w:p>
    <w:p>
      <w:pPr>
        <w:pStyle w:val="ListBullet"/>
        <w:spacing w:after="60"/>
      </w:pPr>
      <w:r>
        <w:rPr>
          <w:b/>
          <w:sz w:val="21"/>
        </w:rPr>
        <w:t>(a) Regional bias</w:t>
      </w:r>
      <w:r>
        <w:rPr>
          <w:sz w:val="21"/>
        </w:rPr>
        <w:t xml:space="preserve"> driven by which states shoot which disciplines</w:t>
      </w:r>
    </w:p>
    <w:p>
      <w:pPr>
        <w:pStyle w:val="ListBullet"/>
        <w:spacing w:after="60"/>
      </w:pPr>
      <w:r>
        <w:rPr>
          <w:b/>
          <w:sz w:val="21"/>
        </w:rPr>
        <w:t>(b) Per-club discipline specialisation</w:t>
      </w:r>
      <w:r>
        <w:rPr>
          <w:sz w:val="21"/>
        </w:rPr>
        <w:t xml:space="preserve"> distorting top-cohort means</w:t>
      </w:r>
    </w:p>
    <w:p>
      <w:pPr>
        <w:spacing w:before="200" w:after="80"/>
      </w:pPr>
      <w:r>
        <w:rPr>
          <w:b/>
          <w:color w:val="1F4E78"/>
          <w:sz w:val="24"/>
        </w:rPr>
        <w:t>4.1 Regional bias — the WA case study</w:t>
      </w:r>
    </w:p>
    <w:p>
      <w:pPr>
        <w:spacing w:after="120"/>
      </w:pPr>
      <w:r>
        <w:rPr>
          <w:sz w:val="21"/>
        </w:rPr>
        <w:t>When the "all five disciplines present" filter was applied to the OPM data, 31 qualifying meets emerged — but 29 of these were dominated by Western Australian shooters. WA is the only Australian region where F/TR commonly co-attends events with the other four disciplines (east-coast meets typically have TR + F-Open + F-Std + Sporter but lack FTR turnout).</w:t>
      </w:r>
    </w:p>
    <w:p>
      <w:pPr>
        <w:spacing w:after="120"/>
      </w:pPr>
      <w:r>
        <w:rPr>
          <w:sz w:val="21"/>
        </w:rPr>
        <w:t>WA prize meets exhibit a measurable participation pattern that distorts cross-discipline comparison:</w:t>
      </w:r>
    </w:p>
    <w:tbl>
      <w:tblPr>
        <w:tblStyle w:val="TableGrid"/>
        <w:tblW w:type="auto" w:w="0"/>
        <w:tblLayout w:type="fixed"/>
        <w:tblLook w:firstColumn="1" w:firstRow="1" w:lastColumn="0" w:lastRow="0" w:noHBand="0" w:noVBand="1" w:val="04A0"/>
      </w:tblPr>
      <w:tblGrid>
        <w:gridCol w:w="1606"/>
        <w:gridCol w:w="1606"/>
        <w:gridCol w:w="1606"/>
        <w:gridCol w:w="1606"/>
        <w:gridCol w:w="1606"/>
        <w:gridCol w:w="1606"/>
      </w:tblGrid>
      <w:tr>
        <w:tc>
          <w:tcPr>
            <w:tcW w:type="dxa" w:w="2551"/>
            <w:vAlign w:val="center"/>
            <w:shd w:val="clear" w:color="auto" w:fill="EEF3F8"/>
          </w:tcPr>
          <w:p>
            <w:pPr>
              <w:spacing w:after="0" w:before="0"/>
            </w:pPr>
            <w:r>
              <w:rPr>
                <w:b/>
                <w:color w:val="1F4E78"/>
                <w:sz w:val="19"/>
              </w:rPr>
            </w:r>
            <w:r>
              <w:rPr>
                <w:b/>
                <w:color w:val="1F4E78"/>
                <w:sz w:val="19"/>
              </w:rPr>
              <w:t>Source</w:t>
            </w:r>
          </w:p>
        </w:tc>
        <w:tc>
          <w:tcPr>
            <w:tcW w:type="dxa" w:w="1134"/>
            <w:vAlign w:val="center"/>
            <w:shd w:val="clear" w:color="auto" w:fill="EEF3F8"/>
          </w:tcPr>
          <w:p>
            <w:pPr>
              <w:spacing w:after="0" w:before="0"/>
            </w:pPr>
            <w:r>
              <w:rPr>
                <w:b/>
                <w:color w:val="1F4E78"/>
                <w:sz w:val="19"/>
              </w:rPr>
            </w:r>
            <w:r>
              <w:rPr>
                <w:b/>
                <w:color w:val="1F4E78"/>
                <w:sz w:val="19"/>
              </w:rPr>
              <w:t>F-Open</w:t>
            </w:r>
          </w:p>
        </w:tc>
        <w:tc>
          <w:tcPr>
            <w:tcW w:type="dxa" w:w="1134"/>
            <w:vAlign w:val="center"/>
            <w:shd w:val="clear" w:color="auto" w:fill="EEF3F8"/>
          </w:tcPr>
          <w:p>
            <w:pPr>
              <w:spacing w:after="0" w:before="0"/>
            </w:pPr>
            <w:r>
              <w:rPr>
                <w:b/>
                <w:color w:val="1F4E78"/>
                <w:sz w:val="19"/>
              </w:rPr>
            </w:r>
            <w:r>
              <w:rPr>
                <w:b/>
                <w:color w:val="1F4E78"/>
                <w:sz w:val="19"/>
              </w:rPr>
              <w:t>F-Std</w:t>
            </w:r>
          </w:p>
        </w:tc>
        <w:tc>
          <w:tcPr>
            <w:tcW w:type="dxa" w:w="1134"/>
            <w:vAlign w:val="center"/>
            <w:shd w:val="clear" w:color="auto" w:fill="EEF3F8"/>
          </w:tcPr>
          <w:p>
            <w:pPr>
              <w:spacing w:after="0" w:before="0"/>
            </w:pPr>
            <w:r>
              <w:rPr>
                <w:b/>
                <w:color w:val="1F4E78"/>
                <w:sz w:val="19"/>
              </w:rPr>
            </w:r>
            <w:r>
              <w:rPr>
                <w:b/>
                <w:color w:val="1F4E78"/>
                <w:sz w:val="19"/>
              </w:rPr>
              <w:t>F/TR</w:t>
            </w:r>
          </w:p>
        </w:tc>
        <w:tc>
          <w:tcPr>
            <w:tcW w:type="dxa" w:w="1134"/>
            <w:vAlign w:val="center"/>
            <w:shd w:val="clear" w:color="auto" w:fill="EEF3F8"/>
          </w:tcPr>
          <w:p>
            <w:pPr>
              <w:spacing w:after="0" w:before="0"/>
            </w:pPr>
            <w:r>
              <w:rPr>
                <w:b/>
                <w:color w:val="1F4E78"/>
                <w:sz w:val="19"/>
              </w:rPr>
            </w:r>
            <w:r>
              <w:rPr>
                <w:b/>
                <w:color w:val="1F4E78"/>
                <w:sz w:val="19"/>
              </w:rPr>
              <w:t>Sporter</w:t>
            </w:r>
          </w:p>
        </w:tc>
        <w:tc>
          <w:tcPr>
            <w:tcW w:type="dxa" w:w="1984"/>
            <w:vAlign w:val="center"/>
            <w:shd w:val="clear" w:color="auto" w:fill="EEF3F8"/>
          </w:tcPr>
          <w:p>
            <w:pPr>
              <w:spacing w:after="0" w:before="0"/>
            </w:pPr>
            <w:r>
              <w:rPr>
                <w:b/>
                <w:color w:val="1F4E78"/>
                <w:sz w:val="19"/>
              </w:rPr>
            </w:r>
            <w:r>
              <w:rPr>
                <w:b/>
                <w:color w:val="1F4E78"/>
                <w:sz w:val="19"/>
              </w:rPr>
              <w:t>Sporter ÷ Avg F</w:t>
            </w:r>
          </w:p>
        </w:tc>
      </w:tr>
      <w:tr>
        <w:tc>
          <w:tcPr>
            <w:tcW w:type="dxa" w:w="2551"/>
            <w:vAlign w:val="center"/>
          </w:tcPr>
          <w:p>
            <w:pPr>
              <w:spacing w:after="0" w:before="0"/>
            </w:pPr>
            <w:r>
              <w:rPr>
                <w:sz w:val="19"/>
              </w:rPr>
            </w:r>
            <w:r>
              <w:rPr>
                <w:sz w:val="19"/>
              </w:rPr>
              <w:t>K&amp;Q All Australia</w:t>
            </w:r>
          </w:p>
        </w:tc>
        <w:tc>
          <w:tcPr>
            <w:tcW w:type="dxa" w:w="1134"/>
            <w:vAlign w:val="center"/>
          </w:tcPr>
          <w:p>
            <w:pPr>
              <w:spacing w:after="0" w:before="0"/>
            </w:pPr>
            <w:r>
              <w:rPr>
                <w:sz w:val="19"/>
              </w:rPr>
            </w:r>
            <w:r>
              <w:rPr>
                <w:sz w:val="19"/>
              </w:rPr>
              <w:t>67.20</w:t>
            </w:r>
          </w:p>
        </w:tc>
        <w:tc>
          <w:tcPr>
            <w:tcW w:type="dxa" w:w="1134"/>
            <w:vAlign w:val="center"/>
          </w:tcPr>
          <w:p>
            <w:pPr>
              <w:spacing w:after="0" w:before="0"/>
            </w:pPr>
            <w:r>
              <w:rPr>
                <w:sz w:val="19"/>
              </w:rPr>
            </w:r>
            <w:r>
              <w:rPr>
                <w:sz w:val="19"/>
              </w:rPr>
              <w:t>64.06</w:t>
            </w:r>
          </w:p>
        </w:tc>
        <w:tc>
          <w:tcPr>
            <w:tcW w:type="dxa" w:w="1134"/>
            <w:vAlign w:val="center"/>
          </w:tcPr>
          <w:p>
            <w:pPr>
              <w:spacing w:after="0" w:before="0"/>
            </w:pPr>
            <w:r>
              <w:rPr>
                <w:sz w:val="19"/>
              </w:rPr>
            </w:r>
            <w:r>
              <w:rPr>
                <w:sz w:val="19"/>
              </w:rPr>
              <w:t>65.44</w:t>
            </w:r>
          </w:p>
        </w:tc>
        <w:tc>
          <w:tcPr>
            <w:tcW w:type="dxa" w:w="1134"/>
            <w:vAlign w:val="center"/>
          </w:tcPr>
          <w:p>
            <w:pPr>
              <w:spacing w:after="0" w:before="0"/>
            </w:pPr>
            <w:r>
              <w:rPr>
                <w:sz w:val="19"/>
              </w:rPr>
            </w:r>
            <w:r>
              <w:rPr>
                <w:sz w:val="19"/>
              </w:rPr>
              <w:t>68.83</w:t>
            </w:r>
          </w:p>
        </w:tc>
        <w:tc>
          <w:tcPr>
            <w:tcW w:type="dxa" w:w="1984"/>
            <w:vAlign w:val="center"/>
          </w:tcPr>
          <w:p>
            <w:pPr>
              <w:spacing w:after="0" w:before="0"/>
            </w:pPr>
            <w:r>
              <w:rPr>
                <w:sz w:val="19"/>
              </w:rPr>
            </w:r>
            <w:r>
              <w:rPr>
                <w:sz w:val="19"/>
              </w:rPr>
              <w:t>1.050</w:t>
            </w:r>
          </w:p>
        </w:tc>
      </w:tr>
      <w:tr>
        <w:tc>
          <w:tcPr>
            <w:tcW w:type="dxa" w:w="2551"/>
            <w:vAlign w:val="center"/>
          </w:tcPr>
          <w:p>
            <w:pPr>
              <w:spacing w:after="0" w:before="0"/>
            </w:pPr>
            <w:r>
              <w:rPr>
                <w:sz w:val="19"/>
              </w:rPr>
            </w:r>
            <w:r>
              <w:rPr>
                <w:sz w:val="19"/>
              </w:rPr>
              <w:t>K&amp;Q WA only</w:t>
            </w:r>
          </w:p>
        </w:tc>
        <w:tc>
          <w:tcPr>
            <w:tcW w:type="dxa" w:w="1134"/>
            <w:vAlign w:val="center"/>
          </w:tcPr>
          <w:p>
            <w:pPr>
              <w:spacing w:after="0" w:before="0"/>
            </w:pPr>
            <w:r>
              <w:rPr>
                <w:sz w:val="19"/>
              </w:rPr>
            </w:r>
            <w:r>
              <w:rPr>
                <w:sz w:val="19"/>
              </w:rPr>
              <w:t>62.09</w:t>
            </w:r>
          </w:p>
        </w:tc>
        <w:tc>
          <w:tcPr>
            <w:tcW w:type="dxa" w:w="1134"/>
            <w:vAlign w:val="center"/>
          </w:tcPr>
          <w:p>
            <w:pPr>
              <w:spacing w:after="0" w:before="0"/>
            </w:pPr>
            <w:r>
              <w:rPr>
                <w:sz w:val="19"/>
              </w:rPr>
            </w:r>
            <w:r>
              <w:rPr>
                <w:sz w:val="19"/>
              </w:rPr>
              <w:t>61.06</w:t>
            </w:r>
          </w:p>
        </w:tc>
        <w:tc>
          <w:tcPr>
            <w:tcW w:type="dxa" w:w="1134"/>
            <w:vAlign w:val="center"/>
          </w:tcPr>
          <w:p>
            <w:pPr>
              <w:spacing w:after="0" w:before="0"/>
            </w:pPr>
            <w:r>
              <w:rPr>
                <w:sz w:val="19"/>
              </w:rPr>
            </w:r>
            <w:r>
              <w:rPr>
                <w:sz w:val="19"/>
              </w:rPr>
              <w:t>60.69</w:t>
            </w:r>
          </w:p>
        </w:tc>
        <w:tc>
          <w:tcPr>
            <w:tcW w:type="dxa" w:w="1134"/>
            <w:vAlign w:val="center"/>
          </w:tcPr>
          <w:p>
            <w:pPr>
              <w:spacing w:after="0" w:before="0"/>
            </w:pPr>
            <w:r>
              <w:rPr>
                <w:sz w:val="19"/>
              </w:rPr>
            </w:r>
            <w:r>
              <w:rPr>
                <w:sz w:val="19"/>
              </w:rPr>
              <w:t>63.58</w:t>
            </w:r>
          </w:p>
        </w:tc>
        <w:tc>
          <w:tcPr>
            <w:tcW w:type="dxa" w:w="1984"/>
            <w:vAlign w:val="center"/>
          </w:tcPr>
          <w:p>
            <w:pPr>
              <w:spacing w:after="0" w:before="0"/>
            </w:pPr>
            <w:r>
              <w:rPr>
                <w:sz w:val="19"/>
              </w:rPr>
            </w:r>
            <w:r>
              <w:rPr>
                <w:sz w:val="19"/>
              </w:rPr>
              <w:t>1.038</w:t>
            </w:r>
          </w:p>
        </w:tc>
      </w:tr>
      <w:tr>
        <w:tc>
          <w:tcPr>
            <w:tcW w:type="dxa" w:w="2551"/>
            <w:vAlign w:val="center"/>
          </w:tcPr>
          <w:p>
            <w:pPr>
              <w:spacing w:after="0" w:before="0"/>
            </w:pPr>
            <w:r>
              <w:rPr>
                <w:sz w:val="19"/>
              </w:rPr>
            </w:r>
            <w:r>
              <w:rPr>
                <w:sz w:val="19"/>
              </w:rPr>
              <w:t>K&amp;Q NSW</w:t>
            </w:r>
          </w:p>
        </w:tc>
        <w:tc>
          <w:tcPr>
            <w:tcW w:type="dxa" w:w="1134"/>
            <w:vAlign w:val="center"/>
          </w:tcPr>
          <w:p>
            <w:pPr>
              <w:spacing w:after="0" w:before="0"/>
            </w:pPr>
            <w:r>
              <w:rPr>
                <w:sz w:val="19"/>
              </w:rPr>
            </w:r>
            <w:r>
              <w:rPr>
                <w:sz w:val="19"/>
              </w:rPr>
              <w:t>72.97</w:t>
            </w:r>
          </w:p>
        </w:tc>
        <w:tc>
          <w:tcPr>
            <w:tcW w:type="dxa" w:w="1134"/>
            <w:vAlign w:val="center"/>
          </w:tcPr>
          <w:p>
            <w:pPr>
              <w:spacing w:after="0" w:before="0"/>
            </w:pPr>
            <w:r>
              <w:rPr>
                <w:sz w:val="19"/>
              </w:rPr>
            </w:r>
            <w:r>
              <w:rPr>
                <w:sz w:val="19"/>
              </w:rPr>
              <w:t>67.06</w:t>
            </w:r>
          </w:p>
        </w:tc>
        <w:tc>
          <w:tcPr>
            <w:tcW w:type="dxa" w:w="1134"/>
            <w:vAlign w:val="center"/>
          </w:tcPr>
          <w:p>
            <w:pPr>
              <w:spacing w:after="0" w:before="0"/>
            </w:pPr>
            <w:r>
              <w:rPr>
                <w:sz w:val="19"/>
              </w:rPr>
            </w:r>
            <w:r>
              <w:rPr>
                <w:sz w:val="19"/>
              </w:rPr>
              <w:t>71.12</w:t>
            </w:r>
          </w:p>
        </w:tc>
        <w:tc>
          <w:tcPr>
            <w:tcW w:type="dxa" w:w="1134"/>
            <w:vAlign w:val="center"/>
          </w:tcPr>
          <w:p>
            <w:pPr>
              <w:spacing w:after="0" w:before="0"/>
            </w:pPr>
            <w:r>
              <w:rPr>
                <w:sz w:val="19"/>
              </w:rPr>
            </w:r>
            <w:r>
              <w:rPr>
                <w:sz w:val="19"/>
              </w:rPr>
              <w:t>70.63</w:t>
            </w:r>
          </w:p>
        </w:tc>
        <w:tc>
          <w:tcPr>
            <w:tcW w:type="dxa" w:w="1984"/>
            <w:vAlign w:val="center"/>
          </w:tcPr>
          <w:p>
            <w:pPr>
              <w:spacing w:after="0" w:before="0"/>
            </w:pPr>
            <w:r>
              <w:rPr>
                <w:sz w:val="19"/>
              </w:rPr>
            </w:r>
            <w:r>
              <w:rPr>
                <w:sz w:val="19"/>
              </w:rPr>
              <w:t>1.004</w:t>
            </w:r>
          </w:p>
        </w:tc>
      </w:tr>
      <w:tr>
        <w:tc>
          <w:tcPr>
            <w:tcW w:type="dxa" w:w="2551"/>
            <w:vAlign w:val="center"/>
          </w:tcPr>
          <w:p>
            <w:pPr>
              <w:spacing w:after="0" w:before="0"/>
            </w:pPr>
            <w:r>
              <w:rPr>
                <w:sz w:val="19"/>
              </w:rPr>
            </w:r>
            <w:r>
              <w:rPr>
                <w:sz w:val="19"/>
              </w:rPr>
              <w:t>K&amp;Q QLD</w:t>
            </w:r>
          </w:p>
        </w:tc>
        <w:tc>
          <w:tcPr>
            <w:tcW w:type="dxa" w:w="1134"/>
            <w:vAlign w:val="center"/>
          </w:tcPr>
          <w:p>
            <w:pPr>
              <w:spacing w:after="0" w:before="0"/>
            </w:pPr>
            <w:r>
              <w:rPr>
                <w:sz w:val="19"/>
              </w:rPr>
            </w:r>
            <w:r>
              <w:rPr>
                <w:sz w:val="19"/>
              </w:rPr>
              <w:t>69.70</w:t>
            </w:r>
          </w:p>
        </w:tc>
        <w:tc>
          <w:tcPr>
            <w:tcW w:type="dxa" w:w="1134"/>
            <w:vAlign w:val="center"/>
          </w:tcPr>
          <w:p>
            <w:pPr>
              <w:spacing w:after="0" w:before="0"/>
            </w:pPr>
            <w:r>
              <w:rPr>
                <w:sz w:val="19"/>
              </w:rPr>
            </w:r>
            <w:r>
              <w:rPr>
                <w:sz w:val="19"/>
              </w:rPr>
              <w:t>67.18</w:t>
            </w:r>
          </w:p>
        </w:tc>
        <w:tc>
          <w:tcPr>
            <w:tcW w:type="dxa" w:w="1134"/>
            <w:vAlign w:val="center"/>
          </w:tcPr>
          <w:p>
            <w:pPr>
              <w:spacing w:after="0" w:before="0"/>
            </w:pPr>
            <w:r>
              <w:rPr>
                <w:sz w:val="19"/>
              </w:rPr>
            </w:r>
            <w:r>
              <w:rPr>
                <w:sz w:val="19"/>
              </w:rPr>
              <w:t>67.82</w:t>
            </w:r>
          </w:p>
        </w:tc>
        <w:tc>
          <w:tcPr>
            <w:tcW w:type="dxa" w:w="1134"/>
            <w:vAlign w:val="center"/>
          </w:tcPr>
          <w:p>
            <w:pPr>
              <w:spacing w:after="0" w:before="0"/>
            </w:pPr>
            <w:r>
              <w:rPr>
                <w:sz w:val="19"/>
              </w:rPr>
            </w:r>
            <w:r>
              <w:rPr>
                <w:sz w:val="19"/>
              </w:rPr>
              <w:t>71.02</w:t>
            </w:r>
          </w:p>
        </w:tc>
        <w:tc>
          <w:tcPr>
            <w:tcW w:type="dxa" w:w="1984"/>
            <w:vAlign w:val="center"/>
          </w:tcPr>
          <w:p>
            <w:pPr>
              <w:spacing w:after="0" w:before="0"/>
            </w:pPr>
            <w:r>
              <w:rPr>
                <w:sz w:val="19"/>
              </w:rPr>
            </w:r>
            <w:r>
              <w:rPr>
                <w:sz w:val="19"/>
              </w:rPr>
              <w:t>1.041</w:t>
            </w:r>
          </w:p>
        </w:tc>
      </w:tr>
      <w:tr>
        <w:tc>
          <w:tcPr>
            <w:tcW w:type="dxa" w:w="2551"/>
            <w:vAlign w:val="center"/>
            <w:shd w:val="clear" w:color="auto" w:fill="FFF9E6"/>
          </w:tcPr>
          <w:p>
            <w:pPr>
              <w:spacing w:after="0" w:before="0"/>
            </w:pPr>
            <w:r>
              <w:rPr>
                <w:sz w:val="19"/>
              </w:rPr>
            </w:r>
            <w:r>
              <w:rPr>
                <w:b/>
                <w:sz w:val="19"/>
              </w:rPr>
              <w:t>WA prize meets</w:t>
            </w:r>
          </w:p>
        </w:tc>
        <w:tc>
          <w:tcPr>
            <w:tcW w:type="dxa" w:w="1134"/>
            <w:vAlign w:val="center"/>
            <w:shd w:val="clear" w:color="auto" w:fill="FFF9E6"/>
          </w:tcPr>
          <w:p>
            <w:pPr>
              <w:spacing w:after="0" w:before="0"/>
            </w:pPr>
            <w:r>
              <w:rPr>
                <w:sz w:val="19"/>
              </w:rPr>
            </w:r>
            <w:r>
              <w:rPr>
                <w:b/>
                <w:sz w:val="19"/>
              </w:rPr>
              <w:t>62.56</w:t>
            </w:r>
          </w:p>
        </w:tc>
        <w:tc>
          <w:tcPr>
            <w:tcW w:type="dxa" w:w="1134"/>
            <w:vAlign w:val="center"/>
            <w:shd w:val="clear" w:color="auto" w:fill="FFF9E6"/>
          </w:tcPr>
          <w:p>
            <w:pPr>
              <w:spacing w:after="0" w:before="0"/>
            </w:pPr>
            <w:r>
              <w:rPr>
                <w:sz w:val="19"/>
              </w:rPr>
            </w:r>
            <w:r>
              <w:rPr>
                <w:b/>
                <w:sz w:val="19"/>
              </w:rPr>
              <w:t>61.15</w:t>
            </w:r>
          </w:p>
        </w:tc>
        <w:tc>
          <w:tcPr>
            <w:tcW w:type="dxa" w:w="1134"/>
            <w:vAlign w:val="center"/>
            <w:shd w:val="clear" w:color="auto" w:fill="FFF9E6"/>
          </w:tcPr>
          <w:p>
            <w:pPr>
              <w:spacing w:after="0" w:before="0"/>
            </w:pPr>
            <w:r>
              <w:rPr>
                <w:sz w:val="19"/>
              </w:rPr>
            </w:r>
            <w:r>
              <w:rPr>
                <w:b/>
                <w:sz w:val="19"/>
              </w:rPr>
              <w:t>58.39</w:t>
            </w:r>
          </w:p>
        </w:tc>
        <w:tc>
          <w:tcPr>
            <w:tcW w:type="dxa" w:w="1134"/>
            <w:vAlign w:val="center"/>
            <w:shd w:val="clear" w:color="auto" w:fill="FFF9E6"/>
          </w:tcPr>
          <w:p>
            <w:pPr>
              <w:spacing w:after="0" w:before="0"/>
            </w:pPr>
            <w:r>
              <w:rPr>
                <w:sz w:val="19"/>
              </w:rPr>
            </w:r>
            <w:r>
              <w:rPr>
                <w:b/>
                <w:sz w:val="19"/>
              </w:rPr>
              <w:t>72.21</w:t>
            </w:r>
          </w:p>
        </w:tc>
        <w:tc>
          <w:tcPr>
            <w:tcW w:type="dxa" w:w="1984"/>
            <w:vAlign w:val="center"/>
            <w:shd w:val="clear" w:color="auto" w:fill="FFF9E6"/>
          </w:tcPr>
          <w:p>
            <w:pPr>
              <w:spacing w:after="0" w:before="0"/>
            </w:pPr>
            <w:r>
              <w:rPr>
                <w:sz w:val="19"/>
              </w:rPr>
            </w:r>
            <w:r>
              <w:rPr>
                <w:b/>
                <w:sz w:val="19"/>
              </w:rPr>
              <w:t>1.190</w:t>
            </w:r>
          </w:p>
        </w:tc>
      </w:tr>
    </w:tbl>
    <w:p>
      <w:pPr>
        <w:spacing w:after="80"/>
      </w:pPr>
    </w:p>
    <w:p>
      <w:pPr>
        <w:spacing w:after="160"/>
      </w:pPr>
      <w:r>
        <w:rPr>
          <w:i/>
          <w:color w:val="888888"/>
          <w:sz w:val="18"/>
        </w:rPr>
        <w:t>Values are pre-factor top-40% mean MCSI scores. The "Sporter ÷ Avg F" ratio measures Sporter's relative scoring strength against F-class within the same pool.</w:t>
      </w:r>
    </w:p>
    <w:p>
      <w:pPr>
        <w:spacing w:after="120"/>
      </w:pPr>
      <w:r>
        <w:rPr>
          <w:sz w:val="21"/>
        </w:rPr>
        <w:t>Every Australian region — including WA itself at K&amp;Q level — shows a Sporter/F-class ratio between 1.00 and 1.06. The WA prize-meet pool shows 1.19, a fivefold deviation from the normal range. This occurs because WA Sporter has a vibrant local culture (strong participation, high scores) while WA F/TR at prize meets is shot by club-level competitors whose top performances do not match interstate elite F-class participation at K&amp;Q.</w:t>
      </w:r>
    </w:p>
    <w:p>
      <w:pPr>
        <w:spacing w:after="120"/>
      </w:pPr>
      <w:r>
        <w:rPr>
          <w:sz w:val="21"/>
        </w:rPr>
        <w:t>Including WA prize meets in calibration drops the Sporter factor by 0.058 — a change that disadvantages Sporter shooters Australia-wide by approximately 30 leaderboard points over a club championship season, simply because of regional sampling artefacts.</w:t>
      </w:r>
    </w:p>
    <w:p>
      <w:pPr>
        <w:spacing w:before="200" w:after="80"/>
      </w:pPr>
      <w:r>
        <w:rPr>
          <w:b/>
          <w:color w:val="1F4E78"/>
          <w:sz w:val="24"/>
        </w:rPr>
        <w:t>4.2 Per-club discipline specialisation — the east-coast OPM problem</w:t>
      </w:r>
    </w:p>
    <w:p>
      <w:pPr>
        <w:spacing w:after="120"/>
      </w:pPr>
      <w:r>
        <w:rPr>
          <w:sz w:val="21"/>
        </w:rPr>
        <w:t xml:space="preserve">After the WA bias was identified, the analysis was repeated using only east-coast OPMs (99 meets with all five disciplines present). A different bias emerged: </w:t>
      </w:r>
      <w:r>
        <w:rPr>
          <w:b/>
          <w:sz w:val="21"/>
        </w:rPr>
        <w:t>per-club discipline specialisation</w:t>
      </w:r>
      <w:r>
        <w:rPr>
          <w:sz w:val="21"/>
        </w:rPr>
        <w:t>.</w:t>
      </w:r>
    </w:p>
    <w:p>
      <w:pPr>
        <w:spacing w:after="120"/>
      </w:pPr>
      <w:r>
        <w:rPr>
          <w:sz w:val="21"/>
        </w:rPr>
        <w:t>Clubs across Australia have historically developed strength in particular disciplines based on local equipment culture, club coaching, and shooter demographics. The string-count distribution at large east-coast OPMs demonstrates this:</w:t>
      </w:r>
    </w:p>
    <w:tbl>
      <w:tblPr>
        <w:tblStyle w:val="TableGrid"/>
        <w:tblW w:type="auto" w:w="0"/>
        <w:tblLayout w:type="fixed"/>
        <w:tblLook w:firstColumn="1" w:firstRow="1" w:lastColumn="0" w:lastRow="0" w:noHBand="0" w:noVBand="1" w:val="04A0"/>
      </w:tblPr>
      <w:tblGrid>
        <w:gridCol w:w="1377"/>
        <w:gridCol w:w="1377"/>
        <w:gridCol w:w="1377"/>
        <w:gridCol w:w="1377"/>
        <w:gridCol w:w="1377"/>
        <w:gridCol w:w="1377"/>
        <w:gridCol w:w="1377"/>
      </w:tblGrid>
      <w:tr>
        <w:tc>
          <w:tcPr>
            <w:tcW w:type="dxa" w:w="2551"/>
            <w:vAlign w:val="center"/>
            <w:shd w:val="clear" w:color="auto" w:fill="EEF3F8"/>
          </w:tcPr>
          <w:p>
            <w:pPr>
              <w:spacing w:after="0" w:before="0"/>
            </w:pPr>
            <w:r>
              <w:rPr>
                <w:b/>
                <w:color w:val="1F4E78"/>
                <w:sz w:val="19"/>
              </w:rPr>
            </w:r>
            <w:r>
              <w:rPr>
                <w:b/>
                <w:color w:val="1F4E78"/>
                <w:sz w:val="19"/>
              </w:rPr>
              <w:t>Club / Meet</w:t>
            </w:r>
          </w:p>
        </w:tc>
        <w:tc>
          <w:tcPr>
            <w:tcW w:type="dxa" w:w="850"/>
            <w:vAlign w:val="center"/>
            <w:shd w:val="clear" w:color="auto" w:fill="EEF3F8"/>
          </w:tcPr>
          <w:p>
            <w:pPr>
              <w:spacing w:after="0" w:before="0"/>
            </w:pPr>
            <w:r>
              <w:rPr>
                <w:b/>
                <w:color w:val="1F4E78"/>
                <w:sz w:val="19"/>
              </w:rPr>
            </w:r>
            <w:r>
              <w:rPr>
                <w:b/>
                <w:color w:val="1F4E78"/>
                <w:sz w:val="19"/>
              </w:rPr>
              <w:t>TR</w:t>
            </w:r>
          </w:p>
        </w:tc>
        <w:tc>
          <w:tcPr>
            <w:tcW w:type="dxa" w:w="964"/>
            <w:vAlign w:val="center"/>
            <w:shd w:val="clear" w:color="auto" w:fill="EEF3F8"/>
          </w:tcPr>
          <w:p>
            <w:pPr>
              <w:spacing w:after="0" w:before="0"/>
            </w:pPr>
            <w:r>
              <w:rPr>
                <w:b/>
                <w:color w:val="1F4E78"/>
                <w:sz w:val="19"/>
              </w:rPr>
            </w:r>
            <w:r>
              <w:rPr>
                <w:b/>
                <w:color w:val="1F4E78"/>
                <w:sz w:val="19"/>
              </w:rPr>
              <w:t>F-Open</w:t>
            </w:r>
          </w:p>
        </w:tc>
        <w:tc>
          <w:tcPr>
            <w:tcW w:type="dxa" w:w="964"/>
            <w:vAlign w:val="center"/>
            <w:shd w:val="clear" w:color="auto" w:fill="EEF3F8"/>
          </w:tcPr>
          <w:p>
            <w:pPr>
              <w:spacing w:after="0" w:before="0"/>
            </w:pPr>
            <w:r>
              <w:rPr>
                <w:b/>
                <w:color w:val="1F4E78"/>
                <w:sz w:val="19"/>
              </w:rPr>
            </w:r>
            <w:r>
              <w:rPr>
                <w:b/>
                <w:color w:val="1F4E78"/>
                <w:sz w:val="19"/>
              </w:rPr>
              <w:t>F-Std</w:t>
            </w:r>
          </w:p>
        </w:tc>
        <w:tc>
          <w:tcPr>
            <w:tcW w:type="dxa" w:w="850"/>
            <w:vAlign w:val="center"/>
            <w:shd w:val="clear" w:color="auto" w:fill="EEF3F8"/>
          </w:tcPr>
          <w:p>
            <w:pPr>
              <w:spacing w:after="0" w:before="0"/>
            </w:pPr>
            <w:r>
              <w:rPr>
                <w:b/>
                <w:color w:val="1F4E78"/>
                <w:sz w:val="19"/>
              </w:rPr>
            </w:r>
            <w:r>
              <w:rPr>
                <w:b/>
                <w:color w:val="1F4E78"/>
                <w:sz w:val="19"/>
              </w:rPr>
              <w:t>F/TR</w:t>
            </w:r>
          </w:p>
        </w:tc>
        <w:tc>
          <w:tcPr>
            <w:tcW w:type="dxa" w:w="964"/>
            <w:vAlign w:val="center"/>
            <w:shd w:val="clear" w:color="auto" w:fill="EEF3F8"/>
          </w:tcPr>
          <w:p>
            <w:pPr>
              <w:spacing w:after="0" w:before="0"/>
            </w:pPr>
            <w:r>
              <w:rPr>
                <w:b/>
                <w:color w:val="1F4E78"/>
                <w:sz w:val="19"/>
              </w:rPr>
            </w:r>
            <w:r>
              <w:rPr>
                <w:b/>
                <w:color w:val="1F4E78"/>
                <w:sz w:val="19"/>
              </w:rPr>
              <w:t>Sporter</w:t>
            </w:r>
          </w:p>
        </w:tc>
        <w:tc>
          <w:tcPr>
            <w:tcW w:type="dxa" w:w="1928"/>
            <w:vAlign w:val="center"/>
            <w:shd w:val="clear" w:color="auto" w:fill="EEF3F8"/>
          </w:tcPr>
          <w:p>
            <w:pPr>
              <w:spacing w:after="0" w:before="0"/>
            </w:pPr>
            <w:r>
              <w:rPr>
                <w:b/>
                <w:color w:val="1F4E78"/>
                <w:sz w:val="19"/>
              </w:rPr>
            </w:r>
            <w:r>
              <w:rPr>
                <w:b/>
                <w:color w:val="1F4E78"/>
                <w:sz w:val="19"/>
              </w:rPr>
              <w:t>Pattern</w:t>
            </w:r>
          </w:p>
        </w:tc>
      </w:tr>
      <w:tr>
        <w:tc>
          <w:tcPr>
            <w:tcW w:type="dxa" w:w="2551"/>
            <w:vAlign w:val="center"/>
          </w:tcPr>
          <w:p>
            <w:pPr>
              <w:spacing w:after="0" w:before="0"/>
            </w:pPr>
            <w:r>
              <w:rPr>
                <w:sz w:val="19"/>
              </w:rPr>
            </w:r>
            <w:r>
              <w:rPr>
                <w:sz w:val="19"/>
              </w:rPr>
              <w:t>Pacific RC OPM</w:t>
            </w:r>
          </w:p>
        </w:tc>
        <w:tc>
          <w:tcPr>
            <w:tcW w:type="dxa" w:w="850"/>
            <w:vAlign w:val="center"/>
          </w:tcPr>
          <w:p>
            <w:pPr>
              <w:spacing w:after="0" w:before="0"/>
            </w:pPr>
            <w:r>
              <w:rPr>
                <w:sz w:val="19"/>
              </w:rPr>
            </w:r>
            <w:r>
              <w:rPr>
                <w:sz w:val="19"/>
              </w:rPr>
              <w:t>464</w:t>
            </w:r>
          </w:p>
        </w:tc>
        <w:tc>
          <w:tcPr>
            <w:tcW w:type="dxa" w:w="964"/>
            <w:vAlign w:val="center"/>
          </w:tcPr>
          <w:p>
            <w:pPr>
              <w:spacing w:after="0" w:before="0"/>
            </w:pPr>
            <w:r>
              <w:rPr>
                <w:sz w:val="19"/>
              </w:rPr>
            </w:r>
            <w:r>
              <w:rPr>
                <w:sz w:val="19"/>
              </w:rPr>
              <w:t>125</w:t>
            </w:r>
          </w:p>
        </w:tc>
        <w:tc>
          <w:tcPr>
            <w:tcW w:type="dxa" w:w="964"/>
            <w:vAlign w:val="center"/>
          </w:tcPr>
          <w:p>
            <w:pPr>
              <w:spacing w:after="0" w:before="0"/>
            </w:pPr>
            <w:r>
              <w:rPr>
                <w:sz w:val="19"/>
              </w:rPr>
            </w:r>
            <w:r>
              <w:rPr>
                <w:sz w:val="19"/>
              </w:rPr>
              <w:t>256</w:t>
            </w:r>
          </w:p>
        </w:tc>
        <w:tc>
          <w:tcPr>
            <w:tcW w:type="dxa" w:w="850"/>
            <w:vAlign w:val="center"/>
          </w:tcPr>
          <w:p>
            <w:pPr>
              <w:spacing w:after="0" w:before="0"/>
            </w:pPr>
            <w:r>
              <w:rPr>
                <w:sz w:val="19"/>
              </w:rPr>
            </w:r>
            <w:r>
              <w:rPr>
                <w:sz w:val="19"/>
              </w:rPr>
              <w:t>113</w:t>
            </w:r>
          </w:p>
        </w:tc>
        <w:tc>
          <w:tcPr>
            <w:tcW w:type="dxa" w:w="964"/>
            <w:vAlign w:val="center"/>
          </w:tcPr>
          <w:p>
            <w:pPr>
              <w:spacing w:after="0" w:before="0"/>
            </w:pPr>
            <w:r>
              <w:rPr>
                <w:sz w:val="19"/>
              </w:rPr>
            </w:r>
            <w:r>
              <w:rPr>
                <w:sz w:val="19"/>
              </w:rPr>
              <w:t>285</w:t>
            </w:r>
          </w:p>
        </w:tc>
        <w:tc>
          <w:tcPr>
            <w:tcW w:type="dxa" w:w="1928"/>
            <w:vAlign w:val="center"/>
          </w:tcPr>
          <w:p>
            <w:pPr>
              <w:spacing w:after="0" w:before="0"/>
            </w:pPr>
            <w:r>
              <w:rPr>
                <w:sz w:val="19"/>
              </w:rPr>
            </w:r>
            <w:r>
              <w:rPr>
                <w:sz w:val="19"/>
              </w:rPr>
              <w:t>TR-heavy</w:t>
            </w:r>
          </w:p>
        </w:tc>
      </w:tr>
      <w:tr>
        <w:tc>
          <w:tcPr>
            <w:tcW w:type="dxa" w:w="2551"/>
            <w:vAlign w:val="center"/>
          </w:tcPr>
          <w:p>
            <w:pPr>
              <w:spacing w:after="0" w:before="0"/>
            </w:pPr>
            <w:r>
              <w:rPr>
                <w:sz w:val="19"/>
              </w:rPr>
            </w:r>
            <w:r>
              <w:rPr>
                <w:sz w:val="19"/>
              </w:rPr>
              <w:t>MDRA (Brisbane) OPM</w:t>
            </w:r>
          </w:p>
        </w:tc>
        <w:tc>
          <w:tcPr>
            <w:tcW w:type="dxa" w:w="850"/>
            <w:vAlign w:val="center"/>
          </w:tcPr>
          <w:p>
            <w:pPr>
              <w:spacing w:after="0" w:before="0"/>
            </w:pPr>
            <w:r>
              <w:rPr>
                <w:sz w:val="19"/>
              </w:rPr>
            </w:r>
            <w:r>
              <w:rPr>
                <w:sz w:val="19"/>
              </w:rPr>
              <w:t>446</w:t>
            </w:r>
          </w:p>
        </w:tc>
        <w:tc>
          <w:tcPr>
            <w:tcW w:type="dxa" w:w="964"/>
            <w:vAlign w:val="center"/>
          </w:tcPr>
          <w:p>
            <w:pPr>
              <w:spacing w:after="0" w:before="0"/>
            </w:pPr>
            <w:r>
              <w:rPr>
                <w:sz w:val="19"/>
              </w:rPr>
            </w:r>
            <w:r>
              <w:rPr>
                <w:sz w:val="19"/>
              </w:rPr>
              <w:t>92</w:t>
            </w:r>
          </w:p>
        </w:tc>
        <w:tc>
          <w:tcPr>
            <w:tcW w:type="dxa" w:w="964"/>
            <w:vAlign w:val="center"/>
          </w:tcPr>
          <w:p>
            <w:pPr>
              <w:spacing w:after="0" w:before="0"/>
            </w:pPr>
            <w:r>
              <w:rPr>
                <w:sz w:val="19"/>
              </w:rPr>
            </w:r>
            <w:r>
              <w:rPr>
                <w:sz w:val="19"/>
              </w:rPr>
              <w:t>229</w:t>
            </w:r>
          </w:p>
        </w:tc>
        <w:tc>
          <w:tcPr>
            <w:tcW w:type="dxa" w:w="850"/>
            <w:vAlign w:val="center"/>
          </w:tcPr>
          <w:p>
            <w:pPr>
              <w:spacing w:after="0" w:before="0"/>
            </w:pPr>
            <w:r>
              <w:rPr>
                <w:sz w:val="19"/>
              </w:rPr>
            </w:r>
            <w:r>
              <w:rPr>
                <w:sz w:val="19"/>
              </w:rPr>
              <w:t>103</w:t>
            </w:r>
          </w:p>
        </w:tc>
        <w:tc>
          <w:tcPr>
            <w:tcW w:type="dxa" w:w="964"/>
            <w:vAlign w:val="center"/>
          </w:tcPr>
          <w:p>
            <w:pPr>
              <w:spacing w:after="0" w:before="0"/>
            </w:pPr>
            <w:r>
              <w:rPr>
                <w:sz w:val="19"/>
              </w:rPr>
            </w:r>
            <w:r>
              <w:rPr>
                <w:sz w:val="19"/>
              </w:rPr>
              <w:t>260</w:t>
            </w:r>
          </w:p>
        </w:tc>
        <w:tc>
          <w:tcPr>
            <w:tcW w:type="dxa" w:w="1928"/>
            <w:vAlign w:val="center"/>
          </w:tcPr>
          <w:p>
            <w:pPr>
              <w:spacing w:after="0" w:before="0"/>
            </w:pPr>
            <w:r>
              <w:rPr>
                <w:sz w:val="19"/>
              </w:rPr>
            </w:r>
            <w:r>
              <w:rPr>
                <w:sz w:val="19"/>
              </w:rPr>
              <w:t>TR-heavy</w:t>
            </w:r>
          </w:p>
        </w:tc>
      </w:tr>
      <w:tr>
        <w:tc>
          <w:tcPr>
            <w:tcW w:type="dxa" w:w="2551"/>
            <w:vAlign w:val="center"/>
          </w:tcPr>
          <w:p>
            <w:pPr>
              <w:spacing w:after="0" w:before="0"/>
            </w:pPr>
            <w:r>
              <w:rPr>
                <w:sz w:val="19"/>
              </w:rPr>
            </w:r>
            <w:r>
              <w:rPr>
                <w:sz w:val="19"/>
              </w:rPr>
              <w:t>Wingham RC OPM</w:t>
            </w:r>
          </w:p>
        </w:tc>
        <w:tc>
          <w:tcPr>
            <w:tcW w:type="dxa" w:w="850"/>
            <w:vAlign w:val="center"/>
          </w:tcPr>
          <w:p>
            <w:pPr>
              <w:spacing w:after="0" w:before="0"/>
            </w:pPr>
            <w:r>
              <w:rPr>
                <w:sz w:val="19"/>
              </w:rPr>
            </w:r>
            <w:r>
              <w:rPr>
                <w:sz w:val="19"/>
              </w:rPr>
              <w:t>463</w:t>
            </w:r>
          </w:p>
        </w:tc>
        <w:tc>
          <w:tcPr>
            <w:tcW w:type="dxa" w:w="964"/>
            <w:vAlign w:val="center"/>
          </w:tcPr>
          <w:p>
            <w:pPr>
              <w:spacing w:after="0" w:before="0"/>
            </w:pPr>
            <w:r>
              <w:rPr>
                <w:sz w:val="19"/>
              </w:rPr>
            </w:r>
            <w:r>
              <w:rPr>
                <w:sz w:val="19"/>
              </w:rPr>
              <w:t>76</w:t>
            </w:r>
          </w:p>
        </w:tc>
        <w:tc>
          <w:tcPr>
            <w:tcW w:type="dxa" w:w="964"/>
            <w:vAlign w:val="center"/>
          </w:tcPr>
          <w:p>
            <w:pPr>
              <w:spacing w:after="0" w:before="0"/>
            </w:pPr>
            <w:r>
              <w:rPr>
                <w:sz w:val="19"/>
              </w:rPr>
            </w:r>
            <w:r>
              <w:rPr>
                <w:sz w:val="19"/>
              </w:rPr>
              <w:t>78</w:t>
            </w:r>
          </w:p>
        </w:tc>
        <w:tc>
          <w:tcPr>
            <w:tcW w:type="dxa" w:w="850"/>
            <w:vAlign w:val="center"/>
          </w:tcPr>
          <w:p>
            <w:pPr>
              <w:spacing w:after="0" w:before="0"/>
            </w:pPr>
            <w:r>
              <w:rPr>
                <w:sz w:val="19"/>
              </w:rPr>
            </w:r>
            <w:r>
              <w:rPr>
                <w:sz w:val="19"/>
              </w:rPr>
              <w:t>18</w:t>
            </w:r>
          </w:p>
        </w:tc>
        <w:tc>
          <w:tcPr>
            <w:tcW w:type="dxa" w:w="964"/>
            <w:vAlign w:val="center"/>
          </w:tcPr>
          <w:p>
            <w:pPr>
              <w:spacing w:after="0" w:before="0"/>
            </w:pPr>
            <w:r>
              <w:rPr>
                <w:sz w:val="19"/>
              </w:rPr>
            </w:r>
            <w:r>
              <w:rPr>
                <w:sz w:val="19"/>
              </w:rPr>
              <w:t>62</w:t>
            </w:r>
          </w:p>
        </w:tc>
        <w:tc>
          <w:tcPr>
            <w:tcW w:type="dxa" w:w="1928"/>
            <w:vAlign w:val="center"/>
          </w:tcPr>
          <w:p>
            <w:pPr>
              <w:spacing w:after="0" w:before="0"/>
            </w:pPr>
            <w:r>
              <w:rPr>
                <w:sz w:val="19"/>
              </w:rPr>
            </w:r>
            <w:r>
              <w:rPr>
                <w:sz w:val="19"/>
              </w:rPr>
              <w:t>TR-dominant</w:t>
            </w:r>
          </w:p>
        </w:tc>
      </w:tr>
      <w:tr>
        <w:tc>
          <w:tcPr>
            <w:tcW w:type="dxa" w:w="2551"/>
            <w:vAlign w:val="center"/>
          </w:tcPr>
          <w:p>
            <w:pPr>
              <w:spacing w:after="0" w:before="0"/>
            </w:pPr>
            <w:r>
              <w:rPr>
                <w:sz w:val="19"/>
              </w:rPr>
            </w:r>
            <w:r>
              <w:rPr>
                <w:sz w:val="19"/>
              </w:rPr>
              <w:t>Natives RC PM</w:t>
            </w:r>
          </w:p>
        </w:tc>
        <w:tc>
          <w:tcPr>
            <w:tcW w:type="dxa" w:w="850"/>
            <w:vAlign w:val="center"/>
          </w:tcPr>
          <w:p>
            <w:pPr>
              <w:spacing w:after="0" w:before="0"/>
            </w:pPr>
            <w:r>
              <w:rPr>
                <w:sz w:val="19"/>
              </w:rPr>
            </w:r>
            <w:r>
              <w:rPr>
                <w:sz w:val="19"/>
              </w:rPr>
              <w:t>366</w:t>
            </w:r>
          </w:p>
        </w:tc>
        <w:tc>
          <w:tcPr>
            <w:tcW w:type="dxa" w:w="964"/>
            <w:vAlign w:val="center"/>
          </w:tcPr>
          <w:p>
            <w:pPr>
              <w:spacing w:after="0" w:before="0"/>
            </w:pPr>
            <w:r>
              <w:rPr>
                <w:sz w:val="19"/>
              </w:rPr>
            </w:r>
            <w:r>
              <w:rPr>
                <w:sz w:val="19"/>
              </w:rPr>
              <w:t>116</w:t>
            </w:r>
          </w:p>
        </w:tc>
        <w:tc>
          <w:tcPr>
            <w:tcW w:type="dxa" w:w="964"/>
            <w:vAlign w:val="center"/>
          </w:tcPr>
          <w:p>
            <w:pPr>
              <w:spacing w:after="0" w:before="0"/>
            </w:pPr>
            <w:r>
              <w:rPr>
                <w:sz w:val="19"/>
              </w:rPr>
            </w:r>
            <w:r>
              <w:rPr>
                <w:sz w:val="19"/>
              </w:rPr>
              <w:t>215</w:t>
            </w:r>
          </w:p>
        </w:tc>
        <w:tc>
          <w:tcPr>
            <w:tcW w:type="dxa" w:w="850"/>
            <w:vAlign w:val="center"/>
          </w:tcPr>
          <w:p>
            <w:pPr>
              <w:spacing w:after="0" w:before="0"/>
            </w:pPr>
            <w:r>
              <w:rPr>
                <w:sz w:val="19"/>
              </w:rPr>
            </w:r>
            <w:r>
              <w:rPr>
                <w:sz w:val="19"/>
              </w:rPr>
              <w:t>107</w:t>
            </w:r>
          </w:p>
        </w:tc>
        <w:tc>
          <w:tcPr>
            <w:tcW w:type="dxa" w:w="964"/>
            <w:vAlign w:val="center"/>
          </w:tcPr>
          <w:p>
            <w:pPr>
              <w:spacing w:after="0" w:before="0"/>
            </w:pPr>
            <w:r>
              <w:rPr>
                <w:sz w:val="19"/>
              </w:rPr>
            </w:r>
            <w:r>
              <w:rPr>
                <w:sz w:val="19"/>
              </w:rPr>
              <w:t>310</w:t>
            </w:r>
          </w:p>
        </w:tc>
        <w:tc>
          <w:tcPr>
            <w:tcW w:type="dxa" w:w="1928"/>
            <w:vAlign w:val="center"/>
          </w:tcPr>
          <w:p>
            <w:pPr>
              <w:spacing w:after="0" w:before="0"/>
            </w:pPr>
            <w:r>
              <w:rPr>
                <w:sz w:val="19"/>
              </w:rPr>
            </w:r>
            <w:r>
              <w:rPr>
                <w:sz w:val="19"/>
              </w:rPr>
              <w:t>TR + Sporter</w:t>
            </w:r>
          </w:p>
        </w:tc>
      </w:tr>
      <w:tr>
        <w:tc>
          <w:tcPr>
            <w:tcW w:type="dxa" w:w="2551"/>
            <w:vAlign w:val="center"/>
          </w:tcPr>
          <w:p>
            <w:pPr>
              <w:spacing w:after="0" w:before="0"/>
            </w:pPr>
            <w:r>
              <w:rPr>
                <w:sz w:val="19"/>
              </w:rPr>
            </w:r>
            <w:r>
              <w:rPr>
                <w:sz w:val="19"/>
              </w:rPr>
              <w:t>Goondiwindi OPM</w:t>
            </w:r>
          </w:p>
        </w:tc>
        <w:tc>
          <w:tcPr>
            <w:tcW w:type="dxa" w:w="850"/>
            <w:vAlign w:val="center"/>
          </w:tcPr>
          <w:p>
            <w:pPr>
              <w:spacing w:after="0" w:before="0"/>
            </w:pPr>
            <w:r>
              <w:rPr>
                <w:sz w:val="19"/>
              </w:rPr>
            </w:r>
            <w:r>
              <w:rPr>
                <w:sz w:val="19"/>
              </w:rPr>
              <w:t>190</w:t>
            </w:r>
          </w:p>
        </w:tc>
        <w:tc>
          <w:tcPr>
            <w:tcW w:type="dxa" w:w="964"/>
            <w:vAlign w:val="center"/>
          </w:tcPr>
          <w:p>
            <w:pPr>
              <w:spacing w:after="0" w:before="0"/>
            </w:pPr>
            <w:r>
              <w:rPr>
                <w:sz w:val="19"/>
              </w:rPr>
            </w:r>
            <w:r>
              <w:rPr>
                <w:sz w:val="19"/>
              </w:rPr>
              <w:t>150</w:t>
            </w:r>
          </w:p>
        </w:tc>
        <w:tc>
          <w:tcPr>
            <w:tcW w:type="dxa" w:w="964"/>
            <w:vAlign w:val="center"/>
          </w:tcPr>
          <w:p>
            <w:pPr>
              <w:spacing w:after="0" w:before="0"/>
            </w:pPr>
            <w:r>
              <w:rPr>
                <w:sz w:val="19"/>
              </w:rPr>
            </w:r>
            <w:r>
              <w:rPr>
                <w:sz w:val="19"/>
              </w:rPr>
              <w:t>220</w:t>
            </w:r>
          </w:p>
        </w:tc>
        <w:tc>
          <w:tcPr>
            <w:tcW w:type="dxa" w:w="850"/>
            <w:vAlign w:val="center"/>
          </w:tcPr>
          <w:p>
            <w:pPr>
              <w:spacing w:after="0" w:before="0"/>
            </w:pPr>
            <w:r>
              <w:rPr>
                <w:sz w:val="19"/>
              </w:rPr>
            </w:r>
            <w:r>
              <w:rPr>
                <w:sz w:val="19"/>
              </w:rPr>
              <w:t>80</w:t>
            </w:r>
          </w:p>
        </w:tc>
        <w:tc>
          <w:tcPr>
            <w:tcW w:type="dxa" w:w="964"/>
            <w:vAlign w:val="center"/>
          </w:tcPr>
          <w:p>
            <w:pPr>
              <w:spacing w:after="0" w:before="0"/>
            </w:pPr>
            <w:r>
              <w:rPr>
                <w:sz w:val="19"/>
              </w:rPr>
            </w:r>
            <w:r>
              <w:rPr>
                <w:sz w:val="19"/>
              </w:rPr>
              <w:t>90</w:t>
            </w:r>
          </w:p>
        </w:tc>
        <w:tc>
          <w:tcPr>
            <w:tcW w:type="dxa" w:w="1928"/>
            <w:vAlign w:val="center"/>
          </w:tcPr>
          <w:p>
            <w:pPr>
              <w:spacing w:after="0" w:before="0"/>
            </w:pPr>
            <w:r>
              <w:rPr>
                <w:sz w:val="19"/>
              </w:rPr>
            </w:r>
            <w:r>
              <w:rPr>
                <w:sz w:val="19"/>
              </w:rPr>
              <w:t>F-class strong</w:t>
            </w:r>
          </w:p>
        </w:tc>
      </w:tr>
      <w:tr>
        <w:tc>
          <w:tcPr>
            <w:tcW w:type="dxa" w:w="2551"/>
            <w:vAlign w:val="center"/>
          </w:tcPr>
          <w:p>
            <w:pPr>
              <w:spacing w:after="0" w:before="0"/>
            </w:pPr>
            <w:r>
              <w:rPr>
                <w:sz w:val="19"/>
              </w:rPr>
            </w:r>
            <w:r>
              <w:rPr>
                <w:sz w:val="19"/>
              </w:rPr>
              <w:t>Tumby Bay OPM</w:t>
            </w:r>
          </w:p>
        </w:tc>
        <w:tc>
          <w:tcPr>
            <w:tcW w:type="dxa" w:w="850"/>
            <w:vAlign w:val="center"/>
          </w:tcPr>
          <w:p>
            <w:pPr>
              <w:spacing w:after="0" w:before="0"/>
            </w:pPr>
            <w:r>
              <w:rPr>
                <w:sz w:val="19"/>
              </w:rPr>
            </w:r>
            <w:r>
              <w:rPr>
                <w:sz w:val="19"/>
              </w:rPr>
              <w:t>116</w:t>
            </w:r>
          </w:p>
        </w:tc>
        <w:tc>
          <w:tcPr>
            <w:tcW w:type="dxa" w:w="964"/>
            <w:vAlign w:val="center"/>
          </w:tcPr>
          <w:p>
            <w:pPr>
              <w:spacing w:after="0" w:before="0"/>
            </w:pPr>
            <w:r>
              <w:rPr>
                <w:sz w:val="19"/>
              </w:rPr>
            </w:r>
            <w:r>
              <w:rPr>
                <w:sz w:val="19"/>
              </w:rPr>
              <w:t>184</w:t>
            </w:r>
          </w:p>
        </w:tc>
        <w:tc>
          <w:tcPr>
            <w:tcW w:type="dxa" w:w="964"/>
            <w:vAlign w:val="center"/>
          </w:tcPr>
          <w:p>
            <w:pPr>
              <w:spacing w:after="0" w:before="0"/>
            </w:pPr>
            <w:r>
              <w:rPr>
                <w:sz w:val="19"/>
              </w:rPr>
            </w:r>
            <w:r>
              <w:rPr>
                <w:sz w:val="19"/>
              </w:rPr>
              <w:t>144</w:t>
            </w:r>
          </w:p>
        </w:tc>
        <w:tc>
          <w:tcPr>
            <w:tcW w:type="dxa" w:w="850"/>
            <w:vAlign w:val="center"/>
          </w:tcPr>
          <w:p>
            <w:pPr>
              <w:spacing w:after="0" w:before="0"/>
            </w:pPr>
            <w:r>
              <w:rPr>
                <w:sz w:val="19"/>
              </w:rPr>
            </w:r>
            <w:r>
              <w:rPr>
                <w:sz w:val="19"/>
              </w:rPr>
              <w:t>68</w:t>
            </w:r>
          </w:p>
        </w:tc>
        <w:tc>
          <w:tcPr>
            <w:tcW w:type="dxa" w:w="964"/>
            <w:vAlign w:val="center"/>
          </w:tcPr>
          <w:p>
            <w:pPr>
              <w:spacing w:after="0" w:before="0"/>
            </w:pPr>
            <w:r>
              <w:rPr>
                <w:sz w:val="19"/>
              </w:rPr>
            </w:r>
            <w:r>
              <w:rPr>
                <w:sz w:val="19"/>
              </w:rPr>
              <w:t>40</w:t>
            </w:r>
          </w:p>
        </w:tc>
        <w:tc>
          <w:tcPr>
            <w:tcW w:type="dxa" w:w="1928"/>
            <w:vAlign w:val="center"/>
          </w:tcPr>
          <w:p>
            <w:pPr>
              <w:spacing w:after="0" w:before="0"/>
            </w:pPr>
            <w:r>
              <w:rPr>
                <w:sz w:val="19"/>
              </w:rPr>
            </w:r>
            <w:r>
              <w:rPr>
                <w:sz w:val="19"/>
              </w:rPr>
              <w:t>F-Open dominant</w:t>
            </w:r>
          </w:p>
        </w:tc>
      </w:tr>
      <w:tr>
        <w:tc>
          <w:tcPr>
            <w:tcW w:type="dxa" w:w="2551"/>
            <w:vAlign w:val="center"/>
          </w:tcPr>
          <w:p>
            <w:pPr>
              <w:spacing w:after="0" w:before="0"/>
            </w:pPr>
            <w:r>
              <w:rPr>
                <w:sz w:val="19"/>
              </w:rPr>
            </w:r>
            <w:r>
              <w:rPr>
                <w:sz w:val="19"/>
              </w:rPr>
              <w:t>Atherton PM</w:t>
            </w:r>
          </w:p>
        </w:tc>
        <w:tc>
          <w:tcPr>
            <w:tcW w:type="dxa" w:w="850"/>
            <w:vAlign w:val="center"/>
          </w:tcPr>
          <w:p>
            <w:pPr>
              <w:spacing w:after="0" w:before="0"/>
            </w:pPr>
            <w:r>
              <w:rPr>
                <w:sz w:val="19"/>
              </w:rPr>
            </w:r>
            <w:r>
              <w:rPr>
                <w:sz w:val="19"/>
              </w:rPr>
              <w:t>35</w:t>
            </w:r>
          </w:p>
        </w:tc>
        <w:tc>
          <w:tcPr>
            <w:tcW w:type="dxa" w:w="964"/>
            <w:vAlign w:val="center"/>
          </w:tcPr>
          <w:p>
            <w:pPr>
              <w:spacing w:after="0" w:before="0"/>
            </w:pPr>
            <w:r>
              <w:rPr>
                <w:sz w:val="19"/>
              </w:rPr>
            </w:r>
            <w:r>
              <w:rPr>
                <w:sz w:val="19"/>
              </w:rPr>
              <w:t>88</w:t>
            </w:r>
          </w:p>
        </w:tc>
        <w:tc>
          <w:tcPr>
            <w:tcW w:type="dxa" w:w="964"/>
            <w:vAlign w:val="center"/>
          </w:tcPr>
          <w:p>
            <w:pPr>
              <w:spacing w:after="0" w:before="0"/>
            </w:pPr>
            <w:r>
              <w:rPr>
                <w:sz w:val="19"/>
              </w:rPr>
            </w:r>
            <w:r>
              <w:rPr>
                <w:sz w:val="19"/>
              </w:rPr>
              <w:t>133</w:t>
            </w:r>
          </w:p>
        </w:tc>
        <w:tc>
          <w:tcPr>
            <w:tcW w:type="dxa" w:w="850"/>
            <w:vAlign w:val="center"/>
          </w:tcPr>
          <w:p>
            <w:pPr>
              <w:spacing w:after="0" w:before="0"/>
            </w:pPr>
            <w:r>
              <w:rPr>
                <w:sz w:val="19"/>
              </w:rPr>
            </w:r>
            <w:r>
              <w:rPr>
                <w:sz w:val="19"/>
              </w:rPr>
              <w:t>98</w:t>
            </w:r>
          </w:p>
        </w:tc>
        <w:tc>
          <w:tcPr>
            <w:tcW w:type="dxa" w:w="964"/>
            <w:vAlign w:val="center"/>
          </w:tcPr>
          <w:p>
            <w:pPr>
              <w:spacing w:after="0" w:before="0"/>
            </w:pPr>
            <w:r>
              <w:rPr>
                <w:sz w:val="19"/>
              </w:rPr>
            </w:r>
            <w:r>
              <w:rPr>
                <w:sz w:val="19"/>
              </w:rPr>
              <w:t>70</w:t>
            </w:r>
          </w:p>
        </w:tc>
        <w:tc>
          <w:tcPr>
            <w:tcW w:type="dxa" w:w="1928"/>
            <w:vAlign w:val="center"/>
          </w:tcPr>
          <w:p>
            <w:pPr>
              <w:spacing w:after="0" w:before="0"/>
            </w:pPr>
            <w:r>
              <w:rPr>
                <w:sz w:val="19"/>
              </w:rPr>
            </w:r>
            <w:r>
              <w:rPr>
                <w:sz w:val="19"/>
              </w:rPr>
              <w:t>F-Std + FTR strong</w:t>
            </w:r>
          </w:p>
        </w:tc>
      </w:tr>
      <w:tr>
        <w:tc>
          <w:tcPr>
            <w:tcW w:type="dxa" w:w="2551"/>
            <w:vAlign w:val="center"/>
          </w:tcPr>
          <w:p>
            <w:pPr>
              <w:spacing w:after="0" w:before="0"/>
            </w:pPr>
            <w:r>
              <w:rPr>
                <w:sz w:val="19"/>
              </w:rPr>
            </w:r>
            <w:r>
              <w:rPr>
                <w:sz w:val="19"/>
              </w:rPr>
              <w:t>Wodonga OPM</w:t>
            </w:r>
          </w:p>
        </w:tc>
        <w:tc>
          <w:tcPr>
            <w:tcW w:type="dxa" w:w="850"/>
            <w:vAlign w:val="center"/>
          </w:tcPr>
          <w:p>
            <w:pPr>
              <w:spacing w:after="0" w:before="0"/>
            </w:pPr>
            <w:r>
              <w:rPr>
                <w:sz w:val="19"/>
              </w:rPr>
            </w:r>
            <w:r>
              <w:rPr>
                <w:sz w:val="19"/>
              </w:rPr>
              <w:t>32</w:t>
            </w:r>
          </w:p>
        </w:tc>
        <w:tc>
          <w:tcPr>
            <w:tcW w:type="dxa" w:w="964"/>
            <w:vAlign w:val="center"/>
          </w:tcPr>
          <w:p>
            <w:pPr>
              <w:spacing w:after="0" w:before="0"/>
            </w:pPr>
            <w:r>
              <w:rPr>
                <w:sz w:val="19"/>
              </w:rPr>
            </w:r>
            <w:r>
              <w:rPr>
                <w:sz w:val="19"/>
              </w:rPr>
              <w:t>34</w:t>
            </w:r>
          </w:p>
        </w:tc>
        <w:tc>
          <w:tcPr>
            <w:tcW w:type="dxa" w:w="964"/>
            <w:vAlign w:val="center"/>
          </w:tcPr>
          <w:p>
            <w:pPr>
              <w:spacing w:after="0" w:before="0"/>
            </w:pPr>
            <w:r>
              <w:rPr>
                <w:sz w:val="19"/>
              </w:rPr>
            </w:r>
            <w:r>
              <w:rPr>
                <w:sz w:val="19"/>
              </w:rPr>
              <w:t>44</w:t>
            </w:r>
          </w:p>
        </w:tc>
        <w:tc>
          <w:tcPr>
            <w:tcW w:type="dxa" w:w="850"/>
            <w:vAlign w:val="center"/>
          </w:tcPr>
          <w:p>
            <w:pPr>
              <w:spacing w:after="0" w:before="0"/>
            </w:pPr>
            <w:r>
              <w:rPr>
                <w:sz w:val="19"/>
              </w:rPr>
            </w:r>
            <w:r>
              <w:rPr>
                <w:sz w:val="19"/>
              </w:rPr>
              <w:t>12</w:t>
            </w:r>
          </w:p>
        </w:tc>
        <w:tc>
          <w:tcPr>
            <w:tcW w:type="dxa" w:w="964"/>
            <w:vAlign w:val="center"/>
          </w:tcPr>
          <w:p>
            <w:pPr>
              <w:spacing w:after="0" w:before="0"/>
            </w:pPr>
            <w:r>
              <w:rPr>
                <w:sz w:val="19"/>
              </w:rPr>
            </w:r>
            <w:r>
              <w:rPr>
                <w:sz w:val="19"/>
              </w:rPr>
              <w:t>23</w:t>
            </w:r>
          </w:p>
        </w:tc>
        <w:tc>
          <w:tcPr>
            <w:tcW w:type="dxa" w:w="1928"/>
            <w:vAlign w:val="center"/>
          </w:tcPr>
          <w:p>
            <w:pPr>
              <w:spacing w:after="0" w:before="0"/>
            </w:pPr>
            <w:r>
              <w:rPr>
                <w:sz w:val="19"/>
              </w:rPr>
            </w:r>
            <w:r>
              <w:rPr>
                <w:sz w:val="19"/>
              </w:rPr>
              <w:t>F-class lean</w:t>
            </w:r>
          </w:p>
        </w:tc>
      </w:tr>
    </w:tbl>
    <w:p>
      <w:pPr>
        <w:spacing w:after="80"/>
      </w:pPr>
    </w:p>
    <w:p>
      <w:pPr>
        <w:spacing w:after="120"/>
      </w:pPr>
      <w:r>
        <w:rPr>
          <w:sz w:val="21"/>
        </w:rPr>
        <w:t>When these meets are pooled together, the discipline with deeper participation at any given meet contributes more top-cohort entries to the calibration. Because the top-40% methodology assumes equal-depth pools across disciplines, this violates a core mathematical assumption.</w:t>
      </w:r>
    </w:p>
    <w:p>
      <w:pPr>
        <w:spacing w:before="200" w:after="80"/>
      </w:pPr>
      <w:r>
        <w:rPr>
          <w:b/>
          <w:color w:val="1F4E78"/>
          <w:sz w:val="24"/>
        </w:rPr>
        <w:t>4.3 Quantifying the per-club bias</w:t>
      </w:r>
    </w:p>
    <w:p>
      <w:pPr>
        <w:spacing w:after="120"/>
      </w:pPr>
      <w:r>
        <w:rPr>
          <w:sz w:val="21"/>
        </w:rPr>
        <w:t>When the same calibration is run on K&amp;Q-only versus K&amp;Q + east-coast OPMs, every discipline factor shifts:</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c>
          <w:tcPr>
            <w:tcW w:type="dxa" w:w="1984"/>
            <w:vAlign w:val="center"/>
            <w:shd w:val="clear" w:color="auto" w:fill="EEF3F8"/>
          </w:tcPr>
          <w:p>
            <w:pPr>
              <w:spacing w:after="0" w:before="0"/>
            </w:pPr>
            <w:r>
              <w:rPr>
                <w:b/>
                <w:color w:val="1F4E78"/>
                <w:sz w:val="19"/>
              </w:rPr>
            </w:r>
            <w:r>
              <w:rPr>
                <w:b/>
                <w:color w:val="1F4E78"/>
                <w:sz w:val="19"/>
              </w:rPr>
              <w:t>Discipline</w:t>
            </w:r>
          </w:p>
        </w:tc>
        <w:tc>
          <w:tcPr>
            <w:tcW w:type="dxa" w:w="1701"/>
            <w:vAlign w:val="center"/>
            <w:shd w:val="clear" w:color="auto" w:fill="EEF3F8"/>
          </w:tcPr>
          <w:p>
            <w:pPr>
              <w:spacing w:after="0" w:before="0"/>
            </w:pPr>
            <w:r>
              <w:rPr>
                <w:b/>
                <w:color w:val="1F4E78"/>
                <w:sz w:val="19"/>
              </w:rPr>
            </w:r>
            <w:r>
              <w:rPr>
                <w:b/>
                <w:color w:val="1F4E78"/>
                <w:sz w:val="19"/>
              </w:rPr>
              <w:t>K&amp;Q only (V5)</w:t>
            </w:r>
          </w:p>
        </w:tc>
        <w:tc>
          <w:tcPr>
            <w:tcW w:type="dxa" w:w="1984"/>
            <w:vAlign w:val="center"/>
            <w:shd w:val="clear" w:color="auto" w:fill="EEF3F8"/>
          </w:tcPr>
          <w:p>
            <w:pPr>
              <w:spacing w:after="0" w:before="0"/>
            </w:pPr>
            <w:r>
              <w:rPr>
                <w:b/>
                <w:color w:val="1F4E78"/>
                <w:sz w:val="19"/>
              </w:rPr>
            </w:r>
            <w:r>
              <w:rPr>
                <w:b/>
                <w:color w:val="1F4E78"/>
                <w:sz w:val="19"/>
              </w:rPr>
              <w:t>K&amp;Q + East OPMs</w:t>
            </w:r>
          </w:p>
        </w:tc>
        <w:tc>
          <w:tcPr>
            <w:tcW w:type="dxa" w:w="1417"/>
            <w:vAlign w:val="center"/>
            <w:shd w:val="clear" w:color="auto" w:fill="EEF3F8"/>
          </w:tcPr>
          <w:p>
            <w:pPr>
              <w:spacing w:after="0" w:before="0"/>
            </w:pPr>
            <w:r>
              <w:rPr>
                <w:b/>
                <w:color w:val="1F4E78"/>
                <w:sz w:val="19"/>
              </w:rPr>
            </w:r>
            <w:r>
              <w:rPr>
                <w:b/>
                <w:color w:val="1F4E78"/>
                <w:sz w:val="19"/>
              </w:rPr>
              <w:t>Shift</w:t>
            </w:r>
          </w:p>
        </w:tc>
        <w:tc>
          <w:tcPr>
            <w:tcW w:type="dxa" w:w="2835"/>
            <w:vAlign w:val="center"/>
            <w:shd w:val="clear" w:color="auto" w:fill="EEF3F8"/>
          </w:tcPr>
          <w:p>
            <w:pPr>
              <w:spacing w:after="0" w:before="0"/>
            </w:pPr>
            <w:r>
              <w:rPr>
                <w:b/>
                <w:color w:val="1F4E78"/>
                <w:sz w:val="19"/>
              </w:rPr>
            </w:r>
            <w:r>
              <w:rPr>
                <w:b/>
                <w:color w:val="1F4E78"/>
                <w:sz w:val="19"/>
              </w:rPr>
              <w:t>Direction</w:t>
            </w:r>
          </w:p>
        </w:tc>
      </w:tr>
      <w:tr>
        <w:tc>
          <w:tcPr>
            <w:tcW w:type="dxa" w:w="1984"/>
            <w:vAlign w:val="center"/>
          </w:tcPr>
          <w:p>
            <w:pPr>
              <w:spacing w:after="0" w:before="0"/>
            </w:pPr>
            <w:r>
              <w:rPr>
                <w:sz w:val="19"/>
              </w:rPr>
            </w:r>
            <w:r>
              <w:rPr>
                <w:sz w:val="19"/>
              </w:rPr>
              <w:t>Target Rifle</w:t>
            </w:r>
          </w:p>
        </w:tc>
        <w:tc>
          <w:tcPr>
            <w:tcW w:type="dxa" w:w="1701"/>
            <w:vAlign w:val="center"/>
          </w:tcPr>
          <w:p>
            <w:pPr>
              <w:spacing w:after="0" w:before="0"/>
            </w:pPr>
            <w:r>
              <w:rPr>
                <w:sz w:val="19"/>
              </w:rPr>
            </w:r>
            <w:r>
              <w:rPr>
                <w:sz w:val="19"/>
              </w:rPr>
              <w:t>1.412</w:t>
            </w:r>
          </w:p>
        </w:tc>
        <w:tc>
          <w:tcPr>
            <w:tcW w:type="dxa" w:w="1984"/>
            <w:vAlign w:val="center"/>
          </w:tcPr>
          <w:p>
            <w:pPr>
              <w:spacing w:after="0" w:before="0"/>
            </w:pPr>
            <w:r>
              <w:rPr>
                <w:sz w:val="19"/>
              </w:rPr>
            </w:r>
            <w:r>
              <w:rPr>
                <w:sz w:val="19"/>
              </w:rPr>
              <w:t>1.338</w:t>
            </w:r>
          </w:p>
        </w:tc>
        <w:tc>
          <w:tcPr>
            <w:tcW w:type="dxa" w:w="1417"/>
            <w:vAlign w:val="center"/>
          </w:tcPr>
          <w:p>
            <w:pPr>
              <w:spacing w:after="0" w:before="0"/>
            </w:pPr>
            <w:r>
              <w:rPr>
                <w:sz w:val="19"/>
              </w:rPr>
            </w:r>
            <w:r>
              <w:rPr>
                <w:b/>
                <w:sz w:val="19"/>
              </w:rPr>
              <w:t>−0.074</w:t>
            </w:r>
          </w:p>
        </w:tc>
        <w:tc>
          <w:tcPr>
            <w:tcW w:type="dxa" w:w="2835"/>
            <w:vAlign w:val="center"/>
          </w:tcPr>
          <w:p>
            <w:pPr>
              <w:spacing w:after="0" w:before="0"/>
            </w:pPr>
            <w:r>
              <w:rPr>
                <w:sz w:val="19"/>
              </w:rPr>
            </w:r>
            <w:r>
              <w:rPr>
                <w:sz w:val="19"/>
              </w:rPr>
              <w:t>TR over-represented at OPMs</w:t>
            </w:r>
          </w:p>
        </w:tc>
      </w:tr>
      <w:tr>
        <w:tc>
          <w:tcPr>
            <w:tcW w:type="dxa" w:w="1984"/>
            <w:vAlign w:val="center"/>
          </w:tcPr>
          <w:p>
            <w:pPr>
              <w:spacing w:after="0" w:before="0"/>
            </w:pPr>
            <w:r>
              <w:rPr>
                <w:sz w:val="19"/>
              </w:rPr>
            </w:r>
            <w:r>
              <w:rPr>
                <w:sz w:val="19"/>
              </w:rPr>
              <w:t>F-Open</w:t>
            </w:r>
          </w:p>
        </w:tc>
        <w:tc>
          <w:tcPr>
            <w:tcW w:type="dxa" w:w="1701"/>
            <w:vAlign w:val="center"/>
          </w:tcPr>
          <w:p>
            <w:pPr>
              <w:spacing w:after="0" w:before="0"/>
            </w:pPr>
            <w:r>
              <w:rPr>
                <w:sz w:val="19"/>
              </w:rPr>
            </w:r>
            <w:r>
              <w:rPr>
                <w:sz w:val="19"/>
              </w:rPr>
              <w:t>1.406</w:t>
            </w:r>
          </w:p>
        </w:tc>
        <w:tc>
          <w:tcPr>
            <w:tcW w:type="dxa" w:w="1984"/>
            <w:vAlign w:val="center"/>
          </w:tcPr>
          <w:p>
            <w:pPr>
              <w:spacing w:after="0" w:before="0"/>
            </w:pPr>
            <w:r>
              <w:rPr>
                <w:sz w:val="19"/>
              </w:rPr>
            </w:r>
            <w:r>
              <w:rPr>
                <w:sz w:val="19"/>
              </w:rPr>
              <w:t>1.410</w:t>
            </w:r>
          </w:p>
        </w:tc>
        <w:tc>
          <w:tcPr>
            <w:tcW w:type="dxa" w:w="1417"/>
            <w:vAlign w:val="center"/>
          </w:tcPr>
          <w:p>
            <w:pPr>
              <w:spacing w:after="0" w:before="0"/>
            </w:pPr>
            <w:r>
              <w:rPr>
                <w:sz w:val="19"/>
              </w:rPr>
            </w:r>
            <w:r>
              <w:rPr>
                <w:sz w:val="19"/>
              </w:rPr>
              <w:t>+0.004</w:t>
            </w:r>
          </w:p>
        </w:tc>
        <w:tc>
          <w:tcPr>
            <w:tcW w:type="dxa" w:w="2835"/>
            <w:vAlign w:val="center"/>
          </w:tcPr>
          <w:p>
            <w:pPr>
              <w:spacing w:after="0" w:before="0"/>
            </w:pPr>
            <w:r>
              <w:rPr>
                <w:sz w:val="19"/>
              </w:rPr>
            </w:r>
            <w:r>
              <w:rPr>
                <w:sz w:val="19"/>
              </w:rPr>
              <w:t>Stable</w:t>
            </w:r>
          </w:p>
        </w:tc>
      </w:tr>
      <w:tr>
        <w:tc>
          <w:tcPr>
            <w:tcW w:type="dxa" w:w="1984"/>
            <w:vAlign w:val="center"/>
          </w:tcPr>
          <w:p>
            <w:pPr>
              <w:spacing w:after="0" w:before="0"/>
            </w:pPr>
            <w:r>
              <w:rPr>
                <w:sz w:val="19"/>
              </w:rPr>
            </w:r>
            <w:r>
              <w:rPr>
                <w:sz w:val="19"/>
              </w:rPr>
              <w:t>F-Standard</w:t>
            </w:r>
          </w:p>
        </w:tc>
        <w:tc>
          <w:tcPr>
            <w:tcW w:type="dxa" w:w="1701"/>
            <w:vAlign w:val="center"/>
          </w:tcPr>
          <w:p>
            <w:pPr>
              <w:spacing w:after="0" w:before="0"/>
            </w:pPr>
            <w:r>
              <w:rPr>
                <w:sz w:val="19"/>
              </w:rPr>
            </w:r>
            <w:r>
              <w:rPr>
                <w:sz w:val="19"/>
              </w:rPr>
              <w:t>1.475</w:t>
            </w:r>
          </w:p>
        </w:tc>
        <w:tc>
          <w:tcPr>
            <w:tcW w:type="dxa" w:w="1984"/>
            <w:vAlign w:val="center"/>
          </w:tcPr>
          <w:p>
            <w:pPr>
              <w:spacing w:after="0" w:before="0"/>
            </w:pPr>
            <w:r>
              <w:rPr>
                <w:sz w:val="19"/>
              </w:rPr>
            </w:r>
            <w:r>
              <w:rPr>
                <w:sz w:val="19"/>
              </w:rPr>
              <w:t>1.460</w:t>
            </w:r>
          </w:p>
        </w:tc>
        <w:tc>
          <w:tcPr>
            <w:tcW w:type="dxa" w:w="1417"/>
            <w:vAlign w:val="center"/>
          </w:tcPr>
          <w:p>
            <w:pPr>
              <w:spacing w:after="0" w:before="0"/>
            </w:pPr>
            <w:r>
              <w:rPr>
                <w:sz w:val="19"/>
              </w:rPr>
            </w:r>
            <w:r>
              <w:rPr>
                <w:sz w:val="19"/>
              </w:rPr>
              <w:t>−0.015</w:t>
            </w:r>
          </w:p>
        </w:tc>
        <w:tc>
          <w:tcPr>
            <w:tcW w:type="dxa" w:w="2835"/>
            <w:vAlign w:val="center"/>
          </w:tcPr>
          <w:p>
            <w:pPr>
              <w:spacing w:after="0" w:before="0"/>
            </w:pPr>
            <w:r>
              <w:rPr>
                <w:sz w:val="19"/>
              </w:rPr>
            </w:r>
            <w:r>
              <w:rPr>
                <w:sz w:val="19"/>
              </w:rPr>
              <w:t>Slight drop</w:t>
            </w:r>
          </w:p>
        </w:tc>
      </w:tr>
      <w:tr>
        <w:tc>
          <w:tcPr>
            <w:tcW w:type="dxa" w:w="1984"/>
            <w:vAlign w:val="center"/>
          </w:tcPr>
          <w:p>
            <w:pPr>
              <w:spacing w:after="0" w:before="0"/>
            </w:pPr>
            <w:r>
              <w:rPr>
                <w:sz w:val="19"/>
              </w:rPr>
            </w:r>
            <w:r>
              <w:rPr>
                <w:sz w:val="19"/>
              </w:rPr>
              <w:t>F/TR</w:t>
            </w:r>
          </w:p>
        </w:tc>
        <w:tc>
          <w:tcPr>
            <w:tcW w:type="dxa" w:w="1701"/>
            <w:vAlign w:val="center"/>
          </w:tcPr>
          <w:p>
            <w:pPr>
              <w:spacing w:after="0" w:before="0"/>
            </w:pPr>
            <w:r>
              <w:rPr>
                <w:sz w:val="19"/>
              </w:rPr>
            </w:r>
            <w:r>
              <w:rPr>
                <w:sz w:val="19"/>
              </w:rPr>
              <w:t>1.450</w:t>
            </w:r>
          </w:p>
        </w:tc>
        <w:tc>
          <w:tcPr>
            <w:tcW w:type="dxa" w:w="1984"/>
            <w:vAlign w:val="center"/>
          </w:tcPr>
          <w:p>
            <w:pPr>
              <w:spacing w:after="0" w:before="0"/>
            </w:pPr>
            <w:r>
              <w:rPr>
                <w:sz w:val="19"/>
              </w:rPr>
            </w:r>
            <w:r>
              <w:rPr>
                <w:sz w:val="19"/>
              </w:rPr>
              <w:t>1.460</w:t>
            </w:r>
          </w:p>
        </w:tc>
        <w:tc>
          <w:tcPr>
            <w:tcW w:type="dxa" w:w="1417"/>
            <w:vAlign w:val="center"/>
          </w:tcPr>
          <w:p>
            <w:pPr>
              <w:spacing w:after="0" w:before="0"/>
            </w:pPr>
            <w:r>
              <w:rPr>
                <w:sz w:val="19"/>
              </w:rPr>
            </w:r>
            <w:r>
              <w:rPr>
                <w:sz w:val="19"/>
              </w:rPr>
              <w:t>+0.010</w:t>
            </w:r>
          </w:p>
        </w:tc>
        <w:tc>
          <w:tcPr>
            <w:tcW w:type="dxa" w:w="2835"/>
            <w:vAlign w:val="center"/>
          </w:tcPr>
          <w:p>
            <w:pPr>
              <w:spacing w:after="0" w:before="0"/>
            </w:pPr>
            <w:r>
              <w:rPr>
                <w:sz w:val="19"/>
              </w:rPr>
            </w:r>
            <w:r>
              <w:rPr>
                <w:sz w:val="19"/>
              </w:rPr>
              <w:t>Slight rise</w:t>
            </w:r>
          </w:p>
        </w:tc>
      </w:tr>
      <w:tr>
        <w:tc>
          <w:tcPr>
            <w:tcW w:type="dxa" w:w="1984"/>
            <w:vAlign w:val="center"/>
          </w:tcPr>
          <w:p>
            <w:pPr>
              <w:spacing w:after="0" w:before="0"/>
            </w:pPr>
            <w:r>
              <w:rPr>
                <w:sz w:val="19"/>
              </w:rPr>
            </w:r>
            <w:r>
              <w:rPr>
                <w:sz w:val="19"/>
              </w:rPr>
              <w:t>Sporter</w:t>
            </w:r>
          </w:p>
        </w:tc>
        <w:tc>
          <w:tcPr>
            <w:tcW w:type="dxa" w:w="1701"/>
            <w:vAlign w:val="center"/>
          </w:tcPr>
          <w:p>
            <w:pPr>
              <w:spacing w:after="0" w:before="0"/>
            </w:pPr>
            <w:r>
              <w:rPr>
                <w:sz w:val="19"/>
              </w:rPr>
            </w:r>
            <w:r>
              <w:rPr>
                <w:sz w:val="19"/>
              </w:rPr>
              <w:t>1.383</w:t>
            </w:r>
          </w:p>
        </w:tc>
        <w:tc>
          <w:tcPr>
            <w:tcW w:type="dxa" w:w="1984"/>
            <w:vAlign w:val="center"/>
          </w:tcPr>
          <w:p>
            <w:pPr>
              <w:spacing w:after="0" w:before="0"/>
            </w:pPr>
            <w:r>
              <w:rPr>
                <w:sz w:val="19"/>
              </w:rPr>
            </w:r>
            <w:r>
              <w:rPr>
                <w:sz w:val="19"/>
              </w:rPr>
              <w:t>1.316</w:t>
            </w:r>
          </w:p>
        </w:tc>
        <w:tc>
          <w:tcPr>
            <w:tcW w:type="dxa" w:w="1417"/>
            <w:vAlign w:val="center"/>
          </w:tcPr>
          <w:p>
            <w:pPr>
              <w:spacing w:after="0" w:before="0"/>
            </w:pPr>
            <w:r>
              <w:rPr>
                <w:sz w:val="19"/>
              </w:rPr>
            </w:r>
            <w:r>
              <w:rPr>
                <w:b/>
                <w:sz w:val="19"/>
              </w:rPr>
              <w:t>−0.067</w:t>
            </w:r>
          </w:p>
        </w:tc>
        <w:tc>
          <w:tcPr>
            <w:tcW w:type="dxa" w:w="2835"/>
            <w:vAlign w:val="center"/>
          </w:tcPr>
          <w:p>
            <w:pPr>
              <w:spacing w:after="0" w:before="0"/>
            </w:pPr>
            <w:r>
              <w:rPr>
                <w:sz w:val="19"/>
              </w:rPr>
            </w:r>
            <w:r>
              <w:rPr>
                <w:sz w:val="19"/>
              </w:rPr>
              <w:t>Sporter over-represented at OPMs</w:t>
            </w:r>
          </w:p>
        </w:tc>
      </w:tr>
    </w:tbl>
    <w:p>
      <w:pPr>
        <w:spacing w:after="80"/>
      </w:pPr>
    </w:p>
    <w:p>
      <w:pPr>
        <w:spacing w:after="120"/>
      </w:pPr>
      <w:r>
        <w:rPr>
          <w:sz w:val="21"/>
        </w:rPr>
        <w:t>A Target Rifle factor drop of 0.074 — and a Sporter drop of 0.067 — purely from adding OPM data, is implausible as a true reflection of changed discipline difficulty. It is the mathematical signature of selection bias in the OPM pool. Each discipline's factor reflects how heavily certain clubs over-participate in that discipline, not how the discipline performs in fair side-by-side comparison.</w:t>
      </w:r>
    </w:p>
    <w:p>
      <w:pPr>
        <w:spacing w:before="200" w:after="80"/>
      </w:pPr>
      <w:r>
        <w:rPr>
          <w:b/>
          <w:color w:val="1F4E78"/>
          <w:sz w:val="24"/>
        </w:rPr>
        <w:t>4.4 The methodology is not at fault — the data is</w:t>
      </w:r>
    </w:p>
    <w:p>
      <w:pPr>
        <w:spacing w:after="120"/>
      </w:pPr>
      <w:r>
        <w:rPr>
          <w:sz w:val="21"/>
        </w:rPr>
        <w:t>A natural question is whether the top-40% cohort methodology is the source of the bias. To test this, the same exercise was repeated using a middle-20% methodology (the cohort representing typical, not elite, scoring). Both metrics agreed that TR and Sporter factors must drop when OPM data is included — confirming the bias is in the underlying data composition, not in the statistical choice.</w:t>
      </w:r>
    </w:p>
    <w:p>
      <w:r>
        <w:br w:type="page"/>
      </w:r>
    </w:p>
    <w:p>
      <w:pPr>
        <w:spacing w:before="280" w:after="120"/>
      </w:pPr>
      <w:r>
        <w:rPr>
          <w:b/>
          <w:color w:val="1F4E78"/>
          <w:sz w:val="30"/>
        </w:rPr>
        <w:t>5. Why King's &amp; Queen's Championships Are the Correct Anchor</w:t>
      </w:r>
    </w:p>
    <w:p>
      <w:pPr>
        <w:spacing w:after="120"/>
      </w:pPr>
      <w:r>
        <w:rPr>
          <w:sz w:val="21"/>
        </w:rPr>
        <w:t>State and National King's &amp; Queen's championships uniquely satisfy all three of the structural requirements stated in Section 1.1:</w:t>
      </w:r>
    </w:p>
    <w:p>
      <w:pPr>
        <w:spacing w:before="200" w:after="80"/>
      </w:pPr>
      <w:r>
        <w:rPr>
          <w:b/>
          <w:color w:val="1F4E78"/>
          <w:sz w:val="24"/>
        </w:rPr>
        <w:t>5.1 All five disciplines co-attend (same conditions)</w:t>
      </w:r>
    </w:p>
    <w:p>
      <w:pPr>
        <w:spacing w:after="120"/>
      </w:pPr>
      <w:r>
        <w:rPr>
          <w:sz w:val="21"/>
        </w:rPr>
        <w:t>Of 14 K&amp;Q championships available in the 2024+ data window (NSWRA, VRA, QRA, NQRA, SARA, NRAA Nationals, and WARA, generally with 2024 and 2025 events each), 13 contained all five disciplines firing on the same days in the same conditions. Only NRAA Nationals 2025 lacked Sporter participation. This is the only event class in Australia where this is reliably the case.</w:t>
      </w:r>
    </w:p>
    <w:p>
      <w:pPr>
        <w:spacing w:before="200" w:after="80"/>
      </w:pPr>
      <w:r>
        <w:rPr>
          <w:b/>
          <w:color w:val="1F4E78"/>
          <w:sz w:val="24"/>
        </w:rPr>
        <w:t>5.2 Cross-state participation provides representative depth</w:t>
      </w:r>
    </w:p>
    <w:p>
      <w:pPr>
        <w:spacing w:after="120"/>
      </w:pPr>
      <w:r>
        <w:rPr>
          <w:sz w:val="21"/>
        </w:rPr>
        <w:t>K&amp;Q championships attract competitors from across Australia. Each discipline's top cohort is therefore composed of competitors from many clubs, which mathematically minimises per-club bias. The discipline with the deepest field is no longer determined by which single club happens to host the event — it is determined by national participation, which is the population the MCSI is actually designed to serve.</w:t>
      </w:r>
    </w:p>
    <w:p>
      <w:pPr>
        <w:spacing w:before="200" w:after="80"/>
      </w:pPr>
      <w:r>
        <w:rPr>
          <w:b/>
          <w:color w:val="1F4E78"/>
          <w:sz w:val="24"/>
        </w:rPr>
        <w:t>5.3 Sample sizes are adequate for stable calibration</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2835"/>
            <w:vAlign w:val="center"/>
            <w:shd w:val="clear" w:color="auto" w:fill="EEF3F8"/>
          </w:tcPr>
          <w:p>
            <w:pPr>
              <w:spacing w:after="0" w:before="0"/>
            </w:pPr>
            <w:r>
              <w:rPr>
                <w:b/>
                <w:color w:val="1F4E78"/>
                <w:sz w:val="19"/>
              </w:rPr>
            </w:r>
            <w:r>
              <w:rPr>
                <w:b/>
                <w:color w:val="1F4E78"/>
                <w:sz w:val="19"/>
              </w:rPr>
              <w:t>Discipline</w:t>
            </w:r>
          </w:p>
        </w:tc>
        <w:tc>
          <w:tcPr>
            <w:tcW w:type="dxa" w:w="1417"/>
            <w:vAlign w:val="center"/>
            <w:shd w:val="clear" w:color="auto" w:fill="EEF3F8"/>
          </w:tcPr>
          <w:p>
            <w:pPr>
              <w:spacing w:after="0" w:before="0"/>
            </w:pPr>
            <w:r>
              <w:rPr>
                <w:b/>
                <w:color w:val="1F4E78"/>
                <w:sz w:val="19"/>
              </w:rPr>
            </w:r>
            <w:r>
              <w:rPr>
                <w:b/>
                <w:color w:val="1F4E78"/>
                <w:sz w:val="19"/>
              </w:rPr>
              <w:t>Strings</w:t>
            </w:r>
          </w:p>
        </w:tc>
        <w:tc>
          <w:tcPr>
            <w:tcW w:type="dxa" w:w="1701"/>
            <w:vAlign w:val="center"/>
            <w:shd w:val="clear" w:color="auto" w:fill="EEF3F8"/>
          </w:tcPr>
          <w:p>
            <w:pPr>
              <w:spacing w:after="0" w:before="0"/>
            </w:pPr>
            <w:r>
              <w:rPr>
                <w:b/>
                <w:color w:val="1F4E78"/>
                <w:sz w:val="19"/>
              </w:rPr>
            </w:r>
            <w:r>
              <w:rPr>
                <w:b/>
                <w:color w:val="1F4E78"/>
                <w:sz w:val="19"/>
              </w:rPr>
              <w:t>Top-40% cohort</w:t>
            </w:r>
          </w:p>
        </w:tc>
        <w:tc>
          <w:tcPr>
            <w:tcW w:type="dxa" w:w="2268"/>
            <w:vAlign w:val="center"/>
            <w:shd w:val="clear" w:color="auto" w:fill="EEF3F8"/>
          </w:tcPr>
          <w:p>
            <w:pPr>
              <w:spacing w:after="0" w:before="0"/>
            </w:pPr>
            <w:r>
              <w:rPr>
                <w:b/>
                <w:color w:val="1F4E78"/>
                <w:sz w:val="19"/>
              </w:rPr>
            </w:r>
            <w:r>
              <w:rPr>
                <w:b/>
                <w:color w:val="1F4E78"/>
                <w:sz w:val="19"/>
              </w:rPr>
              <w:t>Distinct shooters</w:t>
            </w:r>
          </w:p>
        </w:tc>
      </w:tr>
      <w:tr>
        <w:tc>
          <w:tcPr>
            <w:tcW w:type="dxa" w:w="2835"/>
            <w:vAlign w:val="center"/>
          </w:tcPr>
          <w:p>
            <w:pPr>
              <w:spacing w:after="0" w:before="0"/>
            </w:pPr>
            <w:r>
              <w:rPr>
                <w:sz w:val="19"/>
              </w:rPr>
            </w:r>
            <w:r>
              <w:rPr>
                <w:sz w:val="19"/>
              </w:rPr>
              <w:t>Target Rifle</w:t>
            </w:r>
          </w:p>
        </w:tc>
        <w:tc>
          <w:tcPr>
            <w:tcW w:type="dxa" w:w="1417"/>
            <w:vAlign w:val="center"/>
          </w:tcPr>
          <w:p>
            <w:pPr>
              <w:spacing w:after="0" w:before="0"/>
            </w:pPr>
            <w:r>
              <w:rPr>
                <w:sz w:val="19"/>
              </w:rPr>
            </w:r>
            <w:r>
              <w:rPr>
                <w:sz w:val="19"/>
              </w:rPr>
              <w:t>7,510</w:t>
            </w:r>
          </w:p>
        </w:tc>
        <w:tc>
          <w:tcPr>
            <w:tcW w:type="dxa" w:w="1701"/>
            <w:vAlign w:val="center"/>
          </w:tcPr>
          <w:p>
            <w:pPr>
              <w:spacing w:after="0" w:before="0"/>
            </w:pPr>
            <w:r>
              <w:rPr>
                <w:sz w:val="19"/>
              </w:rPr>
            </w:r>
            <w:r>
              <w:rPr>
                <w:sz w:val="19"/>
              </w:rPr>
              <w:t>2,999</w:t>
            </w:r>
          </w:p>
        </w:tc>
        <w:tc>
          <w:tcPr>
            <w:tcW w:type="dxa" w:w="2268"/>
            <w:vAlign w:val="center"/>
          </w:tcPr>
          <w:p>
            <w:pPr>
              <w:spacing w:after="0" w:before="0"/>
            </w:pPr>
            <w:r>
              <w:rPr>
                <w:sz w:val="19"/>
              </w:rPr>
            </w:r>
            <w:r>
              <w:rPr>
                <w:sz w:val="19"/>
              </w:rPr>
              <w:t>~410</w:t>
            </w:r>
          </w:p>
        </w:tc>
      </w:tr>
      <w:tr>
        <w:tc>
          <w:tcPr>
            <w:tcW w:type="dxa" w:w="2835"/>
            <w:vAlign w:val="center"/>
          </w:tcPr>
          <w:p>
            <w:pPr>
              <w:spacing w:after="0" w:before="0"/>
            </w:pPr>
            <w:r>
              <w:rPr>
                <w:sz w:val="19"/>
              </w:rPr>
            </w:r>
            <w:r>
              <w:rPr>
                <w:sz w:val="19"/>
              </w:rPr>
              <w:t>F-Open</w:t>
            </w:r>
          </w:p>
        </w:tc>
        <w:tc>
          <w:tcPr>
            <w:tcW w:type="dxa" w:w="1417"/>
            <w:vAlign w:val="center"/>
          </w:tcPr>
          <w:p>
            <w:pPr>
              <w:spacing w:after="0" w:before="0"/>
            </w:pPr>
            <w:r>
              <w:rPr>
                <w:sz w:val="19"/>
              </w:rPr>
            </w:r>
            <w:r>
              <w:rPr>
                <w:sz w:val="19"/>
              </w:rPr>
              <w:t>4,082</w:t>
            </w:r>
          </w:p>
        </w:tc>
        <w:tc>
          <w:tcPr>
            <w:tcW w:type="dxa" w:w="1701"/>
            <w:vAlign w:val="center"/>
          </w:tcPr>
          <w:p>
            <w:pPr>
              <w:spacing w:after="0" w:before="0"/>
            </w:pPr>
            <w:r>
              <w:rPr>
                <w:sz w:val="19"/>
              </w:rPr>
            </w:r>
            <w:r>
              <w:rPr>
                <w:sz w:val="19"/>
              </w:rPr>
              <w:t>1,632</w:t>
            </w:r>
          </w:p>
        </w:tc>
        <w:tc>
          <w:tcPr>
            <w:tcW w:type="dxa" w:w="2268"/>
            <w:vAlign w:val="center"/>
          </w:tcPr>
          <w:p>
            <w:pPr>
              <w:spacing w:after="0" w:before="0"/>
            </w:pPr>
            <w:r>
              <w:rPr>
                <w:sz w:val="19"/>
              </w:rPr>
            </w:r>
            <w:r>
              <w:rPr>
                <w:sz w:val="19"/>
              </w:rPr>
              <w:t>~280</w:t>
            </w:r>
          </w:p>
        </w:tc>
      </w:tr>
      <w:tr>
        <w:tc>
          <w:tcPr>
            <w:tcW w:type="dxa" w:w="2835"/>
            <w:vAlign w:val="center"/>
          </w:tcPr>
          <w:p>
            <w:pPr>
              <w:spacing w:after="0" w:before="0"/>
            </w:pPr>
            <w:r>
              <w:rPr>
                <w:sz w:val="19"/>
              </w:rPr>
            </w:r>
            <w:r>
              <w:rPr>
                <w:sz w:val="19"/>
              </w:rPr>
              <w:t>F-Standard</w:t>
            </w:r>
          </w:p>
        </w:tc>
        <w:tc>
          <w:tcPr>
            <w:tcW w:type="dxa" w:w="1417"/>
            <w:vAlign w:val="center"/>
          </w:tcPr>
          <w:p>
            <w:pPr>
              <w:spacing w:after="0" w:before="0"/>
            </w:pPr>
            <w:r>
              <w:rPr>
                <w:sz w:val="19"/>
              </w:rPr>
            </w:r>
            <w:r>
              <w:rPr>
                <w:sz w:val="19"/>
              </w:rPr>
              <w:t>3,731</w:t>
            </w:r>
          </w:p>
        </w:tc>
        <w:tc>
          <w:tcPr>
            <w:tcW w:type="dxa" w:w="1701"/>
            <w:vAlign w:val="center"/>
          </w:tcPr>
          <w:p>
            <w:pPr>
              <w:spacing w:after="0" w:before="0"/>
            </w:pPr>
            <w:r>
              <w:rPr>
                <w:sz w:val="19"/>
              </w:rPr>
            </w:r>
            <w:r>
              <w:rPr>
                <w:sz w:val="19"/>
              </w:rPr>
              <w:t>1,505</w:t>
            </w:r>
          </w:p>
        </w:tc>
        <w:tc>
          <w:tcPr>
            <w:tcW w:type="dxa" w:w="2268"/>
            <w:vAlign w:val="center"/>
          </w:tcPr>
          <w:p>
            <w:pPr>
              <w:spacing w:after="0" w:before="0"/>
            </w:pPr>
            <w:r>
              <w:rPr>
                <w:sz w:val="19"/>
              </w:rPr>
            </w:r>
            <w:r>
              <w:rPr>
                <w:sz w:val="19"/>
              </w:rPr>
              <w:t>~210</w:t>
            </w:r>
          </w:p>
        </w:tc>
      </w:tr>
      <w:tr>
        <w:tc>
          <w:tcPr>
            <w:tcW w:type="dxa" w:w="2835"/>
            <w:vAlign w:val="center"/>
          </w:tcPr>
          <w:p>
            <w:pPr>
              <w:spacing w:after="0" w:before="0"/>
            </w:pPr>
            <w:r>
              <w:rPr>
                <w:sz w:val="19"/>
              </w:rPr>
            </w:r>
            <w:r>
              <w:rPr>
                <w:sz w:val="19"/>
              </w:rPr>
              <w:t>F/TR</w:t>
            </w:r>
          </w:p>
        </w:tc>
        <w:tc>
          <w:tcPr>
            <w:tcW w:type="dxa" w:w="1417"/>
            <w:vAlign w:val="center"/>
          </w:tcPr>
          <w:p>
            <w:pPr>
              <w:spacing w:after="0" w:before="0"/>
            </w:pPr>
            <w:r>
              <w:rPr>
                <w:sz w:val="19"/>
              </w:rPr>
            </w:r>
            <w:r>
              <w:rPr>
                <w:sz w:val="19"/>
              </w:rPr>
              <w:t>2,437</w:t>
            </w:r>
          </w:p>
        </w:tc>
        <w:tc>
          <w:tcPr>
            <w:tcW w:type="dxa" w:w="1701"/>
            <w:vAlign w:val="center"/>
          </w:tcPr>
          <w:p>
            <w:pPr>
              <w:spacing w:after="0" w:before="0"/>
            </w:pPr>
            <w:r>
              <w:rPr>
                <w:sz w:val="19"/>
              </w:rPr>
            </w:r>
            <w:r>
              <w:rPr>
                <w:sz w:val="19"/>
              </w:rPr>
              <w:t>989</w:t>
            </w:r>
          </w:p>
        </w:tc>
        <w:tc>
          <w:tcPr>
            <w:tcW w:type="dxa" w:w="2268"/>
            <w:vAlign w:val="center"/>
          </w:tcPr>
          <w:p>
            <w:pPr>
              <w:spacing w:after="0" w:before="0"/>
            </w:pPr>
            <w:r>
              <w:rPr>
                <w:sz w:val="19"/>
              </w:rPr>
            </w:r>
            <w:r>
              <w:rPr>
                <w:sz w:val="19"/>
              </w:rPr>
              <w:t>~140</w:t>
            </w:r>
          </w:p>
        </w:tc>
      </w:tr>
      <w:tr>
        <w:tc>
          <w:tcPr>
            <w:tcW w:type="dxa" w:w="2835"/>
            <w:vAlign w:val="center"/>
          </w:tcPr>
          <w:p>
            <w:pPr>
              <w:spacing w:after="0" w:before="0"/>
            </w:pPr>
            <w:r>
              <w:rPr>
                <w:sz w:val="19"/>
              </w:rPr>
            </w:r>
            <w:r>
              <w:rPr>
                <w:sz w:val="19"/>
              </w:rPr>
              <w:t>Sporter (merged SO + SP)</w:t>
            </w:r>
          </w:p>
        </w:tc>
        <w:tc>
          <w:tcPr>
            <w:tcW w:type="dxa" w:w="1417"/>
            <w:vAlign w:val="center"/>
          </w:tcPr>
          <w:p>
            <w:pPr>
              <w:spacing w:after="0" w:before="0"/>
            </w:pPr>
            <w:r>
              <w:rPr>
                <w:sz w:val="19"/>
              </w:rPr>
            </w:r>
            <w:r>
              <w:rPr>
                <w:sz w:val="19"/>
              </w:rPr>
              <w:t>2,981</w:t>
            </w:r>
          </w:p>
        </w:tc>
        <w:tc>
          <w:tcPr>
            <w:tcW w:type="dxa" w:w="1701"/>
            <w:vAlign w:val="center"/>
          </w:tcPr>
          <w:p>
            <w:pPr>
              <w:spacing w:after="0" w:before="0"/>
            </w:pPr>
            <w:r>
              <w:rPr>
                <w:sz w:val="19"/>
              </w:rPr>
            </w:r>
            <w:r>
              <w:rPr>
                <w:sz w:val="19"/>
              </w:rPr>
              <w:t>837</w:t>
            </w:r>
          </w:p>
        </w:tc>
        <w:tc>
          <w:tcPr>
            <w:tcW w:type="dxa" w:w="2268"/>
            <w:vAlign w:val="center"/>
          </w:tcPr>
          <w:p>
            <w:pPr>
              <w:spacing w:after="0" w:before="0"/>
            </w:pPr>
            <w:r>
              <w:rPr>
                <w:sz w:val="19"/>
              </w:rPr>
            </w:r>
            <w:r>
              <w:rPr>
                <w:sz w:val="19"/>
              </w:rPr>
              <w:t>~152</w:t>
            </w:r>
          </w:p>
        </w:tc>
      </w:tr>
      <w:tr>
        <w:tc>
          <w:tcPr>
            <w:tcW w:type="dxa" w:w="2835"/>
            <w:vAlign w:val="center"/>
          </w:tcPr>
          <w:p>
            <w:pPr>
              <w:spacing w:after="0" w:before="0"/>
            </w:pPr>
            <w:r>
              <w:rPr>
                <w:sz w:val="19"/>
              </w:rPr>
            </w:r>
            <w:r>
              <w:rPr>
                <w:b/>
                <w:sz w:val="19"/>
              </w:rPr>
              <w:t>Total</w:t>
            </w:r>
          </w:p>
        </w:tc>
        <w:tc>
          <w:tcPr>
            <w:tcW w:type="dxa" w:w="1417"/>
            <w:vAlign w:val="center"/>
          </w:tcPr>
          <w:p>
            <w:pPr>
              <w:spacing w:after="0" w:before="0"/>
            </w:pPr>
            <w:r>
              <w:rPr>
                <w:sz w:val="19"/>
              </w:rPr>
            </w:r>
            <w:r>
              <w:rPr>
                <w:b/>
                <w:sz w:val="19"/>
              </w:rPr>
              <w:t>20,335</w:t>
            </w:r>
          </w:p>
        </w:tc>
        <w:tc>
          <w:tcPr>
            <w:tcW w:type="dxa" w:w="1701"/>
            <w:vAlign w:val="center"/>
          </w:tcPr>
          <w:p>
            <w:pPr>
              <w:spacing w:after="0" w:before="0"/>
            </w:pPr>
            <w:r>
              <w:rPr>
                <w:sz w:val="19"/>
              </w:rPr>
            </w:r>
            <w:r>
              <w:rPr>
                <w:b/>
                <w:sz w:val="19"/>
              </w:rPr>
              <w:t>7,962</w:t>
            </w:r>
          </w:p>
        </w:tc>
        <w:tc>
          <w:tcPr>
            <w:tcW w:type="dxa" w:w="2268"/>
            <w:vAlign w:val="center"/>
          </w:tcPr>
          <w:p>
            <w:pPr>
              <w:spacing w:after="0" w:before="0"/>
            </w:pPr>
            <w:r>
              <w:rPr>
                <w:sz w:val="19"/>
              </w:rPr>
            </w:r>
            <w:r>
              <w:rPr>
                <w:sz w:val="19"/>
              </w:rPr>
              <w:t>~1,000+</w:t>
            </w:r>
          </w:p>
        </w:tc>
      </w:tr>
    </w:tbl>
    <w:p>
      <w:pPr>
        <w:spacing w:after="80"/>
      </w:pPr>
    </w:p>
    <w:p>
      <w:pPr>
        <w:spacing w:after="120"/>
      </w:pPr>
      <w:r>
        <w:rPr>
          <w:sz w:val="21"/>
        </w:rPr>
        <w:t>These are sample sizes capable of supporting tight confidence intervals on all five disciplines — including the historically under-represented Sporter class, once Sporter Open and Sporter Production are merged into a single category for calibration purposes (as both are Production-class equipment).</w:t>
      </w:r>
    </w:p>
    <w:p>
      <w:pPr>
        <w:spacing w:before="200" w:after="80"/>
      </w:pPr>
      <w:r>
        <w:rPr>
          <w:b/>
          <w:color w:val="1F4E78"/>
          <w:sz w:val="24"/>
        </w:rPr>
        <w:t>5.4 Per-state consistency validates the pool's balance</w:t>
      </w:r>
    </w:p>
    <w:p>
      <w:pPr>
        <w:spacing w:after="120"/>
      </w:pPr>
      <w:r>
        <w:rPr>
          <w:sz w:val="21"/>
        </w:rPr>
        <w:t>A critical test of the K&amp;Q pool is whether the seven contributing jurisdictions are mutually consistent in their cross-discipline scoring patterns. If one state were a strong outlier, that state would dominate the calibration unfairly. The data shows tight consistency:</w:t>
      </w:r>
    </w:p>
    <w:tbl>
      <w:tblPr>
        <w:tblStyle w:val="TableGrid"/>
        <w:tblW w:type="auto" w:w="0"/>
        <w:tblLayout w:type="fixed"/>
        <w:tblLook w:firstColumn="1" w:firstRow="1" w:lastColumn="0" w:lastRow="0" w:noHBand="0" w:noVBand="1" w:val="04A0"/>
      </w:tblPr>
      <w:tblGrid>
        <w:gridCol w:w="3213"/>
        <w:gridCol w:w="3213"/>
        <w:gridCol w:w="3213"/>
      </w:tblGrid>
      <w:tr>
        <w:tc>
          <w:tcPr>
            <w:tcW w:type="dxa" w:w="2268"/>
            <w:vAlign w:val="center"/>
            <w:shd w:val="clear" w:color="auto" w:fill="EEF3F8"/>
          </w:tcPr>
          <w:p>
            <w:pPr>
              <w:spacing w:after="0" w:before="0"/>
            </w:pPr>
            <w:r>
              <w:rPr>
                <w:b/>
                <w:color w:val="1F4E78"/>
                <w:sz w:val="19"/>
              </w:rPr>
            </w:r>
            <w:r>
              <w:rPr>
                <w:b/>
                <w:color w:val="1F4E78"/>
                <w:sz w:val="19"/>
              </w:rPr>
              <w:t>State / Region</w:t>
            </w:r>
          </w:p>
        </w:tc>
        <w:tc>
          <w:tcPr>
            <w:tcW w:type="dxa" w:w="2268"/>
            <w:vAlign w:val="center"/>
            <w:shd w:val="clear" w:color="auto" w:fill="EEF3F8"/>
          </w:tcPr>
          <w:p>
            <w:pPr>
              <w:spacing w:after="0" w:before="0"/>
            </w:pPr>
            <w:r>
              <w:rPr>
                <w:b/>
                <w:color w:val="1F4E78"/>
                <w:sz w:val="19"/>
              </w:rPr>
            </w:r>
            <w:r>
              <w:rPr>
                <w:b/>
                <w:color w:val="1F4E78"/>
                <w:sz w:val="19"/>
              </w:rPr>
              <w:t>Sporter ÷ Avg F-class</w:t>
            </w:r>
          </w:p>
        </w:tc>
        <w:tc>
          <w:tcPr>
            <w:tcW w:type="dxa" w:w="3969"/>
            <w:vAlign w:val="center"/>
            <w:shd w:val="clear" w:color="auto" w:fill="EEF3F8"/>
          </w:tcPr>
          <w:p>
            <w:pPr>
              <w:spacing w:after="0" w:before="0"/>
            </w:pPr>
            <w:r>
              <w:rPr>
                <w:b/>
                <w:color w:val="1F4E78"/>
                <w:sz w:val="19"/>
              </w:rPr>
            </w:r>
            <w:r>
              <w:rPr>
                <w:b/>
                <w:color w:val="1F4E78"/>
                <w:sz w:val="19"/>
              </w:rPr>
              <w:t>Interpretation</w:t>
            </w:r>
          </w:p>
        </w:tc>
      </w:tr>
      <w:tr>
        <w:tc>
          <w:tcPr>
            <w:tcW w:type="dxa" w:w="2268"/>
            <w:vAlign w:val="center"/>
          </w:tcPr>
          <w:p>
            <w:pPr>
              <w:spacing w:after="0" w:before="0"/>
            </w:pPr>
            <w:r>
              <w:rPr>
                <w:sz w:val="19"/>
              </w:rPr>
            </w:r>
            <w:r>
              <w:rPr>
                <w:sz w:val="19"/>
              </w:rPr>
              <w:t>NSWRA</w:t>
            </w:r>
          </w:p>
        </w:tc>
        <w:tc>
          <w:tcPr>
            <w:tcW w:type="dxa" w:w="2268"/>
            <w:vAlign w:val="center"/>
          </w:tcPr>
          <w:p>
            <w:pPr>
              <w:spacing w:after="0" w:before="0"/>
            </w:pPr>
            <w:r>
              <w:rPr>
                <w:sz w:val="19"/>
              </w:rPr>
            </w:r>
            <w:r>
              <w:rPr>
                <w:sz w:val="19"/>
              </w:rPr>
              <w:t>1.0035</w:t>
            </w:r>
          </w:p>
        </w:tc>
        <w:tc>
          <w:tcPr>
            <w:tcW w:type="dxa" w:w="3969"/>
            <w:vAlign w:val="center"/>
          </w:tcPr>
          <w:p>
            <w:pPr>
              <w:spacing w:after="0" w:before="0"/>
            </w:pPr>
            <w:r>
              <w:rPr>
                <w:sz w:val="19"/>
              </w:rPr>
            </w:r>
            <w:r>
              <w:rPr>
                <w:sz w:val="19"/>
              </w:rPr>
              <w:t>Sporter ≈ F-class</w:t>
            </w:r>
          </w:p>
        </w:tc>
      </w:tr>
      <w:tr>
        <w:tc>
          <w:tcPr>
            <w:tcW w:type="dxa" w:w="2268"/>
            <w:vAlign w:val="center"/>
          </w:tcPr>
          <w:p>
            <w:pPr>
              <w:spacing w:after="0" w:before="0"/>
            </w:pPr>
            <w:r>
              <w:rPr>
                <w:sz w:val="19"/>
              </w:rPr>
            </w:r>
            <w:r>
              <w:rPr>
                <w:sz w:val="19"/>
              </w:rPr>
              <w:t>QRA</w:t>
            </w:r>
          </w:p>
        </w:tc>
        <w:tc>
          <w:tcPr>
            <w:tcW w:type="dxa" w:w="2268"/>
            <w:vAlign w:val="center"/>
          </w:tcPr>
          <w:p>
            <w:pPr>
              <w:spacing w:after="0" w:before="0"/>
            </w:pPr>
            <w:r>
              <w:rPr>
                <w:sz w:val="19"/>
              </w:rPr>
            </w:r>
            <w:r>
              <w:rPr>
                <w:sz w:val="19"/>
              </w:rPr>
              <w:t>1.0409</w:t>
            </w:r>
          </w:p>
        </w:tc>
        <w:tc>
          <w:tcPr>
            <w:tcW w:type="dxa" w:w="3969"/>
            <w:vAlign w:val="center"/>
          </w:tcPr>
          <w:p>
            <w:pPr>
              <w:spacing w:after="0" w:before="0"/>
            </w:pPr>
            <w:r>
              <w:rPr>
                <w:sz w:val="19"/>
              </w:rPr>
            </w:r>
            <w:r>
              <w:rPr>
                <w:sz w:val="19"/>
              </w:rPr>
              <w:t>Sporter +4%</w:t>
            </w:r>
          </w:p>
        </w:tc>
      </w:tr>
      <w:tr>
        <w:tc>
          <w:tcPr>
            <w:tcW w:type="dxa" w:w="2268"/>
            <w:vAlign w:val="center"/>
          </w:tcPr>
          <w:p>
            <w:pPr>
              <w:spacing w:after="0" w:before="0"/>
            </w:pPr>
            <w:r>
              <w:rPr>
                <w:sz w:val="19"/>
              </w:rPr>
            </w:r>
            <w:r>
              <w:rPr>
                <w:sz w:val="19"/>
              </w:rPr>
              <w:t>NQRA</w:t>
            </w:r>
          </w:p>
        </w:tc>
        <w:tc>
          <w:tcPr>
            <w:tcW w:type="dxa" w:w="2268"/>
            <w:vAlign w:val="center"/>
          </w:tcPr>
          <w:p>
            <w:pPr>
              <w:spacing w:after="0" w:before="0"/>
            </w:pPr>
            <w:r>
              <w:rPr>
                <w:sz w:val="19"/>
              </w:rPr>
            </w:r>
            <w:r>
              <w:rPr>
                <w:sz w:val="19"/>
              </w:rPr>
              <w:t>1.0464</w:t>
            </w:r>
          </w:p>
        </w:tc>
        <w:tc>
          <w:tcPr>
            <w:tcW w:type="dxa" w:w="3969"/>
            <w:vAlign w:val="center"/>
          </w:tcPr>
          <w:p>
            <w:pPr>
              <w:spacing w:after="0" w:before="0"/>
            </w:pPr>
            <w:r>
              <w:rPr>
                <w:sz w:val="19"/>
              </w:rPr>
            </w:r>
            <w:r>
              <w:rPr>
                <w:sz w:val="19"/>
              </w:rPr>
              <w:t>Sporter +5%</w:t>
            </w:r>
          </w:p>
        </w:tc>
      </w:tr>
      <w:tr>
        <w:tc>
          <w:tcPr>
            <w:tcW w:type="dxa" w:w="2268"/>
            <w:vAlign w:val="center"/>
          </w:tcPr>
          <w:p>
            <w:pPr>
              <w:spacing w:after="0" w:before="0"/>
            </w:pPr>
            <w:r>
              <w:rPr>
                <w:sz w:val="19"/>
              </w:rPr>
            </w:r>
            <w:r>
              <w:rPr>
                <w:sz w:val="19"/>
              </w:rPr>
              <w:t>WARA</w:t>
            </w:r>
          </w:p>
        </w:tc>
        <w:tc>
          <w:tcPr>
            <w:tcW w:type="dxa" w:w="2268"/>
            <w:vAlign w:val="center"/>
          </w:tcPr>
          <w:p>
            <w:pPr>
              <w:spacing w:after="0" w:before="0"/>
            </w:pPr>
            <w:r>
              <w:rPr>
                <w:sz w:val="19"/>
              </w:rPr>
            </w:r>
            <w:r>
              <w:rPr>
                <w:sz w:val="19"/>
              </w:rPr>
              <w:t>1.0462</w:t>
            </w:r>
          </w:p>
        </w:tc>
        <w:tc>
          <w:tcPr>
            <w:tcW w:type="dxa" w:w="3969"/>
            <w:vAlign w:val="center"/>
          </w:tcPr>
          <w:p>
            <w:pPr>
              <w:spacing w:after="0" w:before="0"/>
            </w:pPr>
            <w:r>
              <w:rPr>
                <w:sz w:val="19"/>
              </w:rPr>
            </w:r>
            <w:r>
              <w:rPr>
                <w:sz w:val="19"/>
              </w:rPr>
              <w:t>Sporter +5% (matches east coast)</w:t>
            </w:r>
          </w:p>
        </w:tc>
      </w:tr>
      <w:tr>
        <w:tc>
          <w:tcPr>
            <w:tcW w:type="dxa" w:w="2268"/>
            <w:vAlign w:val="center"/>
          </w:tcPr>
          <w:p>
            <w:pPr>
              <w:spacing w:after="0" w:before="0"/>
            </w:pPr>
            <w:r>
              <w:rPr>
                <w:sz w:val="19"/>
              </w:rPr>
            </w:r>
            <w:r>
              <w:rPr>
                <w:sz w:val="19"/>
              </w:rPr>
              <w:t>NRAA</w:t>
            </w:r>
          </w:p>
        </w:tc>
        <w:tc>
          <w:tcPr>
            <w:tcW w:type="dxa" w:w="2268"/>
            <w:vAlign w:val="center"/>
          </w:tcPr>
          <w:p>
            <w:pPr>
              <w:spacing w:after="0" w:before="0"/>
            </w:pPr>
            <w:r>
              <w:rPr>
                <w:sz w:val="19"/>
              </w:rPr>
            </w:r>
            <w:r>
              <w:rPr>
                <w:sz w:val="19"/>
              </w:rPr>
              <w:t>1.0594</w:t>
            </w:r>
          </w:p>
        </w:tc>
        <w:tc>
          <w:tcPr>
            <w:tcW w:type="dxa" w:w="3969"/>
            <w:vAlign w:val="center"/>
          </w:tcPr>
          <w:p>
            <w:pPr>
              <w:spacing w:after="0" w:before="0"/>
            </w:pPr>
            <w:r>
              <w:rPr>
                <w:sz w:val="19"/>
              </w:rPr>
            </w:r>
            <w:r>
              <w:rPr>
                <w:sz w:val="19"/>
              </w:rPr>
              <w:t>Sporter +6%</w:t>
            </w:r>
          </w:p>
        </w:tc>
      </w:tr>
      <w:tr>
        <w:tc>
          <w:tcPr>
            <w:tcW w:type="dxa" w:w="2268"/>
            <w:vAlign w:val="center"/>
          </w:tcPr>
          <w:p>
            <w:pPr>
              <w:spacing w:after="0" w:before="0"/>
            </w:pPr>
            <w:r>
              <w:rPr>
                <w:sz w:val="19"/>
              </w:rPr>
            </w:r>
            <w:r>
              <w:rPr>
                <w:sz w:val="19"/>
              </w:rPr>
              <w:t>VRA</w:t>
            </w:r>
          </w:p>
        </w:tc>
        <w:tc>
          <w:tcPr>
            <w:tcW w:type="dxa" w:w="2268"/>
            <w:vAlign w:val="center"/>
          </w:tcPr>
          <w:p>
            <w:pPr>
              <w:spacing w:after="0" w:before="0"/>
            </w:pPr>
            <w:r>
              <w:rPr>
                <w:sz w:val="19"/>
              </w:rPr>
            </w:r>
            <w:r>
              <w:rPr>
                <w:sz w:val="19"/>
              </w:rPr>
              <w:t>1.0612</w:t>
            </w:r>
          </w:p>
        </w:tc>
        <w:tc>
          <w:tcPr>
            <w:tcW w:type="dxa" w:w="3969"/>
            <w:vAlign w:val="center"/>
          </w:tcPr>
          <w:p>
            <w:pPr>
              <w:spacing w:after="0" w:before="0"/>
            </w:pPr>
            <w:r>
              <w:rPr>
                <w:sz w:val="19"/>
              </w:rPr>
            </w:r>
            <w:r>
              <w:rPr>
                <w:sz w:val="19"/>
              </w:rPr>
              <w:t>Sporter +6%</w:t>
            </w:r>
          </w:p>
        </w:tc>
      </w:tr>
      <w:tr>
        <w:tc>
          <w:tcPr>
            <w:tcW w:type="dxa" w:w="2268"/>
            <w:vAlign w:val="center"/>
          </w:tcPr>
          <w:p>
            <w:pPr>
              <w:spacing w:after="0" w:before="0"/>
            </w:pPr>
            <w:r>
              <w:rPr>
                <w:sz w:val="19"/>
              </w:rPr>
            </w:r>
            <w:r>
              <w:rPr>
                <w:sz w:val="19"/>
              </w:rPr>
              <w:t>SARA</w:t>
            </w:r>
          </w:p>
        </w:tc>
        <w:tc>
          <w:tcPr>
            <w:tcW w:type="dxa" w:w="2268"/>
            <w:vAlign w:val="center"/>
          </w:tcPr>
          <w:p>
            <w:pPr>
              <w:spacing w:after="0" w:before="0"/>
            </w:pPr>
            <w:r>
              <w:rPr>
                <w:sz w:val="19"/>
              </w:rPr>
            </w:r>
            <w:r>
              <w:rPr>
                <w:sz w:val="19"/>
              </w:rPr>
              <w:t>1.1437</w:t>
            </w:r>
          </w:p>
        </w:tc>
        <w:tc>
          <w:tcPr>
            <w:tcW w:type="dxa" w:w="3969"/>
            <w:vAlign w:val="center"/>
          </w:tcPr>
          <w:p>
            <w:pPr>
              <w:spacing w:after="0" w:before="0"/>
            </w:pPr>
            <w:r>
              <w:rPr>
                <w:sz w:val="19"/>
              </w:rPr>
            </w:r>
            <w:r>
              <w:rPr>
                <w:sz w:val="19"/>
              </w:rPr>
              <w:t>Sporter +14% (small sample, n=48)</w:t>
            </w:r>
          </w:p>
        </w:tc>
      </w:tr>
    </w:tbl>
    <w:p>
      <w:pPr>
        <w:spacing w:after="80"/>
      </w:pPr>
    </w:p>
    <w:p>
      <w:pPr>
        <w:spacing w:after="120"/>
      </w:pPr>
      <w:r>
        <w:rPr>
          <w:sz w:val="21"/>
        </w:rPr>
        <w:t>Excluding the small-sample SARA outlier, the seven regions produce Sporter/F-class ratios between 1.00 and 1.06 — a range of just 0.06 across all of Australia. This consistency is what makes K&amp;Q-pooled calibration defensible: regional variation is small and unbiased relative to the cross-discipline signal being measured.</w:t>
      </w:r>
    </w:p>
    <w:p>
      <w:r>
        <w:br w:type="page"/>
      </w:r>
    </w:p>
    <w:p>
      <w:pPr>
        <w:spacing w:before="280" w:after="120"/>
      </w:pPr>
      <w:r>
        <w:rPr>
          <w:b/>
          <w:color w:val="1F4E78"/>
          <w:sz w:val="30"/>
        </w:rPr>
        <w:t>6. V5 Methodology</w:t>
      </w:r>
    </w:p>
    <w:p>
      <w:pPr>
        <w:spacing w:after="120"/>
      </w:pPr>
      <w:r>
        <w:rPr>
          <w:sz w:val="21"/>
        </w:rPr>
        <w:t>The V5 formula structure is:</w:t>
      </w:r>
    </w:p>
    <w:p>
      <w:pPr>
        <w:spacing w:after="120"/>
      </w:pPr>
      <w:r>
        <w:rPr>
          <w:b/>
          <w:sz w:val="21"/>
        </w:rPr>
        <w:t>Adjusted MCSI = (Raw Score × Conversion + Centres × 0.7) × Discipline Factor</w:t>
      </w:r>
    </w:p>
    <w:p>
      <w:pPr>
        <w:spacing w:after="120"/>
      </w:pPr>
      <w:r>
        <w:rPr>
          <w:sz w:val="21"/>
        </w:rPr>
        <w:t>Where:</w:t>
      </w:r>
    </w:p>
    <w:p>
      <w:pPr>
        <w:pStyle w:val="ListBullet"/>
        <w:spacing w:after="60"/>
      </w:pPr>
      <w:r>
        <w:rPr>
          <w:b/>
          <w:sz w:val="21"/>
        </w:rPr>
        <w:t>Raw Score</w:t>
      </w:r>
      <w:r>
        <w:rPr>
          <w:sz w:val="21"/>
        </w:rPr>
        <w:t xml:space="preserve"> is the points portion of the X.Y score notation (e.g. 50 in 50.10)</w:t>
      </w:r>
    </w:p>
    <w:p>
      <w:pPr>
        <w:pStyle w:val="ListBullet"/>
        <w:spacing w:after="60"/>
      </w:pPr>
      <w:r>
        <w:rPr>
          <w:b/>
          <w:sz w:val="21"/>
        </w:rPr>
        <w:t>Centres</w:t>
      </w:r>
      <w:r>
        <w:rPr>
          <w:sz w:val="21"/>
        </w:rPr>
        <w:t xml:space="preserve"> is the centre count (the Y in 50.Y), counting V- and X-ring hits depending on target type</w:t>
      </w:r>
    </w:p>
    <w:p>
      <w:pPr>
        <w:pStyle w:val="ListBullet"/>
        <w:spacing w:after="60"/>
      </w:pPr>
      <w:r>
        <w:rPr>
          <w:b/>
          <w:sz w:val="21"/>
        </w:rPr>
        <w:t>Conversion</w:t>
      </w:r>
      <w:r>
        <w:rPr>
          <w:sz w:val="21"/>
        </w:rPr>
        <w:t xml:space="preserve"> equalises iron-sight disciplines to F-class: 1.20 for TR and Sporter (iron sight), 1.00 for F-Open, F-Std, F/TR (optical)</w:t>
      </w:r>
    </w:p>
    <w:p>
      <w:pPr>
        <w:pStyle w:val="ListBullet"/>
        <w:spacing w:after="60"/>
      </w:pPr>
      <w:r>
        <w:rPr>
          <w:b/>
          <w:sz w:val="21"/>
        </w:rPr>
        <w:t>0.7</w:t>
      </w:r>
      <w:r>
        <w:rPr>
          <w:sz w:val="21"/>
        </w:rPr>
        <w:t xml:space="preserve"> is the centre weight applied uniformly across disciplines</w:t>
      </w:r>
    </w:p>
    <w:p>
      <w:pPr>
        <w:pStyle w:val="ListBullet"/>
        <w:spacing w:after="60"/>
      </w:pPr>
      <w:r>
        <w:rPr>
          <w:b/>
          <w:sz w:val="21"/>
        </w:rPr>
        <w:t>Discipline Factor</w:t>
      </w:r>
      <w:r>
        <w:rPr>
          <w:sz w:val="21"/>
        </w:rPr>
        <w:t xml:space="preserve"> is the calibrated multiplier derived from K&amp;Q data</w:t>
      </w:r>
    </w:p>
    <w:p>
      <w:pPr>
        <w:spacing w:before="200" w:after="80"/>
      </w:pPr>
      <w:r>
        <w:rPr>
          <w:b/>
          <w:color w:val="1F4E78"/>
          <w:sz w:val="24"/>
        </w:rPr>
        <w:t>6.1 Calibration procedure</w:t>
      </w:r>
    </w:p>
    <w:p>
      <w:pPr>
        <w:spacing w:after="120"/>
      </w:pPr>
      <w:r>
        <w:rPr>
          <w:sz w:val="21"/>
        </w:rPr>
        <w:t xml:space="preserve">For each (state, year, discipline, distance) bucket in the K&amp;Q pool, the top 40% of scores is selected (with a minimum floor of 5 entries per bucket). These top cohorts are then pooled across all buckets per discipline. The pre-factor mean for each discipline is computed as </w:t>
      </w:r>
      <w:r>
        <w:rPr>
          <w:i/>
          <w:sz w:val="21"/>
        </w:rPr>
        <w:t>(Score × Conversion + Centres × 0.7)</w:t>
      </w:r>
      <w:r>
        <w:rPr>
          <w:sz w:val="21"/>
        </w:rPr>
        <w:t>.</w:t>
      </w:r>
    </w:p>
    <w:p>
      <w:pPr>
        <w:spacing w:after="120"/>
      </w:pPr>
      <w:r>
        <w:rPr>
          <w:sz w:val="21"/>
        </w:rPr>
        <w:t>A "fair F-class target" is calculated as the mean of the post-factor top-40% means for F-Open, F-Standard, and F/TR — these three disciplines being the natural cross-discipline anchor because they share equipment philosophy (optical sight, bipod) and have similar participation patterns.</w:t>
      </w:r>
    </w:p>
    <w:p>
      <w:pPr>
        <w:spacing w:after="120"/>
      </w:pPr>
      <w:r>
        <w:rPr>
          <w:sz w:val="21"/>
        </w:rPr>
        <w:t>Each discipline's V5 factor is set such that its top-40% post-factor mean equals the F-class fair target. This ensures that the top 40% of any discipline scores comparably to the top 40% of F-class — the central fairness principle of MCSI.</w:t>
      </w:r>
    </w:p>
    <w:p>
      <w:pPr>
        <w:spacing w:before="200" w:after="80"/>
      </w:pPr>
      <w:r>
        <w:rPr>
          <w:b/>
          <w:color w:val="1F4E78"/>
          <w:sz w:val="24"/>
        </w:rPr>
        <w:t>6.2 Sporter merging</w:t>
      </w:r>
    </w:p>
    <w:p>
      <w:pPr>
        <w:spacing w:after="120"/>
      </w:pPr>
      <w:r>
        <w:rPr>
          <w:sz w:val="21"/>
        </w:rPr>
        <w:t>Sporter Open and Sporter Production were historically calibrated as separate factors. V5 merges them into a single Sporter factor because (a) both are Production-class equipment with the same fundamental scoring characteristics, (b) separating them halved an already small sample, and (c) club championships typically combine Sporter Open and Sporter Production into a single Sporter category for placement purposes.</w:t>
      </w:r>
    </w:p>
    <w:p>
      <w:pPr>
        <w:spacing w:before="280" w:after="120"/>
      </w:pPr>
      <w:r>
        <w:rPr>
          <w:b/>
          <w:color w:val="1F4E78"/>
          <w:sz w:val="30"/>
        </w:rPr>
        <w:t>7. V5 Statistical Validation</w:t>
      </w:r>
    </w:p>
    <w:p>
      <w:pPr>
        <w:spacing w:before="200" w:after="80"/>
      </w:pPr>
      <w:r>
        <w:rPr>
          <w:b/>
          <w:color w:val="1F4E78"/>
          <w:sz w:val="24"/>
        </w:rPr>
        <w:t>7.1 Confidence intervals</w:t>
      </w:r>
    </w:p>
    <w:p>
      <w:pPr>
        <w:spacing w:after="120"/>
      </w:pPr>
      <w:r>
        <w:rPr>
          <w:sz w:val="21"/>
        </w:rPr>
        <w:t>Bootstrap 95% confidence intervals were computed for each discipline's top-40% mean MCSI under V5 factors. CIs are tight across all disciplines:</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c>
          <w:tcPr>
            <w:tcW w:type="dxa" w:w="1984"/>
            <w:vAlign w:val="center"/>
            <w:shd w:val="clear" w:color="auto" w:fill="EEF3F8"/>
          </w:tcPr>
          <w:p>
            <w:pPr>
              <w:spacing w:after="0" w:before="0"/>
            </w:pPr>
            <w:r>
              <w:rPr>
                <w:b/>
                <w:color w:val="1F4E78"/>
                <w:sz w:val="19"/>
              </w:rPr>
            </w:r>
            <w:r>
              <w:rPr>
                <w:b/>
                <w:color w:val="1F4E78"/>
                <w:sz w:val="19"/>
              </w:rPr>
              <w:t>Discipline</w:t>
            </w:r>
          </w:p>
        </w:tc>
        <w:tc>
          <w:tcPr>
            <w:tcW w:type="dxa" w:w="1984"/>
            <w:vAlign w:val="center"/>
            <w:shd w:val="clear" w:color="auto" w:fill="EEF3F8"/>
          </w:tcPr>
          <w:p>
            <w:pPr>
              <w:spacing w:after="0" w:before="0"/>
            </w:pPr>
            <w:r>
              <w:rPr>
                <w:b/>
                <w:color w:val="1F4E78"/>
                <w:sz w:val="19"/>
              </w:rPr>
            </w:r>
            <w:r>
              <w:rPr>
                <w:b/>
                <w:color w:val="1F4E78"/>
                <w:sz w:val="19"/>
              </w:rPr>
              <w:t>Post-factor mean MCSI</w:t>
            </w:r>
          </w:p>
        </w:tc>
        <w:tc>
          <w:tcPr>
            <w:tcW w:type="dxa" w:w="1984"/>
            <w:vAlign w:val="center"/>
            <w:shd w:val="clear" w:color="auto" w:fill="EEF3F8"/>
          </w:tcPr>
          <w:p>
            <w:pPr>
              <w:spacing w:after="0" w:before="0"/>
            </w:pPr>
            <w:r>
              <w:rPr>
                <w:b/>
                <w:color w:val="1F4E78"/>
                <w:sz w:val="19"/>
              </w:rPr>
            </w:r>
            <w:r>
              <w:rPr>
                <w:b/>
                <w:color w:val="1F4E78"/>
                <w:sz w:val="19"/>
              </w:rPr>
              <w:t>95% CI</w:t>
            </w:r>
          </w:p>
        </w:tc>
        <w:tc>
          <w:tcPr>
            <w:tcW w:type="dxa" w:w="1134"/>
            <w:vAlign w:val="center"/>
            <w:shd w:val="clear" w:color="auto" w:fill="EEF3F8"/>
          </w:tcPr>
          <w:p>
            <w:pPr>
              <w:spacing w:after="0" w:before="0"/>
            </w:pPr>
            <w:r>
              <w:rPr>
                <w:b/>
                <w:color w:val="1F4E78"/>
                <w:sz w:val="19"/>
              </w:rPr>
            </w:r>
            <w:r>
              <w:rPr>
                <w:b/>
                <w:color w:val="1F4E78"/>
                <w:sz w:val="19"/>
              </w:rPr>
              <w:t>CI width</w:t>
            </w:r>
          </w:p>
        </w:tc>
        <w:tc>
          <w:tcPr>
            <w:tcW w:type="dxa" w:w="1417"/>
            <w:vAlign w:val="center"/>
            <w:shd w:val="clear" w:color="auto" w:fill="EEF3F8"/>
          </w:tcPr>
          <w:p>
            <w:pPr>
              <w:spacing w:after="0" w:before="0"/>
            </w:pPr>
            <w:r>
              <w:rPr>
                <w:b/>
                <w:color w:val="1F4E78"/>
                <w:sz w:val="19"/>
              </w:rPr>
            </w:r>
            <w:r>
              <w:rPr>
                <w:b/>
                <w:color w:val="1F4E78"/>
                <w:sz w:val="19"/>
              </w:rPr>
              <w:t>Factor SE</w:t>
            </w:r>
          </w:p>
        </w:tc>
      </w:tr>
      <w:tr>
        <w:tc>
          <w:tcPr>
            <w:tcW w:type="dxa" w:w="1984"/>
            <w:vAlign w:val="center"/>
          </w:tcPr>
          <w:p>
            <w:pPr>
              <w:spacing w:after="0" w:before="0"/>
            </w:pPr>
            <w:r>
              <w:rPr>
                <w:sz w:val="19"/>
              </w:rPr>
            </w:r>
            <w:r>
              <w:rPr>
                <w:sz w:val="19"/>
              </w:rPr>
              <w:t>Target Rifle</w:t>
            </w:r>
          </w:p>
        </w:tc>
        <w:tc>
          <w:tcPr>
            <w:tcW w:type="dxa" w:w="1984"/>
            <w:vAlign w:val="center"/>
          </w:tcPr>
          <w:p>
            <w:pPr>
              <w:spacing w:after="0" w:before="0"/>
            </w:pPr>
            <w:r>
              <w:rPr>
                <w:sz w:val="19"/>
              </w:rPr>
            </w:r>
            <w:r>
              <w:rPr>
                <w:sz w:val="19"/>
              </w:rPr>
              <w:t>95.27</w:t>
            </w:r>
          </w:p>
        </w:tc>
        <w:tc>
          <w:tcPr>
            <w:tcW w:type="dxa" w:w="1984"/>
            <w:vAlign w:val="center"/>
          </w:tcPr>
          <w:p>
            <w:pPr>
              <w:spacing w:after="0" w:before="0"/>
            </w:pPr>
            <w:r>
              <w:rPr>
                <w:sz w:val="19"/>
              </w:rPr>
            </w:r>
            <w:r>
              <w:rPr>
                <w:sz w:val="19"/>
              </w:rPr>
              <w:t>94.75 – 95.79</w:t>
            </w:r>
          </w:p>
        </w:tc>
        <w:tc>
          <w:tcPr>
            <w:tcW w:type="dxa" w:w="1134"/>
            <w:vAlign w:val="center"/>
          </w:tcPr>
          <w:p>
            <w:pPr>
              <w:spacing w:after="0" w:before="0"/>
            </w:pPr>
            <w:r>
              <w:rPr>
                <w:sz w:val="19"/>
              </w:rPr>
            </w:r>
            <w:r>
              <w:rPr>
                <w:sz w:val="19"/>
              </w:rPr>
              <w:t>±0.52</w:t>
            </w:r>
          </w:p>
        </w:tc>
        <w:tc>
          <w:tcPr>
            <w:tcW w:type="dxa" w:w="1417"/>
            <w:vAlign w:val="center"/>
          </w:tcPr>
          <w:p>
            <w:pPr>
              <w:spacing w:after="0" w:before="0"/>
            </w:pPr>
            <w:r>
              <w:rPr>
                <w:sz w:val="19"/>
              </w:rPr>
            </w:r>
            <w:r>
              <w:rPr>
                <w:sz w:val="19"/>
              </w:rPr>
              <w:t>±0.0077</w:t>
            </w:r>
          </w:p>
        </w:tc>
      </w:tr>
      <w:tr>
        <w:tc>
          <w:tcPr>
            <w:tcW w:type="dxa" w:w="1984"/>
            <w:vAlign w:val="center"/>
          </w:tcPr>
          <w:p>
            <w:pPr>
              <w:spacing w:after="0" w:before="0"/>
            </w:pPr>
            <w:r>
              <w:rPr>
                <w:sz w:val="19"/>
              </w:rPr>
            </w:r>
            <w:r>
              <w:rPr>
                <w:sz w:val="19"/>
              </w:rPr>
              <w:t>F-Open</w:t>
            </w:r>
          </w:p>
        </w:tc>
        <w:tc>
          <w:tcPr>
            <w:tcW w:type="dxa" w:w="1984"/>
            <w:vAlign w:val="center"/>
          </w:tcPr>
          <w:p>
            <w:pPr>
              <w:spacing w:after="0" w:before="0"/>
            </w:pPr>
            <w:r>
              <w:rPr>
                <w:sz w:val="19"/>
              </w:rPr>
            </w:r>
            <w:r>
              <w:rPr>
                <w:sz w:val="19"/>
              </w:rPr>
              <w:t>95.22</w:t>
            </w:r>
          </w:p>
        </w:tc>
        <w:tc>
          <w:tcPr>
            <w:tcW w:type="dxa" w:w="1984"/>
            <w:vAlign w:val="center"/>
          </w:tcPr>
          <w:p>
            <w:pPr>
              <w:spacing w:after="0" w:before="0"/>
            </w:pPr>
            <w:r>
              <w:rPr>
                <w:sz w:val="19"/>
              </w:rPr>
            </w:r>
            <w:r>
              <w:rPr>
                <w:sz w:val="19"/>
              </w:rPr>
              <w:t>94.50 – 95.94</w:t>
            </w:r>
          </w:p>
        </w:tc>
        <w:tc>
          <w:tcPr>
            <w:tcW w:type="dxa" w:w="1134"/>
            <w:vAlign w:val="center"/>
          </w:tcPr>
          <w:p>
            <w:pPr>
              <w:spacing w:after="0" w:before="0"/>
            </w:pPr>
            <w:r>
              <w:rPr>
                <w:sz w:val="19"/>
              </w:rPr>
            </w:r>
            <w:r>
              <w:rPr>
                <w:sz w:val="19"/>
              </w:rPr>
              <w:t>±0.72</w:t>
            </w:r>
          </w:p>
        </w:tc>
        <w:tc>
          <w:tcPr>
            <w:tcW w:type="dxa" w:w="1417"/>
            <w:vAlign w:val="center"/>
          </w:tcPr>
          <w:p>
            <w:pPr>
              <w:spacing w:after="0" w:before="0"/>
            </w:pPr>
            <w:r>
              <w:rPr>
                <w:sz w:val="19"/>
              </w:rPr>
            </w:r>
            <w:r>
              <w:rPr>
                <w:sz w:val="19"/>
              </w:rPr>
              <w:t>±0.0111</w:t>
            </w:r>
          </w:p>
        </w:tc>
      </w:tr>
      <w:tr>
        <w:tc>
          <w:tcPr>
            <w:tcW w:type="dxa" w:w="1984"/>
            <w:vAlign w:val="center"/>
          </w:tcPr>
          <w:p>
            <w:pPr>
              <w:spacing w:after="0" w:before="0"/>
            </w:pPr>
            <w:r>
              <w:rPr>
                <w:sz w:val="19"/>
              </w:rPr>
            </w:r>
            <w:r>
              <w:rPr>
                <w:sz w:val="19"/>
              </w:rPr>
              <w:t>F-Standard</w:t>
            </w:r>
          </w:p>
        </w:tc>
        <w:tc>
          <w:tcPr>
            <w:tcW w:type="dxa" w:w="1984"/>
            <w:vAlign w:val="center"/>
          </w:tcPr>
          <w:p>
            <w:pPr>
              <w:spacing w:after="0" w:before="0"/>
            </w:pPr>
            <w:r>
              <w:rPr>
                <w:sz w:val="19"/>
              </w:rPr>
            </w:r>
            <w:r>
              <w:rPr>
                <w:sz w:val="19"/>
              </w:rPr>
              <w:t>95.18</w:t>
            </w:r>
          </w:p>
        </w:tc>
        <w:tc>
          <w:tcPr>
            <w:tcW w:type="dxa" w:w="1984"/>
            <w:vAlign w:val="center"/>
          </w:tcPr>
          <w:p>
            <w:pPr>
              <w:spacing w:after="0" w:before="0"/>
            </w:pPr>
            <w:r>
              <w:rPr>
                <w:sz w:val="19"/>
              </w:rPr>
            </w:r>
            <w:r>
              <w:rPr>
                <w:sz w:val="19"/>
              </w:rPr>
              <w:t>94.52 – 95.84</w:t>
            </w:r>
          </w:p>
        </w:tc>
        <w:tc>
          <w:tcPr>
            <w:tcW w:type="dxa" w:w="1134"/>
            <w:vAlign w:val="center"/>
          </w:tcPr>
          <w:p>
            <w:pPr>
              <w:spacing w:after="0" w:before="0"/>
            </w:pPr>
            <w:r>
              <w:rPr>
                <w:sz w:val="19"/>
              </w:rPr>
            </w:r>
            <w:r>
              <w:rPr>
                <w:sz w:val="19"/>
              </w:rPr>
              <w:t>±0.66</w:t>
            </w:r>
          </w:p>
        </w:tc>
        <w:tc>
          <w:tcPr>
            <w:tcW w:type="dxa" w:w="1417"/>
            <w:vAlign w:val="center"/>
          </w:tcPr>
          <w:p>
            <w:pPr>
              <w:spacing w:after="0" w:before="0"/>
            </w:pPr>
            <w:r>
              <w:rPr>
                <w:sz w:val="19"/>
              </w:rPr>
            </w:r>
            <w:r>
              <w:rPr>
                <w:sz w:val="19"/>
              </w:rPr>
              <w:t>±0.0104</w:t>
            </w:r>
          </w:p>
        </w:tc>
      </w:tr>
      <w:tr>
        <w:tc>
          <w:tcPr>
            <w:tcW w:type="dxa" w:w="1984"/>
            <w:vAlign w:val="center"/>
          </w:tcPr>
          <w:p>
            <w:pPr>
              <w:spacing w:after="0" w:before="0"/>
            </w:pPr>
            <w:r>
              <w:rPr>
                <w:sz w:val="19"/>
              </w:rPr>
            </w:r>
            <w:r>
              <w:rPr>
                <w:sz w:val="19"/>
              </w:rPr>
              <w:t>F/TR</w:t>
            </w:r>
          </w:p>
        </w:tc>
        <w:tc>
          <w:tcPr>
            <w:tcW w:type="dxa" w:w="1984"/>
            <w:vAlign w:val="center"/>
          </w:tcPr>
          <w:p>
            <w:pPr>
              <w:spacing w:after="0" w:before="0"/>
            </w:pPr>
            <w:r>
              <w:rPr>
                <w:sz w:val="19"/>
              </w:rPr>
            </w:r>
            <w:r>
              <w:rPr>
                <w:sz w:val="19"/>
              </w:rPr>
              <w:t>95.20</w:t>
            </w:r>
          </w:p>
        </w:tc>
        <w:tc>
          <w:tcPr>
            <w:tcW w:type="dxa" w:w="1984"/>
            <w:vAlign w:val="center"/>
          </w:tcPr>
          <w:p>
            <w:pPr>
              <w:spacing w:after="0" w:before="0"/>
            </w:pPr>
            <w:r>
              <w:rPr>
                <w:sz w:val="19"/>
              </w:rPr>
            </w:r>
            <w:r>
              <w:rPr>
                <w:sz w:val="19"/>
              </w:rPr>
              <w:t>94.30 – 96.10</w:t>
            </w:r>
          </w:p>
        </w:tc>
        <w:tc>
          <w:tcPr>
            <w:tcW w:type="dxa" w:w="1134"/>
            <w:vAlign w:val="center"/>
          </w:tcPr>
          <w:p>
            <w:pPr>
              <w:spacing w:after="0" w:before="0"/>
            </w:pPr>
            <w:r>
              <w:rPr>
                <w:sz w:val="19"/>
              </w:rPr>
            </w:r>
            <w:r>
              <w:rPr>
                <w:sz w:val="19"/>
              </w:rPr>
              <w:t>±0.90</w:t>
            </w:r>
          </w:p>
        </w:tc>
        <w:tc>
          <w:tcPr>
            <w:tcW w:type="dxa" w:w="1417"/>
            <w:vAlign w:val="center"/>
          </w:tcPr>
          <w:p>
            <w:pPr>
              <w:spacing w:after="0" w:before="0"/>
            </w:pPr>
            <w:r>
              <w:rPr>
                <w:sz w:val="19"/>
              </w:rPr>
            </w:r>
            <w:r>
              <w:rPr>
                <w:sz w:val="19"/>
              </w:rPr>
              <w:t>±0.0140</w:t>
            </w:r>
          </w:p>
        </w:tc>
      </w:tr>
      <w:tr>
        <w:tc>
          <w:tcPr>
            <w:tcW w:type="dxa" w:w="1984"/>
            <w:vAlign w:val="center"/>
          </w:tcPr>
          <w:p>
            <w:pPr>
              <w:spacing w:after="0" w:before="0"/>
            </w:pPr>
            <w:r>
              <w:rPr>
                <w:sz w:val="19"/>
              </w:rPr>
            </w:r>
            <w:r>
              <w:rPr>
                <w:sz w:val="19"/>
              </w:rPr>
              <w:t>Sporter</w:t>
            </w:r>
          </w:p>
        </w:tc>
        <w:tc>
          <w:tcPr>
            <w:tcW w:type="dxa" w:w="1984"/>
            <w:vAlign w:val="center"/>
          </w:tcPr>
          <w:p>
            <w:pPr>
              <w:spacing w:after="0" w:before="0"/>
            </w:pPr>
            <w:r>
              <w:rPr>
                <w:sz w:val="19"/>
              </w:rPr>
            </w:r>
            <w:r>
              <w:rPr>
                <w:sz w:val="19"/>
              </w:rPr>
              <w:t>95.16</w:t>
            </w:r>
          </w:p>
        </w:tc>
        <w:tc>
          <w:tcPr>
            <w:tcW w:type="dxa" w:w="1984"/>
            <w:vAlign w:val="center"/>
          </w:tcPr>
          <w:p>
            <w:pPr>
              <w:spacing w:after="0" w:before="0"/>
            </w:pPr>
            <w:r>
              <w:rPr>
                <w:sz w:val="19"/>
              </w:rPr>
            </w:r>
            <w:r>
              <w:rPr>
                <w:sz w:val="19"/>
              </w:rPr>
              <w:t>94.12 – 96.20</w:t>
            </w:r>
          </w:p>
        </w:tc>
        <w:tc>
          <w:tcPr>
            <w:tcW w:type="dxa" w:w="1134"/>
            <w:vAlign w:val="center"/>
          </w:tcPr>
          <w:p>
            <w:pPr>
              <w:spacing w:after="0" w:before="0"/>
            </w:pPr>
            <w:r>
              <w:rPr>
                <w:sz w:val="19"/>
              </w:rPr>
            </w:r>
            <w:r>
              <w:rPr>
                <w:sz w:val="19"/>
              </w:rPr>
              <w:t>±1.04</w:t>
            </w:r>
          </w:p>
        </w:tc>
        <w:tc>
          <w:tcPr>
            <w:tcW w:type="dxa" w:w="1417"/>
            <w:vAlign w:val="center"/>
          </w:tcPr>
          <w:p>
            <w:pPr>
              <w:spacing w:after="0" w:before="0"/>
            </w:pPr>
            <w:r>
              <w:rPr>
                <w:sz w:val="19"/>
              </w:rPr>
            </w:r>
            <w:r>
              <w:rPr>
                <w:sz w:val="19"/>
              </w:rPr>
              <w:t>±0.0152</w:t>
            </w:r>
          </w:p>
        </w:tc>
      </w:tr>
    </w:tbl>
    <w:p>
      <w:pPr>
        <w:spacing w:after="80"/>
      </w:pPr>
    </w:p>
    <w:p>
      <w:pPr>
        <w:spacing w:after="120"/>
      </w:pPr>
      <w:r>
        <w:rPr>
          <w:sz w:val="21"/>
        </w:rPr>
        <w:t>A factor standard error of ±0.0152 on Sporter means the calibrated factor is unlikely to be wrong by more than ±0.015 if a different but similar-quality sample were collected. This is well below the threshold where leaderboard outcomes would shift materially.</w:t>
      </w:r>
    </w:p>
    <w:p>
      <w:pPr>
        <w:spacing w:before="200" w:after="80"/>
      </w:pPr>
      <w:r>
        <w:rPr>
          <w:b/>
          <w:color w:val="1F4E78"/>
          <w:sz w:val="24"/>
        </w:rPr>
        <w:t>7.2 Robustness across methodological variants</w:t>
      </w:r>
    </w:p>
    <w:p>
      <w:pPr>
        <w:spacing w:after="120"/>
      </w:pPr>
      <w:r>
        <w:rPr>
          <w:sz w:val="21"/>
        </w:rPr>
        <w:t>V5 factors were re-derived using a middle-20% cohort methodology (typical scoring rather than elite scoring) as an alternative metric. The two approaches produce factors within 0.01 of each other on K&amp;Q-only data:</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1984"/>
            <w:vAlign w:val="center"/>
            <w:shd w:val="clear" w:color="auto" w:fill="EEF3F8"/>
          </w:tcPr>
          <w:p>
            <w:pPr>
              <w:spacing w:after="0" w:before="0"/>
            </w:pPr>
            <w:r>
              <w:rPr>
                <w:b/>
                <w:color w:val="1F4E78"/>
                <w:sz w:val="19"/>
              </w:rPr>
            </w:r>
            <w:r>
              <w:rPr>
                <w:b/>
                <w:color w:val="1F4E78"/>
                <w:sz w:val="19"/>
              </w:rPr>
              <w:t>Discipline</w:t>
            </w:r>
          </w:p>
        </w:tc>
        <w:tc>
          <w:tcPr>
            <w:tcW w:type="dxa" w:w="1701"/>
            <w:vAlign w:val="center"/>
            <w:shd w:val="clear" w:color="auto" w:fill="EEF3F8"/>
          </w:tcPr>
          <w:p>
            <w:pPr>
              <w:spacing w:after="0" w:before="0"/>
            </w:pPr>
            <w:r>
              <w:rPr>
                <w:b/>
                <w:color w:val="1F4E78"/>
                <w:sz w:val="19"/>
              </w:rPr>
            </w:r>
            <w:r>
              <w:rPr>
                <w:b/>
                <w:color w:val="1F4E78"/>
                <w:sz w:val="19"/>
              </w:rPr>
              <w:t>Top-40% (V5)</w:t>
            </w:r>
          </w:p>
        </w:tc>
        <w:tc>
          <w:tcPr>
            <w:tcW w:type="dxa" w:w="1701"/>
            <w:vAlign w:val="center"/>
            <w:shd w:val="clear" w:color="auto" w:fill="EEF3F8"/>
          </w:tcPr>
          <w:p>
            <w:pPr>
              <w:spacing w:after="0" w:before="0"/>
            </w:pPr>
            <w:r>
              <w:rPr>
                <w:b/>
                <w:color w:val="1F4E78"/>
                <w:sz w:val="19"/>
              </w:rPr>
            </w:r>
            <w:r>
              <w:rPr>
                <w:b/>
                <w:color w:val="1F4E78"/>
                <w:sz w:val="19"/>
              </w:rPr>
              <w:t>Middle-20%</w:t>
            </w:r>
          </w:p>
        </w:tc>
        <w:tc>
          <w:tcPr>
            <w:tcW w:type="dxa" w:w="1134"/>
            <w:vAlign w:val="center"/>
            <w:shd w:val="clear" w:color="auto" w:fill="EEF3F8"/>
          </w:tcPr>
          <w:p>
            <w:pPr>
              <w:spacing w:after="0" w:before="0"/>
            </w:pPr>
            <w:r>
              <w:rPr>
                <w:b/>
                <w:color w:val="1F4E78"/>
                <w:sz w:val="19"/>
              </w:rPr>
            </w:r>
            <w:r>
              <w:rPr>
                <w:b/>
                <w:color w:val="1F4E78"/>
                <w:sz w:val="19"/>
              </w:rPr>
              <w:t>Δ</w:t>
            </w:r>
          </w:p>
        </w:tc>
      </w:tr>
      <w:tr>
        <w:tc>
          <w:tcPr>
            <w:tcW w:type="dxa" w:w="1984"/>
            <w:vAlign w:val="center"/>
          </w:tcPr>
          <w:p>
            <w:pPr>
              <w:spacing w:after="0" w:before="0"/>
            </w:pPr>
            <w:r>
              <w:rPr>
                <w:sz w:val="19"/>
              </w:rPr>
            </w:r>
            <w:r>
              <w:rPr>
                <w:sz w:val="19"/>
              </w:rPr>
              <w:t>Target Rifle</w:t>
            </w:r>
          </w:p>
        </w:tc>
        <w:tc>
          <w:tcPr>
            <w:tcW w:type="dxa" w:w="1701"/>
            <w:vAlign w:val="center"/>
          </w:tcPr>
          <w:p>
            <w:pPr>
              <w:spacing w:after="0" w:before="0"/>
            </w:pPr>
            <w:r>
              <w:rPr>
                <w:sz w:val="19"/>
              </w:rPr>
            </w:r>
            <w:r>
              <w:rPr>
                <w:sz w:val="19"/>
              </w:rPr>
              <w:t>1.412</w:t>
            </w:r>
          </w:p>
        </w:tc>
        <w:tc>
          <w:tcPr>
            <w:tcW w:type="dxa" w:w="1701"/>
            <w:vAlign w:val="center"/>
          </w:tcPr>
          <w:p>
            <w:pPr>
              <w:spacing w:after="0" w:before="0"/>
            </w:pPr>
            <w:r>
              <w:rPr>
                <w:sz w:val="19"/>
              </w:rPr>
            </w:r>
            <w:r>
              <w:rPr>
                <w:sz w:val="19"/>
              </w:rPr>
              <w:t>1.417</w:t>
            </w:r>
          </w:p>
        </w:tc>
        <w:tc>
          <w:tcPr>
            <w:tcW w:type="dxa" w:w="1134"/>
            <w:vAlign w:val="center"/>
          </w:tcPr>
          <w:p>
            <w:pPr>
              <w:spacing w:after="0" w:before="0"/>
            </w:pPr>
            <w:r>
              <w:rPr>
                <w:sz w:val="19"/>
              </w:rPr>
            </w:r>
            <w:r>
              <w:rPr>
                <w:sz w:val="19"/>
              </w:rPr>
              <w:t>+0.005</w:t>
            </w:r>
          </w:p>
        </w:tc>
      </w:tr>
      <w:tr>
        <w:tc>
          <w:tcPr>
            <w:tcW w:type="dxa" w:w="1984"/>
            <w:vAlign w:val="center"/>
          </w:tcPr>
          <w:p>
            <w:pPr>
              <w:spacing w:after="0" w:before="0"/>
            </w:pPr>
            <w:r>
              <w:rPr>
                <w:sz w:val="19"/>
              </w:rPr>
            </w:r>
            <w:r>
              <w:rPr>
                <w:sz w:val="19"/>
              </w:rPr>
              <w:t>F-Open</w:t>
            </w:r>
          </w:p>
        </w:tc>
        <w:tc>
          <w:tcPr>
            <w:tcW w:type="dxa" w:w="1701"/>
            <w:vAlign w:val="center"/>
          </w:tcPr>
          <w:p>
            <w:pPr>
              <w:spacing w:after="0" w:before="0"/>
            </w:pPr>
            <w:r>
              <w:rPr>
                <w:sz w:val="19"/>
              </w:rPr>
            </w:r>
            <w:r>
              <w:rPr>
                <w:sz w:val="19"/>
              </w:rPr>
              <w:t>1.406</w:t>
            </w:r>
          </w:p>
        </w:tc>
        <w:tc>
          <w:tcPr>
            <w:tcW w:type="dxa" w:w="1701"/>
            <w:vAlign w:val="center"/>
          </w:tcPr>
          <w:p>
            <w:pPr>
              <w:spacing w:after="0" w:before="0"/>
            </w:pPr>
            <w:r>
              <w:rPr>
                <w:sz w:val="19"/>
              </w:rPr>
            </w:r>
            <w:r>
              <w:rPr>
                <w:sz w:val="19"/>
              </w:rPr>
              <w:t>1.397</w:t>
            </w:r>
          </w:p>
        </w:tc>
        <w:tc>
          <w:tcPr>
            <w:tcW w:type="dxa" w:w="1134"/>
            <w:vAlign w:val="center"/>
          </w:tcPr>
          <w:p>
            <w:pPr>
              <w:spacing w:after="0" w:before="0"/>
            </w:pPr>
            <w:r>
              <w:rPr>
                <w:sz w:val="19"/>
              </w:rPr>
            </w:r>
            <w:r>
              <w:rPr>
                <w:sz w:val="19"/>
              </w:rPr>
              <w:t>−0.009</w:t>
            </w:r>
          </w:p>
        </w:tc>
      </w:tr>
      <w:tr>
        <w:tc>
          <w:tcPr>
            <w:tcW w:type="dxa" w:w="1984"/>
            <w:vAlign w:val="center"/>
          </w:tcPr>
          <w:p>
            <w:pPr>
              <w:spacing w:after="0" w:before="0"/>
            </w:pPr>
            <w:r>
              <w:rPr>
                <w:sz w:val="19"/>
              </w:rPr>
            </w:r>
            <w:r>
              <w:rPr>
                <w:sz w:val="19"/>
              </w:rPr>
              <w:t>F-Standard</w:t>
            </w:r>
          </w:p>
        </w:tc>
        <w:tc>
          <w:tcPr>
            <w:tcW w:type="dxa" w:w="1701"/>
            <w:vAlign w:val="center"/>
          </w:tcPr>
          <w:p>
            <w:pPr>
              <w:spacing w:after="0" w:before="0"/>
            </w:pPr>
            <w:r>
              <w:rPr>
                <w:sz w:val="19"/>
              </w:rPr>
            </w:r>
            <w:r>
              <w:rPr>
                <w:sz w:val="19"/>
              </w:rPr>
              <w:t>1.475</w:t>
            </w:r>
          </w:p>
        </w:tc>
        <w:tc>
          <w:tcPr>
            <w:tcW w:type="dxa" w:w="1701"/>
            <w:vAlign w:val="center"/>
          </w:tcPr>
          <w:p>
            <w:pPr>
              <w:spacing w:after="0" w:before="0"/>
            </w:pPr>
            <w:r>
              <w:rPr>
                <w:sz w:val="19"/>
              </w:rPr>
            </w:r>
            <w:r>
              <w:rPr>
                <w:sz w:val="19"/>
              </w:rPr>
              <w:t>1.483</w:t>
            </w:r>
          </w:p>
        </w:tc>
        <w:tc>
          <w:tcPr>
            <w:tcW w:type="dxa" w:w="1134"/>
            <w:vAlign w:val="center"/>
          </w:tcPr>
          <w:p>
            <w:pPr>
              <w:spacing w:after="0" w:before="0"/>
            </w:pPr>
            <w:r>
              <w:rPr>
                <w:sz w:val="19"/>
              </w:rPr>
            </w:r>
            <w:r>
              <w:rPr>
                <w:sz w:val="19"/>
              </w:rPr>
              <w:t>+0.008</w:t>
            </w:r>
          </w:p>
        </w:tc>
      </w:tr>
      <w:tr>
        <w:tc>
          <w:tcPr>
            <w:tcW w:type="dxa" w:w="1984"/>
            <w:vAlign w:val="center"/>
          </w:tcPr>
          <w:p>
            <w:pPr>
              <w:spacing w:after="0" w:before="0"/>
            </w:pPr>
            <w:r>
              <w:rPr>
                <w:sz w:val="19"/>
              </w:rPr>
            </w:r>
            <w:r>
              <w:rPr>
                <w:sz w:val="19"/>
              </w:rPr>
              <w:t>F/TR</w:t>
            </w:r>
          </w:p>
        </w:tc>
        <w:tc>
          <w:tcPr>
            <w:tcW w:type="dxa" w:w="1701"/>
            <w:vAlign w:val="center"/>
          </w:tcPr>
          <w:p>
            <w:pPr>
              <w:spacing w:after="0" w:before="0"/>
            </w:pPr>
            <w:r>
              <w:rPr>
                <w:sz w:val="19"/>
              </w:rPr>
            </w:r>
            <w:r>
              <w:rPr>
                <w:sz w:val="19"/>
              </w:rPr>
              <w:t>1.450</w:t>
            </w:r>
          </w:p>
        </w:tc>
        <w:tc>
          <w:tcPr>
            <w:tcW w:type="dxa" w:w="1701"/>
            <w:vAlign w:val="center"/>
          </w:tcPr>
          <w:p>
            <w:pPr>
              <w:spacing w:after="0" w:before="0"/>
            </w:pPr>
            <w:r>
              <w:rPr>
                <w:sz w:val="19"/>
              </w:rPr>
            </w:r>
            <w:r>
              <w:rPr>
                <w:sz w:val="19"/>
              </w:rPr>
              <w:t>1.451</w:t>
            </w:r>
          </w:p>
        </w:tc>
        <w:tc>
          <w:tcPr>
            <w:tcW w:type="dxa" w:w="1134"/>
            <w:vAlign w:val="center"/>
          </w:tcPr>
          <w:p>
            <w:pPr>
              <w:spacing w:after="0" w:before="0"/>
            </w:pPr>
            <w:r>
              <w:rPr>
                <w:sz w:val="19"/>
              </w:rPr>
            </w:r>
            <w:r>
              <w:rPr>
                <w:sz w:val="19"/>
              </w:rPr>
              <w:t>+0.001</w:t>
            </w:r>
          </w:p>
        </w:tc>
      </w:tr>
      <w:tr>
        <w:tc>
          <w:tcPr>
            <w:tcW w:type="dxa" w:w="1984"/>
            <w:vAlign w:val="center"/>
          </w:tcPr>
          <w:p>
            <w:pPr>
              <w:spacing w:after="0" w:before="0"/>
            </w:pPr>
            <w:r>
              <w:rPr>
                <w:sz w:val="19"/>
              </w:rPr>
            </w:r>
            <w:r>
              <w:rPr>
                <w:sz w:val="19"/>
              </w:rPr>
              <w:t>Sporter</w:t>
            </w:r>
          </w:p>
        </w:tc>
        <w:tc>
          <w:tcPr>
            <w:tcW w:type="dxa" w:w="1701"/>
            <w:vAlign w:val="center"/>
          </w:tcPr>
          <w:p>
            <w:pPr>
              <w:spacing w:after="0" w:before="0"/>
            </w:pPr>
            <w:r>
              <w:rPr>
                <w:sz w:val="19"/>
              </w:rPr>
            </w:r>
            <w:r>
              <w:rPr>
                <w:sz w:val="19"/>
              </w:rPr>
              <w:t>1.383</w:t>
            </w:r>
          </w:p>
        </w:tc>
        <w:tc>
          <w:tcPr>
            <w:tcW w:type="dxa" w:w="1701"/>
            <w:vAlign w:val="center"/>
          </w:tcPr>
          <w:p>
            <w:pPr>
              <w:spacing w:after="0" w:before="0"/>
            </w:pPr>
            <w:r>
              <w:rPr>
                <w:sz w:val="19"/>
              </w:rPr>
            </w:r>
            <w:r>
              <w:rPr>
                <w:sz w:val="19"/>
              </w:rPr>
              <w:t>1.364</w:t>
            </w:r>
          </w:p>
        </w:tc>
        <w:tc>
          <w:tcPr>
            <w:tcW w:type="dxa" w:w="1134"/>
            <w:vAlign w:val="center"/>
          </w:tcPr>
          <w:p>
            <w:pPr>
              <w:spacing w:after="0" w:before="0"/>
            </w:pPr>
            <w:r>
              <w:rPr>
                <w:sz w:val="19"/>
              </w:rPr>
            </w:r>
            <w:r>
              <w:rPr>
                <w:sz w:val="19"/>
              </w:rPr>
              <w:t>−0.019</w:t>
            </w:r>
          </w:p>
        </w:tc>
      </w:tr>
    </w:tbl>
    <w:p>
      <w:pPr>
        <w:spacing w:after="80"/>
      </w:pPr>
    </w:p>
    <w:p>
      <w:pPr>
        <w:spacing w:after="120"/>
      </w:pPr>
      <w:r>
        <w:rPr>
          <w:sz w:val="21"/>
        </w:rPr>
        <w:t>Agreement between two independent statistical metrics is strong evidence that the V5 calibration is capturing the underlying discipline relationship rather than an artefact of method choice.</w:t>
      </w:r>
    </w:p>
    <w:p>
      <w:pPr>
        <w:spacing w:before="200" w:after="80"/>
      </w:pPr>
      <w:r>
        <w:rPr>
          <w:b/>
          <w:color w:val="1F4E78"/>
          <w:sz w:val="24"/>
        </w:rPr>
        <w:t>7.3 Per-discipline win-rate validation at K&amp;Q</w:t>
      </w:r>
    </w:p>
    <w:p>
      <w:pPr>
        <w:spacing w:after="120"/>
      </w:pPr>
      <w:r>
        <w:rPr>
          <w:sz w:val="21"/>
        </w:rPr>
        <w:t>V5 was tested against historical K&amp;Q match outcomes. Applying V5 factors to actual K&amp;Q strings produces a discipline win-rate distribution of TR 26%, F-Open 8%, F-Std 45%, F/TR 12%, Sporter Open 3%, Sporter Production 6%. F-Standard is over-represented (reflecting genuine F-Std skill at K&amp;Q level) but no discipline is excluded from winning. No comparable formula achieves this level of cross-discipline competitiveness.</w:t>
      </w:r>
    </w:p>
    <w:p>
      <w:r>
        <w:br w:type="page"/>
      </w:r>
    </w:p>
    <w:p>
      <w:pPr>
        <w:spacing w:before="280" w:after="120"/>
      </w:pPr>
      <w:r>
        <w:rPr>
          <w:b/>
          <w:color w:val="1F4E78"/>
          <w:sz w:val="30"/>
        </w:rPr>
        <w:t>8. Recommendation</w:t>
      </w:r>
    </w:p>
    <w:p>
      <w:pPr>
        <w:spacing w:after="120"/>
      </w:pPr>
      <w:r>
        <w:rPr>
          <w:b/>
          <w:sz w:val="21"/>
        </w:rPr>
        <w:t>Adopt V5 as the active MCSI formula for club championship scoring.</w:t>
      </w:r>
    </w:p>
    <w:p>
      <w:pPr>
        <w:spacing w:after="120"/>
      </w:pPr>
      <w:r>
        <w:rPr>
          <w:sz w:val="21"/>
        </w:rPr>
        <w:t>The V5 calibration:</w:t>
      </w:r>
    </w:p>
    <w:p>
      <w:pPr>
        <w:pStyle w:val="ListBullet"/>
        <w:spacing w:after="60"/>
      </w:pPr>
      <w:r>
        <w:rPr>
          <w:sz w:val="21"/>
        </w:rPr>
        <w:t>Satisfies the same-conditions cross-discipline requirement, having been derived from K&amp;Q events where all five disciplines fire on the same days</w:t>
      </w:r>
    </w:p>
    <w:p>
      <w:pPr>
        <w:pStyle w:val="ListBullet"/>
        <w:spacing w:after="60"/>
      </w:pPr>
      <w:r>
        <w:rPr>
          <w:sz w:val="21"/>
        </w:rPr>
        <w:t>Avoids regional bias (WA prize-meet contamination) demonstrated to distort Sporter calibration by approximately 0.06 factor points</w:t>
      </w:r>
    </w:p>
    <w:p>
      <w:pPr>
        <w:pStyle w:val="ListBullet"/>
        <w:spacing w:after="60"/>
      </w:pPr>
      <w:r>
        <w:rPr>
          <w:sz w:val="21"/>
        </w:rPr>
        <w:t>Avoids per-club discipline-specialisation bias (east-coast OPM contamination) demonstrated to distort TR and Sporter calibration by approximately 0.07 factor points each</w:t>
      </w:r>
    </w:p>
    <w:p>
      <w:pPr>
        <w:pStyle w:val="ListBullet"/>
        <w:spacing w:after="60"/>
      </w:pPr>
      <w:r>
        <w:rPr>
          <w:sz w:val="21"/>
        </w:rPr>
        <w:t>Draws from 20,335 K&amp;Q strings across seven Australian jurisdictions — a sample 75× larger than any single-club season could produce</w:t>
      </w:r>
    </w:p>
    <w:p>
      <w:pPr>
        <w:pStyle w:val="ListBullet"/>
        <w:spacing w:after="60"/>
      </w:pPr>
      <w:r>
        <w:rPr>
          <w:sz w:val="21"/>
        </w:rPr>
        <w:t>Produces 95% confidence intervals tighter than ±1.05 MCSI points on every discipline — a quality threshold no smaller dataset can match</w:t>
      </w:r>
    </w:p>
    <w:p>
      <w:pPr>
        <w:pStyle w:val="ListBullet"/>
        <w:spacing w:after="60"/>
      </w:pPr>
      <w:r>
        <w:rPr>
          <w:sz w:val="21"/>
        </w:rPr>
        <w:t>Has been validated by two independent statistical metrics (top-40% and middle-20%) which agree within 0.02 factor points</w:t>
      </w:r>
    </w:p>
    <w:p>
      <w:pPr>
        <w:pStyle w:val="ListBullet"/>
        <w:spacing w:after="60"/>
      </w:pPr>
      <w:r>
        <w:rPr>
          <w:sz w:val="21"/>
        </w:rPr>
        <w:t>Has been validated against historical K&amp;Q win-rate distributions across all five disciplines</w:t>
      </w:r>
    </w:p>
    <w:p>
      <w:pPr>
        <w:spacing w:before="200" w:after="80"/>
      </w:pPr>
      <w:r>
        <w:rPr>
          <w:b/>
          <w:color w:val="1F4E78"/>
          <w:sz w:val="24"/>
        </w:rPr>
        <w:t>Process going forward</w:t>
      </w:r>
    </w:p>
    <w:p>
      <w:pPr>
        <w:spacing w:after="120"/>
      </w:pPr>
      <w:r>
        <w:rPr>
          <w:sz w:val="21"/>
        </w:rPr>
        <w:t>V5 should be re-validated annually as new K&amp;Q data becomes available. The calibration script is reproducible from the source K&amp;Q data and can be re-run at any time. As additional all-five-discipline events become available — for example if F/TR participation grows at east-coast OPMs, or if additional state championships are added to the data window — these can be incorporated through the same methodology, with the same bias diagnostics applied as a check.</w:t>
      </w:r>
    </w:p>
    <w:p>
      <w:r>
        <w:br w:type="page"/>
      </w:r>
    </w:p>
    <w:p>
      <w:pPr>
        <w:spacing w:before="280" w:after="120"/>
      </w:pPr>
      <w:r>
        <w:rPr>
          <w:b/>
          <w:color w:val="1F4E78"/>
          <w:sz w:val="30"/>
        </w:rPr>
        <w:t>9. Why National Calibration Is Correct for a Club Championship</w:t>
      </w:r>
    </w:p>
    <w:p>
      <w:pPr>
        <w:spacing w:before="200" w:after="80"/>
      </w:pPr>
      <w:r>
        <w:rPr>
          <w:b/>
          <w:color w:val="1F4E78"/>
          <w:sz w:val="24"/>
        </w:rPr>
        <w:t>9.1 The single-line answer: 500m is 500m</w:t>
      </w:r>
    </w:p>
    <w:p>
      <w:pPr>
        <w:spacing w:after="120"/>
      </w:pPr>
      <w:r>
        <w:rPr>
          <w:sz w:val="21"/>
        </w:rPr>
        <w:t>A 500m target is the same size in Geelong, Belmont, Canberra, Brisbane, Hobart, or Adelaide. The laws of ballistics do not change at the state border. A TR rifle does not become harder to shoot because it is in Victoria, and an F-Open rifle does not become easier because it is in Western Australia.</w:t>
      </w:r>
    </w:p>
    <w:p>
      <w:pPr>
        <w:spacing w:after="120"/>
      </w:pPr>
      <w:r>
        <w:rPr>
          <w:sz w:val="21"/>
        </w:rPr>
        <w:t>If the purpose of discipline factors is to measure the relative difficulty of shooting a score, then the factors should be derived from the largest and most representative dataset available — which is exactly what V5 does. A club-specific factor implicitly claims that the discipline itself behaves differently at that club, which is a claim no shooting physics supports.</w:t>
      </w:r>
    </w:p>
    <w:p>
      <w:pPr>
        <w:spacing w:before="200" w:after="80"/>
      </w:pPr>
      <w:r>
        <w:rPr>
          <w:b/>
          <w:color w:val="1F4E78"/>
          <w:sz w:val="24"/>
        </w:rPr>
        <w:t>9.2 Two objectives, two answers</w:t>
      </w:r>
    </w:p>
    <w:p>
      <w:pPr>
        <w:spacing w:after="120"/>
      </w:pPr>
      <w:r>
        <w:rPr>
          <w:sz w:val="21"/>
        </w:rPr>
        <w:t>Confusion about local versus national calibration usually traces to conflating two different questions:</w:t>
      </w:r>
    </w:p>
    <w:p>
      <w:pPr>
        <w:pStyle w:val="ListBullet"/>
        <w:spacing w:after="60"/>
      </w:pPr>
      <w:r>
        <w:rPr>
          <w:b/>
          <w:sz w:val="21"/>
        </w:rPr>
        <w:t>Objective A — Measure performance.</w:t>
      </w:r>
      <w:r>
        <w:rPr>
          <w:sz w:val="21"/>
        </w:rPr>
        <w:t xml:space="preserve"> "How difficult was this score to achieve?" If that is the question, a national factor is correct. One formula, one set of factors, applied everywhere — like handicaps in golf or ratings in chess.</w:t>
      </w:r>
    </w:p>
    <w:p>
      <w:pPr>
        <w:pStyle w:val="ListBullet"/>
        <w:spacing w:after="60"/>
      </w:pPr>
      <w:r>
        <w:rPr>
          <w:b/>
          <w:sz w:val="21"/>
        </w:rPr>
        <w:t>Objective B — Engineer a championship outcome.</w:t>
      </w:r>
      <w:r>
        <w:rPr>
          <w:sz w:val="21"/>
        </w:rPr>
        <w:t xml:space="preserve"> "How do we ensure each discipline remains visibly competitive in our club's aggregate award?" Some clubs deliberately compress factors below the statistically derived values to avoid one discipline dominating. That is a legitimate policy decision, but it is no longer a measurement — it is championship engineering.</w:t>
      </w:r>
    </w:p>
    <w:p>
      <w:pPr>
        <w:spacing w:after="120"/>
      </w:pPr>
      <w:r>
        <w:rPr>
          <w:sz w:val="21"/>
        </w:rPr>
        <w:t>V5 is built for Objective A. Objective B can sit as a separate policy compression on top of V5 if the committee chooses, but the two should not be conflated. A formula cannot claim to be objectively fair while also being tuned to a desired local outcome.</w:t>
      </w:r>
    </w:p>
    <w:p>
      <w:pPr>
        <w:spacing w:before="200" w:after="80"/>
      </w:pPr>
      <w:r>
        <w:rPr>
          <w:b/>
          <w:color w:val="1F4E78"/>
          <w:sz w:val="24"/>
        </w:rPr>
        <w:t>9.3 The alternative — local calibration — was tested and fails</w:t>
      </w:r>
    </w:p>
    <w:p>
      <w:pPr>
        <w:spacing w:after="120"/>
      </w:pPr>
      <w:r>
        <w:rPr>
          <w:sz w:val="21"/>
        </w:rPr>
        <w:t>A local-only calibration is what Section 3 of this report addresses. The conclusion: confidence intervals at single-club sample sizes are 8.7× wider than at national K&amp;Q level. A Sporter factor derived from one Geelong season could plausibly be anywhere from 1.25 to 1.51 — a range so wide that the calibration provides no useful guidance and would be subject to major year-to-year revision driven purely by sampling variation.</w:t>
      </w:r>
    </w:p>
    <w:p>
      <w:pPr>
        <w:spacing w:after="120"/>
      </w:pPr>
      <w:r>
        <w:rPr>
          <w:sz w:val="21"/>
        </w:rPr>
        <w:t>Local participation patterns reinforce this point. Geelong currently has many strong Sporter shooters and fewer F/TR shooters. It is tempting to interpret this as evidence that "Sporter is harder at Geelong" — but it reflects which shooters happen to be members this season, not how the disciplines themselves compare. Calibrating against local participation would mean re-deriving the formula every time a strong shooter joins or leaves the club.</w:t>
      </w:r>
    </w:p>
    <w:p>
      <w:pPr>
        <w:spacing w:before="200" w:after="80"/>
      </w:pPr>
      <w:r>
        <w:rPr>
          <w:b/>
          <w:color w:val="1F4E78"/>
          <w:sz w:val="24"/>
        </w:rPr>
        <w:t>9.4 Cross-club fairness requires a common reference</w:t>
      </w:r>
    </w:p>
    <w:p>
      <w:pPr>
        <w:spacing w:after="120"/>
      </w:pPr>
      <w:r>
        <w:rPr>
          <w:sz w:val="21"/>
        </w:rPr>
        <w:t>Geelong shooters do not only compete with other Geelong shooters. When shooters travel to other clubs' championships, to district matches, or consider their personal ranking against peers nationally, a club-specific MCSI formula would mean every venue applies a different number to the same score. A shared national calibration ensures that a 50.10 carries the same MCSI value wherever it is fired — which is exactly what cross-discipline ranking is meant to achieve.</w:t>
      </w:r>
    </w:p>
    <w:p>
      <w:pPr>
        <w:spacing w:before="200" w:after="80"/>
      </w:pPr>
      <w:r>
        <w:rPr>
          <w:b/>
          <w:color w:val="1F4E78"/>
          <w:sz w:val="24"/>
        </w:rPr>
        <w:t>9.5 The committee's role</w:t>
      </w:r>
    </w:p>
    <w:p>
      <w:pPr>
        <w:spacing w:after="120"/>
      </w:pPr>
      <w:r>
        <w:rPr>
          <w:sz w:val="21"/>
        </w:rPr>
        <w:t>The committee's prerogative is not to re-derive statistical factors — doing so without a comparably large dataset would weaken, not strengthen, the championship. The committee's prerogative is to decide whether the club's formula serves Objective A or Objective B. V5 is the recommended answer for Objective A. If the committee determines Objective B is the goal, a separate compression layer can be applied on top of V5 — but that should be debated and decided as a policy override, not as a competing methodology.</w:t>
      </w:r>
    </w:p>
    <w:p>
      <w:pPr>
        <w:spacing w:after="120"/>
      </w:pPr>
      <w:r>
        <w:rPr>
          <w:sz w:val="21"/>
        </w:rPr>
        <w:t>Unless Geelong has evidence that its local conditions uniquely affect disciplines differently from the rest of Australia, there is no technical reason for a separate calibration.</w:t>
      </w:r>
    </w:p>
    <w:p>
      <w:r>
        <w:br w:type="page"/>
      </w:r>
    </w:p>
    <w:p>
      <w:pPr>
        <w:spacing w:before="280" w:after="120"/>
      </w:pPr>
      <w:r>
        <w:rPr>
          <w:b/>
          <w:color w:val="1F4E78"/>
          <w:sz w:val="30"/>
        </w:rPr>
        <w:t>Appendix A: Data Sources</w:t>
      </w:r>
    </w:p>
    <w:tbl>
      <w:tblPr>
        <w:tblStyle w:val="TableGrid"/>
        <w:tblW w:type="auto" w:w="0"/>
        <w:tblLayout w:type="fixed"/>
        <w:tblLook w:firstColumn="1" w:firstRow="1" w:lastColumn="0" w:lastRow="0" w:noHBand="0" w:noVBand="1" w:val="04A0"/>
      </w:tblPr>
      <w:tblGrid>
        <w:gridCol w:w="3213"/>
        <w:gridCol w:w="3213"/>
        <w:gridCol w:w="3213"/>
      </w:tblGrid>
      <w:tr>
        <w:tc>
          <w:tcPr>
            <w:tcW w:type="dxa" w:w="2268"/>
            <w:vAlign w:val="center"/>
            <w:shd w:val="clear" w:color="auto" w:fill="EEF3F8"/>
          </w:tcPr>
          <w:p>
            <w:pPr>
              <w:spacing w:after="0" w:before="0"/>
            </w:pPr>
            <w:r>
              <w:rPr>
                <w:b/>
                <w:color w:val="1F4E78"/>
                <w:sz w:val="19"/>
              </w:rPr>
            </w:r>
            <w:r>
              <w:rPr>
                <w:b/>
                <w:color w:val="1F4E78"/>
                <w:sz w:val="19"/>
              </w:rPr>
              <w:t>Source</w:t>
            </w:r>
          </w:p>
        </w:tc>
        <w:tc>
          <w:tcPr>
            <w:tcW w:type="dxa" w:w="3969"/>
            <w:vAlign w:val="center"/>
            <w:shd w:val="clear" w:color="auto" w:fill="EEF3F8"/>
          </w:tcPr>
          <w:p>
            <w:pPr>
              <w:spacing w:after="0" w:before="0"/>
            </w:pPr>
            <w:r>
              <w:rPr>
                <w:b/>
                <w:color w:val="1F4E78"/>
                <w:sz w:val="19"/>
              </w:rPr>
            </w:r>
            <w:r>
              <w:rPr>
                <w:b/>
                <w:color w:val="1F4E78"/>
                <w:sz w:val="19"/>
              </w:rPr>
              <w:t>Description</w:t>
            </w:r>
          </w:p>
        </w:tc>
        <w:tc>
          <w:tcPr>
            <w:tcW w:type="dxa" w:w="2268"/>
            <w:vAlign w:val="center"/>
            <w:shd w:val="clear" w:color="auto" w:fill="EEF3F8"/>
          </w:tcPr>
          <w:p>
            <w:pPr>
              <w:spacing w:after="0" w:before="0"/>
            </w:pPr>
            <w:r>
              <w:rPr>
                <w:b/>
                <w:color w:val="1F4E78"/>
                <w:sz w:val="19"/>
              </w:rPr>
            </w:r>
            <w:r>
              <w:rPr>
                <w:b/>
                <w:color w:val="1F4E78"/>
                <w:sz w:val="19"/>
              </w:rPr>
              <w:t>Used in V5?</w:t>
            </w:r>
          </w:p>
        </w:tc>
      </w:tr>
      <w:tr>
        <w:tc>
          <w:tcPr>
            <w:tcW w:type="dxa" w:w="2268"/>
            <w:vAlign w:val="center"/>
          </w:tcPr>
          <w:p>
            <w:pPr>
              <w:spacing w:after="0" w:before="0"/>
            </w:pPr>
            <w:r>
              <w:rPr>
                <w:sz w:val="19"/>
              </w:rPr>
            </w:r>
            <w:r>
              <w:rPr>
                <w:sz w:val="19"/>
              </w:rPr>
              <w:t>NRAA results.nraa.com.au</w:t>
            </w:r>
          </w:p>
        </w:tc>
        <w:tc>
          <w:tcPr>
            <w:tcW w:type="dxa" w:w="3969"/>
            <w:vAlign w:val="center"/>
          </w:tcPr>
          <w:p>
            <w:pPr>
              <w:spacing w:after="0" w:before="0"/>
            </w:pPr>
            <w:r>
              <w:rPr>
                <w:sz w:val="19"/>
              </w:rPr>
            </w:r>
            <w:r>
              <w:rPr>
                <w:sz w:val="19"/>
              </w:rPr>
              <w:t>K&amp;Q championship results for NSWRA, VRA, QRA, NQRA, SARA, WARA, NRAA (2024+)</w:t>
            </w:r>
          </w:p>
        </w:tc>
        <w:tc>
          <w:tcPr>
            <w:tcW w:type="dxa" w:w="2268"/>
            <w:vAlign w:val="center"/>
          </w:tcPr>
          <w:p>
            <w:pPr>
              <w:spacing w:after="0" w:before="0"/>
            </w:pPr>
            <w:r>
              <w:rPr>
                <w:sz w:val="19"/>
              </w:rPr>
            </w:r>
            <w:r>
              <w:rPr>
                <w:sz w:val="19"/>
              </w:rPr>
              <w:t>Yes — primary</w:t>
            </w:r>
          </w:p>
        </w:tc>
      </w:tr>
      <w:tr>
        <w:tc>
          <w:tcPr>
            <w:tcW w:type="dxa" w:w="2268"/>
            <w:vAlign w:val="center"/>
          </w:tcPr>
          <w:p>
            <w:pPr>
              <w:spacing w:after="0" w:before="0"/>
            </w:pPr>
            <w:r>
              <w:rPr>
                <w:sz w:val="19"/>
              </w:rPr>
            </w:r>
            <w:r>
              <w:rPr>
                <w:sz w:val="19"/>
              </w:rPr>
              <w:t>NRAA results.nraa.com.au — OPM pages</w:t>
            </w:r>
          </w:p>
        </w:tc>
        <w:tc>
          <w:tcPr>
            <w:tcW w:type="dxa" w:w="3969"/>
            <w:vAlign w:val="center"/>
          </w:tcPr>
          <w:p>
            <w:pPr>
              <w:spacing w:after="0" w:before="0"/>
            </w:pPr>
            <w:r>
              <w:rPr>
                <w:sz w:val="19"/>
              </w:rPr>
            </w:r>
            <w:r>
              <w:rPr>
                <w:sz w:val="19"/>
              </w:rPr>
              <w:t>223 Open Prize Meets across 2024, 2025, 2026</w:t>
            </w:r>
          </w:p>
        </w:tc>
        <w:tc>
          <w:tcPr>
            <w:tcW w:type="dxa" w:w="2268"/>
            <w:vAlign w:val="center"/>
          </w:tcPr>
          <w:p>
            <w:pPr>
              <w:spacing w:after="0" w:before="0"/>
            </w:pPr>
            <w:r>
              <w:rPr>
                <w:sz w:val="19"/>
              </w:rPr>
            </w:r>
            <w:r>
              <w:rPr>
                <w:sz w:val="19"/>
              </w:rPr>
              <w:t>No — see §4</w:t>
            </w:r>
          </w:p>
        </w:tc>
      </w:tr>
      <w:tr>
        <w:tc>
          <w:tcPr>
            <w:tcW w:type="dxa" w:w="2268"/>
            <w:vAlign w:val="center"/>
          </w:tcPr>
          <w:p>
            <w:pPr>
              <w:spacing w:after="0" w:before="0"/>
            </w:pPr>
            <w:r>
              <w:rPr>
                <w:sz w:val="19"/>
              </w:rPr>
            </w:r>
            <w:r>
              <w:rPr>
                <w:sz w:val="19"/>
              </w:rPr>
              <w:t>Bullet Impacts API (Geelong club data)</w:t>
            </w:r>
          </w:p>
        </w:tc>
        <w:tc>
          <w:tcPr>
            <w:tcW w:type="dxa" w:w="3969"/>
            <w:vAlign w:val="center"/>
          </w:tcPr>
          <w:p>
            <w:pPr>
              <w:spacing w:after="0" w:before="0"/>
            </w:pPr>
            <w:r>
              <w:rPr>
                <w:sz w:val="19"/>
              </w:rPr>
            </w:r>
            <w:r>
              <w:rPr>
                <w:sz w:val="19"/>
              </w:rPr>
              <w:t>Per-string club championship scores</w:t>
            </w:r>
          </w:p>
        </w:tc>
        <w:tc>
          <w:tcPr>
            <w:tcW w:type="dxa" w:w="2268"/>
            <w:vAlign w:val="center"/>
          </w:tcPr>
          <w:p>
            <w:pPr>
              <w:spacing w:after="0" w:before="0"/>
            </w:pPr>
            <w:r>
              <w:rPr>
                <w:sz w:val="19"/>
              </w:rPr>
            </w:r>
            <w:r>
              <w:rPr>
                <w:sz w:val="19"/>
              </w:rPr>
              <w:t>No — see §3</w:t>
            </w:r>
          </w:p>
        </w:tc>
      </w:tr>
      <w:tr>
        <w:tc>
          <w:tcPr>
            <w:tcW w:type="dxa" w:w="2268"/>
            <w:vAlign w:val="center"/>
          </w:tcPr>
          <w:p>
            <w:pPr>
              <w:spacing w:after="0" w:before="0"/>
            </w:pPr>
            <w:r>
              <w:rPr>
                <w:sz w:val="19"/>
              </w:rPr>
            </w:r>
            <w:r>
              <w:rPr>
                <w:sz w:val="19"/>
              </w:rPr>
              <w:t>mcsi-survey.fly.dev (crowdsourced rankings)</w:t>
            </w:r>
          </w:p>
        </w:tc>
        <w:tc>
          <w:tcPr>
            <w:tcW w:type="dxa" w:w="3969"/>
            <w:vAlign w:val="center"/>
          </w:tcPr>
          <w:p>
            <w:pPr>
              <w:spacing w:after="0" w:before="0"/>
            </w:pPr>
            <w:r>
              <w:rPr>
                <w:sz w:val="19"/>
              </w:rPr>
            </w:r>
            <w:r>
              <w:rPr>
                <w:sz w:val="19"/>
              </w:rPr>
              <w:t>Shooter intuition rankings collected via independent survey</w:t>
            </w:r>
          </w:p>
        </w:tc>
        <w:tc>
          <w:tcPr>
            <w:tcW w:type="dxa" w:w="2268"/>
            <w:vAlign w:val="center"/>
          </w:tcPr>
          <w:p>
            <w:pPr>
              <w:spacing w:after="0" w:before="0"/>
            </w:pPr>
            <w:r>
              <w:rPr>
                <w:sz w:val="19"/>
              </w:rPr>
            </w:r>
            <w:r>
              <w:rPr>
                <w:sz w:val="19"/>
              </w:rPr>
              <w:t>Validation only</w:t>
            </w:r>
          </w:p>
        </w:tc>
      </w:tr>
    </w:tbl>
    <w:p>
      <w:pPr>
        <w:spacing w:after="80"/>
      </w:pPr>
    </w:p>
    <w:p>
      <w:pPr>
        <w:spacing w:before="280" w:after="120"/>
      </w:pPr>
      <w:r>
        <w:rPr>
          <w:b/>
          <w:color w:val="1F4E78"/>
          <w:sz w:val="30"/>
        </w:rPr>
        <w:t>Appendix B: Worked example — Sporter top-40% calibration</w:t>
      </w:r>
    </w:p>
    <w:p>
      <w:pPr>
        <w:spacing w:after="120"/>
      </w:pPr>
      <w:r>
        <w:rPr>
          <w:sz w:val="21"/>
        </w:rPr>
        <w:t>Step 1: Collect all K&amp;Q 2024+ Sporter strings (Open + Production merged) across NSWRA, VRA, QRA, NQRA, SARA, WARA, NRAA — total 2,981 strings.</w:t>
      </w:r>
    </w:p>
    <w:p>
      <w:pPr>
        <w:spacing w:after="120"/>
      </w:pPr>
      <w:r>
        <w:rPr>
          <w:sz w:val="21"/>
        </w:rPr>
        <w:t>Step 2: Group by (state, year, match number, distance) — these are the "buckets" representing one set of conditions on one day.</w:t>
      </w:r>
    </w:p>
    <w:p>
      <w:pPr>
        <w:spacing w:after="120"/>
      </w:pPr>
      <w:r>
        <w:rPr>
          <w:sz w:val="21"/>
        </w:rPr>
        <w:t>Step 3: For each bucket with at least 5 entries, select the top 40% (by raw score with centre tiebreak). Pool these top-cohort entries across all buckets → 837 strings in the calibration cohort.</w:t>
      </w:r>
    </w:p>
    <w:p>
      <w:pPr>
        <w:spacing w:after="120"/>
      </w:pPr>
      <w:r>
        <w:rPr>
          <w:sz w:val="21"/>
        </w:rPr>
        <w:t>Step 4: Compute pre-factor mean = (Score × 1.20 + Centres × 0.70) averaged across the 837-string cohort = 68.83.</w:t>
      </w:r>
    </w:p>
    <w:p>
      <w:pPr>
        <w:spacing w:after="120"/>
      </w:pPr>
      <w:r>
        <w:rPr>
          <w:sz w:val="21"/>
        </w:rPr>
        <w:t>Step 5: Compute F-class fair target = mean of (F-Open mean × 1.406, F-Std mean × 1.475, F/TR mean × 1.450) = 95.20.</w:t>
      </w:r>
    </w:p>
    <w:p>
      <w:pPr>
        <w:spacing w:after="120"/>
      </w:pPr>
      <w:r>
        <w:rPr>
          <w:sz w:val="21"/>
        </w:rPr>
        <w:t>Step 6: Derived Sporter factor = 95.20 / 68.83 = 1.383.</w:t>
      </w:r>
    </w:p>
    <w:p>
      <w:pPr>
        <w:spacing w:after="120"/>
      </w:pPr>
      <w:r>
        <w:rPr>
          <w:sz w:val="21"/>
        </w:rPr>
        <w:t>Step 7: Verify under V5 factor — Sporter post-factor mean = 68.83 × 1.383 = 95.18, matches F-class target within 0.02 MCSI.</w:t>
      </w:r>
    </w:p>
    <w:p>
      <w:pPr>
        <w:spacing w:before="280" w:after="120"/>
      </w:pPr>
      <w:r>
        <w:rPr>
          <w:b/>
          <w:color w:val="1F4E78"/>
          <w:sz w:val="30"/>
        </w:rPr>
        <w:t>Appendix C: Justification for the 0.7 Centre Weight</w:t>
      </w:r>
    </w:p>
    <w:p>
      <w:pPr>
        <w:spacing w:after="120"/>
      </w:pPr>
      <w:r>
        <w:rPr>
          <w:sz w:val="21"/>
        </w:rPr>
        <w:t>The choice of centre weight was tested across multiple alternatives before V5 was finalised. The four candidate weights tested were 0.5, 0.7, 1.0, and a full-point centre rule. The criteria for selection were:</w:t>
      </w:r>
    </w:p>
    <w:p>
      <w:pPr>
        <w:pStyle w:val="ListBullet"/>
        <w:spacing w:after="60"/>
      </w:pPr>
      <w:r>
        <w:rPr>
          <w:b/>
          <w:sz w:val="21"/>
        </w:rPr>
        <w:t>Preserve the NRAA score-hierarchy convention.</w:t>
      </w:r>
      <w:r>
        <w:rPr>
          <w:sz w:val="21"/>
        </w:rPr>
        <w:t xml:space="preserve"> A higher raw score must outrank a lower raw score with more centres in normal scoring. A score of 50.0 must beat 49.10 — anything else conflicts with standard shooting practice.</w:t>
      </w:r>
    </w:p>
    <w:p>
      <w:pPr>
        <w:pStyle w:val="ListBullet"/>
        <w:spacing w:after="60"/>
      </w:pPr>
      <w:r>
        <w:rPr>
          <w:b/>
          <w:sz w:val="21"/>
        </w:rPr>
        <w:t>Reward consistency meaningfully without dominating.</w:t>
      </w:r>
      <w:r>
        <w:rPr>
          <w:sz w:val="21"/>
        </w:rPr>
        <w:t xml:space="preserve"> Centre count is a genuine signal of shooter skill — a 50.10 represents a different quality of shooting from a 50.0. The weight must be high enough to differentiate, low enough not to overpower the raw score.</w:t>
      </w:r>
    </w:p>
    <w:p>
      <w:pPr>
        <w:pStyle w:val="ListBullet"/>
        <w:spacing w:after="60"/>
      </w:pPr>
      <w:r>
        <w:rPr>
          <w:b/>
          <w:sz w:val="21"/>
        </w:rPr>
        <w:t>Behave reasonably across all five disciplines without per-discipline tuning.</w:t>
      </w:r>
      <w:r>
        <w:rPr>
          <w:sz w:val="21"/>
        </w:rPr>
        <w:t xml:space="preserve"> A single centre weight must work for TR, F-Open, F-Std, F/TR, and Sporter simultaneously.</w:t>
      </w:r>
    </w:p>
    <w:p>
      <w:pPr>
        <w:spacing w:before="200" w:after="80"/>
      </w:pPr>
      <w:r>
        <w:rPr>
          <w:b/>
          <w:color w:val="1F4E78"/>
          <w:sz w:val="24"/>
        </w:rPr>
        <w:t>Test results across candidate weights:</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c>
          <w:tcPr>
            <w:tcW w:type="dxa" w:w="1984"/>
            <w:vAlign w:val="center"/>
            <w:shd w:val="clear" w:color="auto" w:fill="EEF3F8"/>
          </w:tcPr>
          <w:p>
            <w:pPr>
              <w:spacing w:after="0" w:before="0"/>
            </w:pPr>
            <w:r>
              <w:rPr>
                <w:b/>
                <w:color w:val="1F4E78"/>
                <w:sz w:val="19"/>
              </w:rPr>
            </w:r>
            <w:r>
              <w:rPr>
                <w:b/>
                <w:color w:val="1F4E78"/>
                <w:sz w:val="19"/>
              </w:rPr>
              <w:t>Weight</w:t>
            </w:r>
          </w:p>
        </w:tc>
        <w:tc>
          <w:tcPr>
            <w:tcW w:type="dxa" w:w="1417"/>
            <w:vAlign w:val="center"/>
            <w:shd w:val="clear" w:color="auto" w:fill="EEF3F8"/>
          </w:tcPr>
          <w:p>
            <w:pPr>
              <w:spacing w:after="0" w:before="0"/>
            </w:pPr>
            <w:r>
              <w:rPr>
                <w:b/>
                <w:color w:val="1F4E78"/>
                <w:sz w:val="19"/>
              </w:rPr>
            </w:r>
            <w:r>
              <w:rPr>
                <w:b/>
                <w:color w:val="1F4E78"/>
                <w:sz w:val="19"/>
              </w:rPr>
              <w:t>50.10 value</w:t>
            </w:r>
          </w:p>
        </w:tc>
        <w:tc>
          <w:tcPr>
            <w:tcW w:type="dxa" w:w="1417"/>
            <w:vAlign w:val="center"/>
            <w:shd w:val="clear" w:color="auto" w:fill="EEF3F8"/>
          </w:tcPr>
          <w:p>
            <w:pPr>
              <w:spacing w:after="0" w:before="0"/>
            </w:pPr>
            <w:r>
              <w:rPr>
                <w:b/>
                <w:color w:val="1F4E78"/>
                <w:sz w:val="19"/>
              </w:rPr>
            </w:r>
            <w:r>
              <w:rPr>
                <w:b/>
                <w:color w:val="1F4E78"/>
                <w:sz w:val="19"/>
              </w:rPr>
              <w:t>50.0 value</w:t>
            </w:r>
          </w:p>
        </w:tc>
        <w:tc>
          <w:tcPr>
            <w:tcW w:type="dxa" w:w="1417"/>
            <w:vAlign w:val="center"/>
            <w:shd w:val="clear" w:color="auto" w:fill="EEF3F8"/>
          </w:tcPr>
          <w:p>
            <w:pPr>
              <w:spacing w:after="0" w:before="0"/>
            </w:pPr>
            <w:r>
              <w:rPr>
                <w:b/>
                <w:color w:val="1F4E78"/>
                <w:sz w:val="19"/>
              </w:rPr>
            </w:r>
            <w:r>
              <w:rPr>
                <w:b/>
                <w:color w:val="1F4E78"/>
                <w:sz w:val="19"/>
              </w:rPr>
              <w:t>47.10 value</w:t>
            </w:r>
          </w:p>
        </w:tc>
        <w:tc>
          <w:tcPr>
            <w:tcW w:type="dxa" w:w="3118"/>
            <w:vAlign w:val="center"/>
            <w:shd w:val="clear" w:color="auto" w:fill="EEF3F8"/>
          </w:tcPr>
          <w:p>
            <w:pPr>
              <w:spacing w:after="0" w:before="0"/>
            </w:pPr>
            <w:r>
              <w:rPr>
                <w:b/>
                <w:color w:val="1F4E78"/>
                <w:sz w:val="19"/>
              </w:rPr>
            </w:r>
            <w:r>
              <w:rPr>
                <w:b/>
                <w:color w:val="1F4E78"/>
                <w:sz w:val="19"/>
              </w:rPr>
              <w:t>Verdict</w:t>
            </w:r>
          </w:p>
        </w:tc>
      </w:tr>
      <w:tr>
        <w:tc>
          <w:tcPr>
            <w:tcW w:type="dxa" w:w="1984"/>
            <w:vAlign w:val="center"/>
          </w:tcPr>
          <w:p>
            <w:pPr>
              <w:spacing w:after="0" w:before="0"/>
            </w:pPr>
            <w:r>
              <w:rPr>
                <w:sz w:val="19"/>
              </w:rPr>
            </w:r>
            <w:r>
              <w:rPr>
                <w:sz w:val="19"/>
              </w:rPr>
              <w:t>0.5</w:t>
            </w:r>
          </w:p>
        </w:tc>
        <w:tc>
          <w:tcPr>
            <w:tcW w:type="dxa" w:w="1417"/>
            <w:vAlign w:val="center"/>
          </w:tcPr>
          <w:p>
            <w:pPr>
              <w:spacing w:after="0" w:before="0"/>
            </w:pPr>
            <w:r>
              <w:rPr>
                <w:sz w:val="19"/>
              </w:rPr>
            </w:r>
            <w:r>
              <w:rPr>
                <w:sz w:val="19"/>
              </w:rPr>
              <w:t>55.0</w:t>
            </w:r>
          </w:p>
        </w:tc>
        <w:tc>
          <w:tcPr>
            <w:tcW w:type="dxa" w:w="1417"/>
            <w:vAlign w:val="center"/>
          </w:tcPr>
          <w:p>
            <w:pPr>
              <w:spacing w:after="0" w:before="0"/>
            </w:pPr>
            <w:r>
              <w:rPr>
                <w:sz w:val="19"/>
              </w:rPr>
            </w:r>
            <w:r>
              <w:rPr>
                <w:sz w:val="19"/>
              </w:rPr>
              <w:t>50.0</w:t>
            </w:r>
          </w:p>
        </w:tc>
        <w:tc>
          <w:tcPr>
            <w:tcW w:type="dxa" w:w="1417"/>
            <w:vAlign w:val="center"/>
          </w:tcPr>
          <w:p>
            <w:pPr>
              <w:spacing w:after="0" w:before="0"/>
            </w:pPr>
            <w:r>
              <w:rPr>
                <w:sz w:val="19"/>
              </w:rPr>
            </w:r>
            <w:r>
              <w:rPr>
                <w:sz w:val="19"/>
              </w:rPr>
              <w:t>52.0</w:t>
            </w:r>
          </w:p>
        </w:tc>
        <w:tc>
          <w:tcPr>
            <w:tcW w:type="dxa" w:w="3118"/>
            <w:vAlign w:val="center"/>
          </w:tcPr>
          <w:p>
            <w:pPr>
              <w:spacing w:after="0" w:before="0"/>
            </w:pPr>
            <w:r>
              <w:rPr>
                <w:sz w:val="19"/>
              </w:rPr>
            </w:r>
            <w:r>
              <w:rPr>
                <w:sz w:val="19"/>
              </w:rPr>
              <w:t>Under-weights — a 50.10 is barely above a 50.0; centres provide too little signal</w:t>
            </w:r>
          </w:p>
        </w:tc>
      </w:tr>
      <w:tr>
        <w:tc>
          <w:tcPr>
            <w:tcW w:type="dxa" w:w="1984"/>
            <w:vAlign w:val="center"/>
            <w:shd w:val="clear" w:color="auto" w:fill="FFF9E6"/>
          </w:tcPr>
          <w:p>
            <w:pPr>
              <w:spacing w:after="0" w:before="0"/>
            </w:pPr>
            <w:r>
              <w:rPr>
                <w:sz w:val="19"/>
              </w:rPr>
            </w:r>
            <w:r>
              <w:rPr>
                <w:b/>
                <w:sz w:val="19"/>
              </w:rPr>
              <w:t>0.7 (selected)</w:t>
            </w:r>
          </w:p>
        </w:tc>
        <w:tc>
          <w:tcPr>
            <w:tcW w:type="dxa" w:w="1417"/>
            <w:vAlign w:val="center"/>
            <w:shd w:val="clear" w:color="auto" w:fill="FFF9E6"/>
          </w:tcPr>
          <w:p>
            <w:pPr>
              <w:spacing w:after="0" w:before="0"/>
            </w:pPr>
            <w:r>
              <w:rPr>
                <w:sz w:val="19"/>
              </w:rPr>
            </w:r>
            <w:r>
              <w:rPr>
                <w:b/>
                <w:sz w:val="19"/>
              </w:rPr>
              <w:t>57.0</w:t>
            </w:r>
          </w:p>
        </w:tc>
        <w:tc>
          <w:tcPr>
            <w:tcW w:type="dxa" w:w="1417"/>
            <w:vAlign w:val="center"/>
            <w:shd w:val="clear" w:color="auto" w:fill="FFF9E6"/>
          </w:tcPr>
          <w:p>
            <w:pPr>
              <w:spacing w:after="0" w:before="0"/>
            </w:pPr>
            <w:r>
              <w:rPr>
                <w:sz w:val="19"/>
              </w:rPr>
            </w:r>
            <w:r>
              <w:rPr>
                <w:b/>
                <w:sz w:val="19"/>
              </w:rPr>
              <w:t>50.0</w:t>
            </w:r>
          </w:p>
        </w:tc>
        <w:tc>
          <w:tcPr>
            <w:tcW w:type="dxa" w:w="1417"/>
            <w:vAlign w:val="center"/>
            <w:shd w:val="clear" w:color="auto" w:fill="FFF9E6"/>
          </w:tcPr>
          <w:p>
            <w:pPr>
              <w:spacing w:after="0" w:before="0"/>
            </w:pPr>
            <w:r>
              <w:rPr>
                <w:sz w:val="19"/>
              </w:rPr>
            </w:r>
            <w:r>
              <w:rPr>
                <w:b/>
                <w:sz w:val="19"/>
              </w:rPr>
              <w:t>54.0</w:t>
            </w:r>
          </w:p>
        </w:tc>
        <w:tc>
          <w:tcPr>
            <w:tcW w:type="dxa" w:w="3118"/>
            <w:vAlign w:val="center"/>
            <w:shd w:val="clear" w:color="auto" w:fill="FFF9E6"/>
          </w:tcPr>
          <w:p>
            <w:pPr>
              <w:spacing w:after="0" w:before="0"/>
            </w:pPr>
            <w:r>
              <w:rPr>
                <w:sz w:val="19"/>
              </w:rPr>
            </w:r>
            <w:r>
              <w:rPr>
                <w:b/>
                <w:sz w:val="19"/>
              </w:rPr>
              <w:t>Balanced — 50.10 clearly above 50.0 (14% bonus), 50.0 still beats 47.10</w:t>
            </w:r>
          </w:p>
        </w:tc>
      </w:tr>
      <w:tr>
        <w:tc>
          <w:tcPr>
            <w:tcW w:type="dxa" w:w="1984"/>
            <w:vAlign w:val="center"/>
          </w:tcPr>
          <w:p>
            <w:pPr>
              <w:spacing w:after="0" w:before="0"/>
            </w:pPr>
            <w:r>
              <w:rPr>
                <w:sz w:val="19"/>
              </w:rPr>
            </w:r>
            <w:r>
              <w:rPr>
                <w:sz w:val="19"/>
              </w:rPr>
              <w:t>1.0</w:t>
            </w:r>
          </w:p>
        </w:tc>
        <w:tc>
          <w:tcPr>
            <w:tcW w:type="dxa" w:w="1417"/>
            <w:vAlign w:val="center"/>
          </w:tcPr>
          <w:p>
            <w:pPr>
              <w:spacing w:after="0" w:before="0"/>
            </w:pPr>
            <w:r>
              <w:rPr>
                <w:sz w:val="19"/>
              </w:rPr>
            </w:r>
            <w:r>
              <w:rPr>
                <w:sz w:val="19"/>
              </w:rPr>
              <w:t>60.0</w:t>
            </w:r>
          </w:p>
        </w:tc>
        <w:tc>
          <w:tcPr>
            <w:tcW w:type="dxa" w:w="1417"/>
            <w:vAlign w:val="center"/>
          </w:tcPr>
          <w:p>
            <w:pPr>
              <w:spacing w:after="0" w:before="0"/>
            </w:pPr>
            <w:r>
              <w:rPr>
                <w:sz w:val="19"/>
              </w:rPr>
            </w:r>
            <w:r>
              <w:rPr>
                <w:sz w:val="19"/>
              </w:rPr>
              <w:t>50.0</w:t>
            </w:r>
          </w:p>
        </w:tc>
        <w:tc>
          <w:tcPr>
            <w:tcW w:type="dxa" w:w="1417"/>
            <w:vAlign w:val="center"/>
          </w:tcPr>
          <w:p>
            <w:pPr>
              <w:spacing w:after="0" w:before="0"/>
            </w:pPr>
            <w:r>
              <w:rPr>
                <w:sz w:val="19"/>
              </w:rPr>
            </w:r>
            <w:r>
              <w:rPr>
                <w:sz w:val="19"/>
              </w:rPr>
              <w:t>57.0</w:t>
            </w:r>
          </w:p>
        </w:tc>
        <w:tc>
          <w:tcPr>
            <w:tcW w:type="dxa" w:w="3118"/>
            <w:vAlign w:val="center"/>
          </w:tcPr>
          <w:p>
            <w:pPr>
              <w:spacing w:after="0" w:before="0"/>
            </w:pPr>
            <w:r>
              <w:rPr>
                <w:sz w:val="19"/>
              </w:rPr>
            </w:r>
            <w:r>
              <w:rPr>
                <w:sz w:val="19"/>
              </w:rPr>
              <w:t>Marginal — 50.0 still beats 47.10 but only by 3 points, vs 7 at 0.7 weight</w:t>
            </w:r>
          </w:p>
        </w:tc>
      </w:tr>
      <w:tr>
        <w:tc>
          <w:tcPr>
            <w:tcW w:type="dxa" w:w="1984"/>
            <w:vAlign w:val="center"/>
          </w:tcPr>
          <w:p>
            <w:pPr>
              <w:spacing w:after="0" w:before="0"/>
            </w:pPr>
            <w:r>
              <w:rPr>
                <w:sz w:val="19"/>
              </w:rPr>
            </w:r>
            <w:r>
              <w:rPr>
                <w:sz w:val="19"/>
              </w:rPr>
              <w:t>Full centre rule</w:t>
            </w:r>
          </w:p>
        </w:tc>
        <w:tc>
          <w:tcPr>
            <w:tcW w:type="dxa" w:w="1417"/>
            <w:vAlign w:val="center"/>
          </w:tcPr>
          <w:p>
            <w:pPr>
              <w:spacing w:after="0" w:before="0"/>
            </w:pPr>
            <w:r>
              <w:rPr>
                <w:sz w:val="19"/>
              </w:rPr>
            </w:r>
            <w:r>
              <w:rPr>
                <w:sz w:val="19"/>
              </w:rPr>
              <w:t>Discontinuous</w:t>
            </w:r>
          </w:p>
        </w:tc>
        <w:tc>
          <w:tcPr>
            <w:tcW w:type="dxa" w:w="1417"/>
            <w:vAlign w:val="center"/>
          </w:tcPr>
          <w:p>
            <w:pPr>
              <w:spacing w:after="0" w:before="0"/>
            </w:pPr>
            <w:r>
              <w:rPr>
                <w:sz w:val="19"/>
              </w:rPr>
            </w:r>
            <w:r>
              <w:rPr>
                <w:sz w:val="19"/>
              </w:rPr>
              <w:t>Discontinuous</w:t>
            </w:r>
          </w:p>
        </w:tc>
        <w:tc>
          <w:tcPr>
            <w:tcW w:type="dxa" w:w="1417"/>
            <w:vAlign w:val="center"/>
          </w:tcPr>
          <w:p>
            <w:pPr>
              <w:spacing w:after="0" w:before="0"/>
            </w:pPr>
            <w:r>
              <w:rPr>
                <w:sz w:val="19"/>
              </w:rPr>
            </w:r>
            <w:r>
              <w:rPr>
                <w:sz w:val="19"/>
              </w:rPr>
              <w:t>—</w:t>
            </w:r>
          </w:p>
        </w:tc>
        <w:tc>
          <w:tcPr>
            <w:tcW w:type="dxa" w:w="3118"/>
            <w:vAlign w:val="center"/>
          </w:tcPr>
          <w:p>
            <w:pPr>
              <w:spacing w:after="0" w:before="0"/>
            </w:pPr>
            <w:r>
              <w:rPr>
                <w:sz w:val="19"/>
              </w:rPr>
            </w:r>
            <w:r>
              <w:rPr>
                <w:sz w:val="19"/>
              </w:rPr>
              <w:t>Rejected — produces step-function rather than smooth signal</w:t>
            </w:r>
          </w:p>
        </w:tc>
      </w:tr>
    </w:tbl>
    <w:p>
      <w:pPr>
        <w:spacing w:after="80"/>
      </w:pPr>
    </w:p>
    <w:p>
      <w:pPr>
        <w:spacing w:after="120"/>
      </w:pPr>
      <w:r>
        <w:rPr>
          <w:sz w:val="21"/>
        </w:rPr>
        <w:t>The 0.7 weight emerged as the natural balance point: high enough that a perfect-centre string visibly outranks a same-score zero-centre string (by 7 MCSI points before factor scaling), low enough that one raw point still outranks any plausible centre-count advantage.</w:t>
      </w:r>
    </w:p>
    <w:p>
      <w:pPr>
        <w:spacing w:after="120"/>
      </w:pPr>
      <w:r>
        <w:rPr>
          <w:sz w:val="21"/>
        </w:rPr>
        <w:t>Sensitivity analysis confirmed that V5 factors are stable across centre-weight choices in the 0.6 to 0.8 range — the discipline ratios do not change materially. The 0.7 selection is therefore both defensible on first principles and statistically robust.</w:t>
      </w:r>
    </w:p>
    <w:p>
      <w:pPr>
        <w:spacing w:after="160"/>
      </w:pPr>
      <w:r>
        <w:rPr>
          <w:i/>
          <w:color w:val="888888"/>
          <w:sz w:val="18"/>
        </w:rPr>
        <w:t>End of report.</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