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4E78"/>
          <w:sz w:val="36"/>
        </w:rPr>
        <w:t>MCSI Formula V5 — Plain English Summary</w:t>
      </w:r>
    </w:p>
    <w:p>
      <w:pPr>
        <w:spacing w:after="160"/>
      </w:pPr>
      <w:r>
        <w:rPr>
          <w:i/>
          <w:color w:val="444444"/>
          <w:sz w:val="22"/>
        </w:rPr>
        <w:t>A short explainer for the committee — June 2026</w:t>
      </w:r>
    </w:p>
    <w:p>
      <w:pPr>
        <w:pBdr>
          <w:bottom w:val="single" w:sz="6" w:space="1" w:color="CCCCCC"/>
        </w:pBdr>
      </w:pPr>
    </w:p>
    <w:p>
      <w:pPr>
        <w:spacing w:before="160" w:after="60"/>
      </w:pPr>
      <w:r>
        <w:rPr>
          <w:b/>
          <w:color w:val="1F4E78"/>
          <w:sz w:val="26"/>
        </w:rPr>
        <w:t>What this document is</w:t>
      </w:r>
    </w:p>
    <w:p>
      <w:pPr>
        <w:spacing w:after="80"/>
      </w:pPr>
      <w:r>
        <w:rPr>
          <w:sz w:val="22"/>
        </w:rPr>
        <w:t xml:space="preserve">This is a plain-English summary of the recommended MCSI formula (V5) for scoring the club championship. The full technical report is available if you want the maths — this version is for committee members who just want to understand </w:t>
      </w:r>
      <w:r>
        <w:rPr>
          <w:b/>
          <w:sz w:val="22"/>
        </w:rPr>
        <w:t>what V5 does, where the numbers come from, and why we trust them</w:t>
      </w:r>
      <w:r>
        <w:rPr>
          <w:sz w:val="22"/>
        </w:rPr>
        <w:t>.</w:t>
      </w:r>
    </w:p>
    <w:p>
      <w:pPr>
        <w:spacing w:before="160" w:after="60"/>
      </w:pPr>
      <w:r>
        <w:rPr>
          <w:b/>
          <w:color w:val="1F4E78"/>
          <w:sz w:val="26"/>
        </w:rPr>
        <w:t>What the MCSI formula is for</w:t>
      </w:r>
    </w:p>
    <w:p>
      <w:pPr>
        <w:spacing w:after="80"/>
      </w:pPr>
      <w:r>
        <w:rPr>
          <w:sz w:val="22"/>
        </w:rPr>
        <w:t>Different rifle disciplines score differently. An F-Open shooter on a scope and bipod can post bigger numbers than a TR shooter on irons, who in turn typically out-scores a Sporter shooter. If we simply added everyone's raw scores together for a club championship, F-class shooters would win every year — not because they shoot better, but because their equipment lets them score higher.</w:t>
      </w:r>
    </w:p>
    <w:p>
      <w:pPr>
        <w:spacing w:after="80"/>
      </w:pPr>
      <w:r>
        <w:rPr>
          <w:sz w:val="22"/>
        </w:rPr>
        <w:t xml:space="preserve">The MCSI formula fixes this. It multiplies each discipline's score by a </w:t>
      </w:r>
      <w:r>
        <w:rPr>
          <w:b/>
          <w:sz w:val="22"/>
        </w:rPr>
        <w:t>fairness factor</w:t>
      </w:r>
      <w:r>
        <w:rPr>
          <w:sz w:val="22"/>
        </w:rPr>
        <w:t xml:space="preserve"> so that a strong performance in any discipline counts comparably toward the club championship. The whole exercise is just about picking the right fairness factors.</w:t>
      </w:r>
    </w:p>
    <w:p>
      <w:pPr>
        <w:spacing w:before="160" w:after="60"/>
      </w:pPr>
      <w:r>
        <w:rPr>
          <w:b/>
          <w:color w:val="1F4E78"/>
          <w:sz w:val="26"/>
        </w:rPr>
        <w:t>The recommendation</w:t>
      </w:r>
    </w:p>
    <w:p>
      <w:pPr>
        <w:spacing w:after="80"/>
      </w:pPr>
      <w:r>
        <w:rPr>
          <w:b/>
          <w:sz w:val="22"/>
        </w:rPr>
        <w:t>Adopt V5 as the club championship formula.</w:t>
      </w:r>
      <w:r>
        <w:rPr>
          <w:sz w:val="22"/>
        </w:rPr>
        <w:t xml:space="preserve"> Five factors, one centre rule, one conversion adjustment for iron-sight disciplines:</w:t>
      </w:r>
    </w:p>
    <w:tbl>
      <w:tblPr>
        <w:tblStyle w:val="TableGrid"/>
        <w:tblW w:type="auto" w:w="0"/>
        <w:tblLayout w:type="fixed"/>
        <w:tblLook w:firstColumn="1" w:firstRow="1" w:lastColumn="0" w:lastRow="0" w:noHBand="0" w:noVBand="1" w:val="04A0"/>
      </w:tblPr>
      <w:tblGrid>
        <w:gridCol w:w="3213"/>
        <w:gridCol w:w="3213"/>
        <w:gridCol w:w="3213"/>
      </w:tblGrid>
      <w:tr>
        <w:tc>
          <w:tcPr>
            <w:tcW w:type="dxa" w:w="4252"/>
            <w:vAlign w:val="center"/>
            <w:shd w:val="clear" w:color="auto" w:fill="EEF3F8"/>
          </w:tcPr>
          <w:p>
            <w:pPr>
              <w:spacing w:after="0" w:before="0"/>
            </w:pPr>
            <w:r>
              <w:rPr>
                <w:b/>
                <w:color w:val="1F4E78"/>
                <w:sz w:val="20"/>
              </w:rPr>
            </w:r>
            <w:r>
              <w:rPr>
                <w:b/>
                <w:color w:val="1F4E78"/>
                <w:sz w:val="20"/>
              </w:rPr>
              <w:t>Discipline</w:t>
            </w:r>
          </w:p>
        </w:tc>
        <w:tc>
          <w:tcPr>
            <w:tcW w:type="dxa" w:w="1134"/>
            <w:vAlign w:val="center"/>
            <w:shd w:val="clear" w:color="auto" w:fill="EEF3F8"/>
          </w:tcPr>
          <w:p>
            <w:pPr>
              <w:spacing w:after="0" w:before="0"/>
            </w:pPr>
            <w:r>
              <w:rPr>
                <w:b/>
                <w:color w:val="1F4E78"/>
                <w:sz w:val="20"/>
              </w:rPr>
            </w:r>
            <w:r>
              <w:rPr>
                <w:b/>
                <w:color w:val="1F4E78"/>
                <w:sz w:val="20"/>
              </w:rPr>
              <w:t>Factor</w:t>
            </w:r>
          </w:p>
        </w:tc>
        <w:tc>
          <w:tcPr>
            <w:tcW w:type="dxa" w:w="3969"/>
            <w:vAlign w:val="center"/>
            <w:shd w:val="clear" w:color="auto" w:fill="EEF3F8"/>
          </w:tcPr>
          <w:p>
            <w:pPr>
              <w:spacing w:after="0" w:before="0"/>
            </w:pPr>
            <w:r>
              <w:rPr>
                <w:b/>
                <w:color w:val="1F4E78"/>
                <w:sz w:val="20"/>
              </w:rPr>
            </w:r>
            <w:r>
              <w:rPr>
                <w:b/>
                <w:color w:val="1F4E78"/>
                <w:sz w:val="20"/>
              </w:rPr>
              <w:t>What it means</w:t>
            </w:r>
          </w:p>
        </w:tc>
      </w:tr>
      <w:tr>
        <w:tc>
          <w:tcPr>
            <w:tcW w:type="dxa" w:w="4252"/>
            <w:vAlign w:val="center"/>
          </w:tcPr>
          <w:p>
            <w:pPr>
              <w:spacing w:after="0" w:before="0"/>
            </w:pPr>
            <w:r>
              <w:rPr>
                <w:sz w:val="20"/>
              </w:rPr>
            </w:r>
            <w:r>
              <w:rPr>
                <w:sz w:val="20"/>
              </w:rPr>
              <w:t>Target Rifle (TR)</w:t>
            </w:r>
          </w:p>
        </w:tc>
        <w:tc>
          <w:tcPr>
            <w:tcW w:type="dxa" w:w="1134"/>
            <w:vAlign w:val="center"/>
          </w:tcPr>
          <w:p>
            <w:pPr>
              <w:spacing w:after="0" w:before="0"/>
            </w:pPr>
            <w:r>
              <w:rPr>
                <w:sz w:val="20"/>
              </w:rPr>
            </w:r>
            <w:r>
              <w:rPr>
                <w:sz w:val="20"/>
              </w:rPr>
              <w:t>1.412</w:t>
            </w:r>
          </w:p>
        </w:tc>
        <w:tc>
          <w:tcPr>
            <w:tcW w:type="dxa" w:w="3969"/>
            <w:vAlign w:val="center"/>
          </w:tcPr>
          <w:p>
            <w:pPr>
              <w:spacing w:after="0" w:before="0"/>
            </w:pPr>
            <w:r>
              <w:rPr>
                <w:sz w:val="20"/>
              </w:rPr>
            </w:r>
            <w:r>
              <w:rPr>
                <w:sz w:val="20"/>
              </w:rPr>
              <w:t>Iron sights — gets a 1.2× score boost first</w:t>
            </w:r>
          </w:p>
        </w:tc>
      </w:tr>
      <w:tr>
        <w:tc>
          <w:tcPr>
            <w:tcW w:type="dxa" w:w="4252"/>
            <w:vAlign w:val="center"/>
          </w:tcPr>
          <w:p>
            <w:pPr>
              <w:spacing w:after="0" w:before="0"/>
            </w:pPr>
            <w:r>
              <w:rPr>
                <w:sz w:val="20"/>
              </w:rPr>
            </w:r>
            <w:r>
              <w:rPr>
                <w:sz w:val="20"/>
              </w:rPr>
              <w:t>F-Open</w:t>
            </w:r>
          </w:p>
        </w:tc>
        <w:tc>
          <w:tcPr>
            <w:tcW w:type="dxa" w:w="1134"/>
            <w:vAlign w:val="center"/>
          </w:tcPr>
          <w:p>
            <w:pPr>
              <w:spacing w:after="0" w:before="0"/>
            </w:pPr>
            <w:r>
              <w:rPr>
                <w:sz w:val="20"/>
              </w:rPr>
            </w:r>
            <w:r>
              <w:rPr>
                <w:sz w:val="20"/>
              </w:rPr>
              <w:t>1.406</w:t>
            </w:r>
          </w:p>
        </w:tc>
        <w:tc>
          <w:tcPr>
            <w:tcW w:type="dxa" w:w="3969"/>
            <w:vAlign w:val="center"/>
          </w:tcPr>
          <w:p>
            <w:pPr>
              <w:spacing w:after="0" w:before="0"/>
            </w:pPr>
            <w:r>
              <w:rPr>
                <w:sz w:val="20"/>
              </w:rPr>
            </w:r>
            <w:r>
              <w:rPr>
                <w:sz w:val="20"/>
              </w:rPr>
              <w:t>Scope + bipod — no boost</w:t>
            </w:r>
          </w:p>
        </w:tc>
      </w:tr>
      <w:tr>
        <w:tc>
          <w:tcPr>
            <w:tcW w:type="dxa" w:w="4252"/>
            <w:vAlign w:val="center"/>
          </w:tcPr>
          <w:p>
            <w:pPr>
              <w:spacing w:after="0" w:before="0"/>
            </w:pPr>
            <w:r>
              <w:rPr>
                <w:sz w:val="20"/>
              </w:rPr>
            </w:r>
            <w:r>
              <w:rPr>
                <w:sz w:val="20"/>
              </w:rPr>
              <w:t>F-Standard</w:t>
            </w:r>
          </w:p>
        </w:tc>
        <w:tc>
          <w:tcPr>
            <w:tcW w:type="dxa" w:w="1134"/>
            <w:vAlign w:val="center"/>
          </w:tcPr>
          <w:p>
            <w:pPr>
              <w:spacing w:after="0" w:before="0"/>
            </w:pPr>
            <w:r>
              <w:rPr>
                <w:sz w:val="20"/>
              </w:rPr>
            </w:r>
            <w:r>
              <w:rPr>
                <w:sz w:val="20"/>
              </w:rPr>
              <w:t>1.475</w:t>
            </w:r>
          </w:p>
        </w:tc>
        <w:tc>
          <w:tcPr>
            <w:tcW w:type="dxa" w:w="3969"/>
            <w:vAlign w:val="center"/>
          </w:tcPr>
          <w:p>
            <w:pPr>
              <w:spacing w:after="0" w:before="0"/>
            </w:pPr>
            <w:r>
              <w:rPr>
                <w:sz w:val="20"/>
              </w:rPr>
            </w:r>
            <w:r>
              <w:rPr>
                <w:sz w:val="20"/>
              </w:rPr>
              <w:t>Scope + bipod — no boost</w:t>
            </w:r>
          </w:p>
        </w:tc>
      </w:tr>
      <w:tr>
        <w:tc>
          <w:tcPr>
            <w:tcW w:type="dxa" w:w="4252"/>
            <w:vAlign w:val="center"/>
          </w:tcPr>
          <w:p>
            <w:pPr>
              <w:spacing w:after="0" w:before="0"/>
            </w:pPr>
            <w:r>
              <w:rPr>
                <w:sz w:val="20"/>
              </w:rPr>
            </w:r>
            <w:r>
              <w:rPr>
                <w:sz w:val="20"/>
              </w:rPr>
              <w:t>F/TR (FTR)</w:t>
            </w:r>
          </w:p>
        </w:tc>
        <w:tc>
          <w:tcPr>
            <w:tcW w:type="dxa" w:w="1134"/>
            <w:vAlign w:val="center"/>
          </w:tcPr>
          <w:p>
            <w:pPr>
              <w:spacing w:after="0" w:before="0"/>
            </w:pPr>
            <w:r>
              <w:rPr>
                <w:sz w:val="20"/>
              </w:rPr>
            </w:r>
            <w:r>
              <w:rPr>
                <w:sz w:val="20"/>
              </w:rPr>
              <w:t>1.450</w:t>
            </w:r>
          </w:p>
        </w:tc>
        <w:tc>
          <w:tcPr>
            <w:tcW w:type="dxa" w:w="3969"/>
            <w:vAlign w:val="center"/>
          </w:tcPr>
          <w:p>
            <w:pPr>
              <w:spacing w:after="0" w:before="0"/>
            </w:pPr>
            <w:r>
              <w:rPr>
                <w:sz w:val="20"/>
              </w:rPr>
            </w:r>
            <w:r>
              <w:rPr>
                <w:sz w:val="20"/>
              </w:rPr>
              <w:t>Scope + bipod — no boost</w:t>
            </w:r>
          </w:p>
        </w:tc>
      </w:tr>
      <w:tr>
        <w:tc>
          <w:tcPr>
            <w:tcW w:type="dxa" w:w="4252"/>
            <w:vAlign w:val="center"/>
          </w:tcPr>
          <w:p>
            <w:pPr>
              <w:spacing w:after="0" w:before="0"/>
            </w:pPr>
            <w:r>
              <w:rPr>
                <w:sz w:val="20"/>
              </w:rPr>
            </w:r>
            <w:r>
              <w:rPr>
                <w:sz w:val="20"/>
              </w:rPr>
              <w:t>Sporter (Open + Production combined)</w:t>
            </w:r>
          </w:p>
        </w:tc>
        <w:tc>
          <w:tcPr>
            <w:tcW w:type="dxa" w:w="1134"/>
            <w:vAlign w:val="center"/>
          </w:tcPr>
          <w:p>
            <w:pPr>
              <w:spacing w:after="0" w:before="0"/>
            </w:pPr>
            <w:r>
              <w:rPr>
                <w:sz w:val="20"/>
              </w:rPr>
            </w:r>
            <w:r>
              <w:rPr>
                <w:sz w:val="20"/>
              </w:rPr>
              <w:t>1.383</w:t>
            </w:r>
          </w:p>
        </w:tc>
        <w:tc>
          <w:tcPr>
            <w:tcW w:type="dxa" w:w="3969"/>
            <w:vAlign w:val="center"/>
          </w:tcPr>
          <w:p>
            <w:pPr>
              <w:spacing w:after="0" w:before="0"/>
            </w:pPr>
            <w:r>
              <w:rPr>
                <w:sz w:val="20"/>
              </w:rPr>
            </w:r>
            <w:r>
              <w:rPr>
                <w:sz w:val="20"/>
              </w:rPr>
              <w:t>Iron sights — gets a 1.2× score boost first</w:t>
            </w:r>
          </w:p>
        </w:tc>
      </w:tr>
    </w:tbl>
    <w:p>
      <w:pPr>
        <w:spacing w:after="40"/>
      </w:pPr>
    </w:p>
    <w:p>
      <w:pPr>
        <w:spacing w:after="80"/>
      </w:pPr>
      <w:r>
        <w:rPr>
          <w:b/>
          <w:sz w:val="22"/>
        </w:rPr>
        <w:t>The formula in one line:</w:t>
      </w:r>
      <w:r>
        <w:rPr>
          <w:sz w:val="22"/>
        </w:rPr>
        <w:t xml:space="preserve"> Adjusted Score = (Raw Score × Conversion + Centres × 0.7) × Factor</w:t>
      </w:r>
    </w:p>
    <w:p>
      <w:pPr>
        <w:spacing w:after="80"/>
      </w:pPr>
      <w:r>
        <w:rPr>
          <w:b/>
          <w:sz w:val="22"/>
        </w:rPr>
        <w:t>A key thing to notice:</w:t>
      </w:r>
      <w:r>
        <w:rPr>
          <w:sz w:val="22"/>
        </w:rPr>
        <w:t xml:space="preserve"> the five factors only differ by 0.092 (from 1.383 to 1.475). The disciplines are much closer in difficulty than people often assume. V5 is mostly about fairness in how centres are counted and how iron-sight disciplines are equalised against F-class — not about handing out big equipment penalties.</w:t>
      </w:r>
    </w:p>
    <w:p>
      <w:r>
        <w:br w:type="page"/>
      </w:r>
    </w:p>
    <w:p>
      <w:pPr>
        <w:spacing w:before="160" w:after="60"/>
      </w:pPr>
      <w:r>
        <w:rPr>
          <w:b/>
          <w:color w:val="1F4E78"/>
          <w:sz w:val="26"/>
        </w:rPr>
        <w:t>Where the numbers come from</w:t>
      </w:r>
    </w:p>
    <w:p>
      <w:pPr>
        <w:spacing w:after="80"/>
      </w:pPr>
      <w:r>
        <w:rPr>
          <w:sz w:val="22"/>
        </w:rPr>
        <w:t>To work out the fairness factors, we needed a big collection of scores where all five disciplines were shooting at the same time, in the same wind, on the same day. That way the comparison is fair — no discipline gets unfairly boosted by good weather while another gets penalised by bad.</w:t>
      </w:r>
    </w:p>
    <w:p>
      <w:pPr>
        <w:spacing w:after="80"/>
      </w:pPr>
      <w:r>
        <w:rPr>
          <w:sz w:val="22"/>
        </w:rPr>
        <w:t xml:space="preserve">The answer turned out to be </w:t>
      </w:r>
      <w:r>
        <w:rPr>
          <w:b/>
          <w:sz w:val="22"/>
        </w:rPr>
        <w:t>King's &amp; Queen's championships</w:t>
      </w:r>
      <w:r>
        <w:rPr>
          <w:sz w:val="22"/>
        </w:rPr>
        <w:t>. They are the only events in Australia where all five disciplines reliably shoot side-by-side in the same conditions.</w:t>
      </w:r>
    </w:p>
    <w:p>
      <w:pPr>
        <w:spacing w:after="80"/>
      </w:pPr>
      <w:r>
        <w:rPr>
          <w:sz w:val="22"/>
        </w:rPr>
        <w:t xml:space="preserve">We used 13 K&amp;Q championships from 2024 onwards across all seven state and national associations (NSWRA, VRA, QRA, NQRA, SARA, WARA, and NRAA Nationals). That gave us </w:t>
      </w:r>
      <w:r>
        <w:rPr>
          <w:b/>
          <w:sz w:val="22"/>
        </w:rPr>
        <w:t>20,335 individual range scores from over a thousand different shooters</w:t>
      </w:r>
      <w:r>
        <w:rPr>
          <w:sz w:val="22"/>
        </w:rPr>
        <w:t>.</w:t>
      </w:r>
    </w:p>
    <w:p>
      <w:pPr>
        <w:spacing w:after="80"/>
      </w:pPr>
      <w:r>
        <w:rPr>
          <w:sz w:val="22"/>
        </w:rPr>
        <w:t>From that pool, we looked at the top 40% of scores in each discipline and set the factors so that a top-40% shot in any discipline produces roughly the same Adjusted Score as a top-40% shot in F-class.</w:t>
      </w:r>
    </w:p>
    <w:p>
      <w:pPr>
        <w:spacing w:before="160" w:after="60"/>
      </w:pPr>
      <w:r>
        <w:rPr>
          <w:b/>
          <w:color w:val="1F4E78"/>
          <w:sz w:val="26"/>
        </w:rPr>
        <w:t>Why we didn't just use Geelong data</w:t>
      </w:r>
    </w:p>
    <w:p>
      <w:pPr>
        <w:spacing w:after="80"/>
      </w:pPr>
      <w:r>
        <w:rPr>
          <w:sz w:val="22"/>
        </w:rPr>
        <w:t>It would be intuitive to use only Geelong scores — after all, this is for the Geelong club championship. But it doesn't work, for three plain reasons.</w:t>
      </w:r>
    </w:p>
    <w:p>
      <w:pPr>
        <w:pStyle w:val="ListBullet"/>
        <w:spacing w:after="40"/>
      </w:pPr>
      <w:r>
        <w:rPr>
          <w:b/>
          <w:sz w:val="22"/>
        </w:rPr>
        <w:t>The dataset is far too small.</w:t>
      </w:r>
      <w:r>
        <w:rPr>
          <w:sz w:val="22"/>
        </w:rPr>
        <w:t xml:space="preserve"> Geelong's whole 2026 season produced about 270 scores across 36 shooters. K&amp;Q gives us 20,335 scores from over a thousand shooters — about 75 times more data.</w:t>
      </w:r>
    </w:p>
    <w:p>
      <w:pPr>
        <w:pStyle w:val="ListBullet"/>
        <w:spacing w:after="40"/>
      </w:pPr>
      <w:r>
        <w:rPr>
          <w:b/>
          <w:sz w:val="22"/>
        </w:rPr>
        <w:t>F/TR can't be calibrated at all.</w:t>
      </w:r>
      <w:r>
        <w:rPr>
          <w:sz w:val="22"/>
        </w:rPr>
        <w:t xml:space="preserve"> Geelong's 2026 season had just 9 F/TR scores from 2 shooters. You cannot derive a fair F/TR factor from 9 scores. Any number you pick is essentially a guess.</w:t>
      </w:r>
    </w:p>
    <w:p>
      <w:pPr>
        <w:pStyle w:val="ListBullet"/>
        <w:spacing w:after="40"/>
      </w:pPr>
      <w:r>
        <w:rPr>
          <w:b/>
          <w:sz w:val="22"/>
        </w:rPr>
        <w:t>The numbers would swing wildly year to year.</w:t>
      </w:r>
      <w:r>
        <w:rPr>
          <w:sz w:val="22"/>
        </w:rPr>
        <w:t xml:space="preserve"> A small sample is volatile. One strong new member or one shooter taking a year off could move Geelong's Sporter factor by 0.1 or more — completely re-arranging the leaderboard for reasons unrelated to actual shooting.</w:t>
      </w:r>
    </w:p>
    <w:p>
      <w:pPr>
        <w:spacing w:after="80"/>
      </w:pPr>
      <w:r>
        <w:rPr>
          <w:sz w:val="22"/>
        </w:rPr>
        <w:t>There is also a deeper fairness problem with using local data. If one strong Geelong shooter dominates a discipline, that shooter's scores would inflate the discipline's factor — and then they'd be ranked against a factor they personally raised. The K&amp;Q dataset avoids this because no single shooter has any meaningful influence on a 20,000-score pool.</w:t>
      </w:r>
    </w:p>
    <w:p>
      <w:pPr>
        <w:spacing w:before="160" w:after="60"/>
      </w:pPr>
      <w:r>
        <w:rPr>
          <w:b/>
          <w:color w:val="1F4E78"/>
          <w:sz w:val="26"/>
        </w:rPr>
        <w:t>Why we didn't use Prize Meet data either</w:t>
      </w:r>
    </w:p>
    <w:p>
      <w:pPr>
        <w:spacing w:after="80"/>
      </w:pPr>
      <w:r>
        <w:rPr>
          <w:sz w:val="22"/>
        </w:rPr>
        <w:t>Prize meets seemed promising — there's a lot of data available. We pulled 223 prize meets and tested using them. Two problems killed the idea.</w:t>
      </w:r>
    </w:p>
    <w:p>
      <w:pPr>
        <w:pStyle w:val="ListBullet"/>
        <w:spacing w:after="40"/>
      </w:pPr>
      <w:r>
        <w:rPr>
          <w:b/>
          <w:sz w:val="22"/>
        </w:rPr>
        <w:t>Western Australia distorts the numbers.</w:t>
      </w:r>
      <w:r>
        <w:rPr>
          <w:sz w:val="22"/>
        </w:rPr>
        <w:t xml:space="preserve"> WA has a very strong Sporter culture and relatively weaker F-class prize-meet turnout. When WA prize meets are included, the Sporter factor drops by about 0.06 — purely because of regional sampling, not because Sporter is actually easier.</w:t>
      </w:r>
    </w:p>
    <w:p>
      <w:pPr>
        <w:pStyle w:val="ListBullet"/>
        <w:spacing w:after="40"/>
      </w:pPr>
      <w:r>
        <w:rPr>
          <w:b/>
          <w:sz w:val="22"/>
        </w:rPr>
        <w:t>East-coast prize meets favour particular disciplines club-by-club.</w:t>
      </w:r>
      <w:r>
        <w:rPr>
          <w:sz w:val="22"/>
        </w:rPr>
        <w:t xml:space="preserve"> Pacific Rifle Club's meets are dominated by TR shooters; Goondiwindi's by F-class. When you mix these together, the discipline that happened to turn up in larger numbers wins the calibration — again, nothing to do with how the disciplines actually compare.</w:t>
      </w:r>
    </w:p>
    <w:p>
      <w:pPr>
        <w:spacing w:after="80"/>
      </w:pPr>
      <w:r>
        <w:rPr>
          <w:sz w:val="22"/>
        </w:rPr>
        <w:t>Adding prize-meet data shifted the TR factor by 0.074 and Sporter by 0.067 in the wrong direction — clear evidence the prize-meet pool is biased, not that the disciplines have suddenly become easier.</w:t>
      </w:r>
    </w:p>
    <w:p>
      <w:r>
        <w:br w:type="page"/>
      </w:r>
    </w:p>
    <w:p>
      <w:pPr>
        <w:spacing w:before="160" w:after="60"/>
      </w:pPr>
      <w:r>
        <w:rPr>
          <w:b/>
          <w:color w:val="1F4E78"/>
          <w:sz w:val="26"/>
        </w:rPr>
        <w:t>How an Adjusted Score is calculated — worked example</w:t>
      </w:r>
    </w:p>
    <w:p>
      <w:pPr>
        <w:spacing w:after="80"/>
      </w:pPr>
      <w:r>
        <w:rPr>
          <w:sz w:val="22"/>
        </w:rPr>
        <w:t>Let's take a Sporter shooter who shoots a 50.10 (50 points with 10 centres).</w:t>
      </w:r>
    </w:p>
    <w:p>
      <w:pPr>
        <w:spacing w:after="80"/>
      </w:pPr>
      <w:r>
        <w:rPr>
          <w:b/>
          <w:sz w:val="22"/>
        </w:rPr>
        <w:t>Step 1 — Score × Conversion.</w:t>
      </w:r>
      <w:r>
        <w:rPr>
          <w:sz w:val="22"/>
        </w:rPr>
        <w:t xml:space="preserve"> Sporter uses iron sights, so we apply the 1.2× conversion to bring iron-sight disciplines onto a comparable scale with F-class: 50 × 1.2 = 60.</w:t>
      </w:r>
    </w:p>
    <w:p>
      <w:pPr>
        <w:spacing w:after="80"/>
      </w:pPr>
      <w:r>
        <w:rPr>
          <w:b/>
          <w:sz w:val="22"/>
        </w:rPr>
        <w:t>Step 2 — Add centres × 0.7.</w:t>
      </w:r>
      <w:r>
        <w:rPr>
          <w:sz w:val="22"/>
        </w:rPr>
        <w:t xml:space="preserve"> 10 centres × 0.7 = 7. So we now have 60 + 7 = 67.</w:t>
      </w:r>
    </w:p>
    <w:p>
      <w:pPr>
        <w:spacing w:after="80"/>
      </w:pPr>
      <w:r>
        <w:rPr>
          <w:b/>
          <w:sz w:val="22"/>
        </w:rPr>
        <w:t>Step 3 — Apply the Sporter factor.</w:t>
      </w:r>
      <w:r>
        <w:rPr>
          <w:sz w:val="22"/>
        </w:rPr>
        <w:t xml:space="preserve"> 67 × 1.383 = 92.66.</w:t>
      </w:r>
    </w:p>
    <w:p>
      <w:pPr>
        <w:spacing w:after="80"/>
      </w:pPr>
      <w:r>
        <w:rPr>
          <w:sz w:val="22"/>
        </w:rPr>
        <w:t>The same shot in F-Open would be: 50 × 1.0 + 10 × 0.7 = 57, × 1.406 = 80.14. Hold on — that's lower. But F-Open shooters usually score higher in raw points (say 60.10 in a good string), so once their bigger raw scores feed in, the Adjusted Scores end up comparable. That is exactly the point of the formula.</w:t>
      </w:r>
    </w:p>
    <w:p>
      <w:pPr>
        <w:spacing w:before="160" w:after="60"/>
      </w:pPr>
      <w:r>
        <w:rPr>
          <w:b/>
          <w:color w:val="1F4E78"/>
          <w:sz w:val="26"/>
        </w:rPr>
        <w:t>Why we trust the V5 numbers</w:t>
      </w:r>
    </w:p>
    <w:p>
      <w:pPr>
        <w:spacing w:after="80"/>
      </w:pPr>
      <w:r>
        <w:rPr>
          <w:sz w:val="22"/>
        </w:rPr>
        <w:t>Three independent checks support V5:</w:t>
      </w:r>
    </w:p>
    <w:p>
      <w:pPr>
        <w:pStyle w:val="ListBullet"/>
        <w:spacing w:after="40"/>
      </w:pPr>
      <w:r>
        <w:rPr>
          <w:b/>
          <w:sz w:val="22"/>
        </w:rPr>
        <w:t>Big sample.</w:t>
      </w:r>
      <w:r>
        <w:rPr>
          <w:sz w:val="22"/>
        </w:rPr>
        <w:t xml:space="preserve"> 20,335 scores is a serious dataset. The factors don't wobble if we add or remove a single shooter, a single match, or even a single state.</w:t>
      </w:r>
    </w:p>
    <w:p>
      <w:pPr>
        <w:pStyle w:val="ListBullet"/>
        <w:spacing w:after="40"/>
      </w:pPr>
      <w:r>
        <w:rPr>
          <w:b/>
          <w:sz w:val="22"/>
        </w:rPr>
        <w:t>Two different methods agree.</w:t>
      </w:r>
      <w:r>
        <w:rPr>
          <w:sz w:val="22"/>
        </w:rPr>
        <w:t xml:space="preserve"> We calibrated V5 using the top 40% of scores. We also re-ran the whole exercise using the middle 20% of scores (a completely different way of measuring). The factors came out within 0.02 of each other on every discipline. When two unrelated methods agree, the answer is almost certainly real.</w:t>
      </w:r>
    </w:p>
    <w:p>
      <w:pPr>
        <w:pStyle w:val="ListBullet"/>
        <w:spacing w:after="40"/>
      </w:pPr>
      <w:r>
        <w:rPr>
          <w:b/>
          <w:sz w:val="22"/>
        </w:rPr>
        <w:t>Each state agrees with the others.</w:t>
      </w:r>
      <w:r>
        <w:rPr>
          <w:sz w:val="22"/>
        </w:rPr>
        <w:t xml:space="preserve"> If you split the K&amp;Q data by state and check whether Sporter is stronger or weaker than F-class in each one, the answer is very consistent: Sporter is about 0% to 6% stronger than F-class everywhere (the only outlier is South Australia with just 48 scores). That consistency is what lets us trust the national pool.</w:t>
      </w:r>
    </w:p>
    <w:p>
      <w:pPr>
        <w:spacing w:before="160" w:after="60"/>
      </w:pPr>
      <w:r>
        <w:rPr>
          <w:b/>
          <w:color w:val="1F4E78"/>
          <w:sz w:val="26"/>
        </w:rPr>
        <w:t>What about the 0.7 centre weight?</w:t>
      </w:r>
    </w:p>
    <w:p>
      <w:pPr>
        <w:spacing w:after="80"/>
      </w:pPr>
      <w:r>
        <w:rPr>
          <w:sz w:val="22"/>
        </w:rPr>
        <w:t>We tested four options: 0.5, 0.7, 1.0, and counting each centre as a full point. The 0.7 weight gave the most natural result:</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1984"/>
            <w:vAlign w:val="center"/>
            <w:shd w:val="clear" w:color="auto" w:fill="EEF3F8"/>
          </w:tcPr>
          <w:p>
            <w:pPr>
              <w:spacing w:after="0" w:before="0"/>
            </w:pPr>
            <w:r>
              <w:rPr>
                <w:b/>
                <w:color w:val="1F4E78"/>
                <w:sz w:val="20"/>
              </w:rPr>
            </w:r>
            <w:r>
              <w:rPr>
                <w:b/>
                <w:color w:val="1F4E78"/>
                <w:sz w:val="20"/>
              </w:rPr>
              <w:t>Centre weight</w:t>
            </w:r>
          </w:p>
        </w:tc>
        <w:tc>
          <w:tcPr>
            <w:tcW w:type="dxa" w:w="1701"/>
            <w:vAlign w:val="center"/>
            <w:shd w:val="clear" w:color="auto" w:fill="EEF3F8"/>
          </w:tcPr>
          <w:p>
            <w:pPr>
              <w:spacing w:after="0" w:before="0"/>
            </w:pPr>
            <w:r>
              <w:rPr>
                <w:b/>
                <w:color w:val="1F4E78"/>
                <w:sz w:val="20"/>
              </w:rPr>
            </w:r>
            <w:r>
              <w:rPr>
                <w:b/>
                <w:color w:val="1F4E78"/>
                <w:sz w:val="20"/>
              </w:rPr>
              <w:t>Value of 50.10</w:t>
            </w:r>
          </w:p>
        </w:tc>
        <w:tc>
          <w:tcPr>
            <w:tcW w:type="dxa" w:w="1701"/>
            <w:vAlign w:val="center"/>
            <w:shd w:val="clear" w:color="auto" w:fill="EEF3F8"/>
          </w:tcPr>
          <w:p>
            <w:pPr>
              <w:spacing w:after="0" w:before="0"/>
            </w:pPr>
            <w:r>
              <w:rPr>
                <w:b/>
                <w:color w:val="1F4E78"/>
                <w:sz w:val="20"/>
              </w:rPr>
            </w:r>
            <w:r>
              <w:rPr>
                <w:b/>
                <w:color w:val="1F4E78"/>
                <w:sz w:val="20"/>
              </w:rPr>
              <w:t>Value of 50.0</w:t>
            </w:r>
          </w:p>
        </w:tc>
        <w:tc>
          <w:tcPr>
            <w:tcW w:type="dxa" w:w="3118"/>
            <w:vAlign w:val="center"/>
            <w:shd w:val="clear" w:color="auto" w:fill="EEF3F8"/>
          </w:tcPr>
          <w:p>
            <w:pPr>
              <w:spacing w:after="0" w:before="0"/>
            </w:pPr>
            <w:r>
              <w:rPr>
                <w:b/>
                <w:color w:val="1F4E78"/>
                <w:sz w:val="20"/>
              </w:rPr>
            </w:r>
            <w:r>
              <w:rPr>
                <w:b/>
                <w:color w:val="1F4E78"/>
                <w:sz w:val="20"/>
              </w:rPr>
              <w:t>Does 50.0 beat 49.10?</w:t>
            </w:r>
          </w:p>
        </w:tc>
      </w:tr>
      <w:tr>
        <w:tc>
          <w:tcPr>
            <w:tcW w:type="dxa" w:w="1984"/>
            <w:vAlign w:val="center"/>
          </w:tcPr>
          <w:p>
            <w:pPr>
              <w:spacing w:after="0" w:before="0"/>
            </w:pPr>
            <w:r>
              <w:rPr>
                <w:sz w:val="20"/>
              </w:rPr>
            </w:r>
            <w:r>
              <w:rPr>
                <w:sz w:val="20"/>
              </w:rPr>
              <w:t>0.5</w:t>
            </w:r>
          </w:p>
        </w:tc>
        <w:tc>
          <w:tcPr>
            <w:tcW w:type="dxa" w:w="1701"/>
            <w:vAlign w:val="center"/>
          </w:tcPr>
          <w:p>
            <w:pPr>
              <w:spacing w:after="0" w:before="0"/>
            </w:pPr>
            <w:r>
              <w:rPr>
                <w:sz w:val="20"/>
              </w:rPr>
            </w:r>
            <w:r>
              <w:rPr>
                <w:sz w:val="20"/>
              </w:rPr>
              <w:t>55</w:t>
            </w:r>
          </w:p>
        </w:tc>
        <w:tc>
          <w:tcPr>
            <w:tcW w:type="dxa" w:w="1701"/>
            <w:vAlign w:val="center"/>
          </w:tcPr>
          <w:p>
            <w:pPr>
              <w:spacing w:after="0" w:before="0"/>
            </w:pPr>
            <w:r>
              <w:rPr>
                <w:sz w:val="20"/>
              </w:rPr>
            </w:r>
            <w:r>
              <w:rPr>
                <w:sz w:val="20"/>
              </w:rPr>
              <w:t>50</w:t>
            </w:r>
          </w:p>
        </w:tc>
        <w:tc>
          <w:tcPr>
            <w:tcW w:type="dxa" w:w="3118"/>
            <w:vAlign w:val="center"/>
          </w:tcPr>
          <w:p>
            <w:pPr>
              <w:spacing w:after="0" w:before="0"/>
            </w:pPr>
            <w:r>
              <w:rPr>
                <w:sz w:val="20"/>
              </w:rPr>
            </w:r>
            <w:r>
              <w:rPr>
                <w:sz w:val="20"/>
              </w:rPr>
              <w:t>Yes, comfortably</w:t>
            </w:r>
          </w:p>
        </w:tc>
      </w:tr>
      <w:tr>
        <w:tc>
          <w:tcPr>
            <w:tcW w:type="dxa" w:w="1984"/>
            <w:vAlign w:val="center"/>
            <w:shd w:val="clear" w:color="auto" w:fill="FFF9E6"/>
          </w:tcPr>
          <w:p>
            <w:pPr>
              <w:spacing w:after="0" w:before="0"/>
            </w:pPr>
            <w:r>
              <w:rPr>
                <w:sz w:val="20"/>
              </w:rPr>
            </w:r>
            <w:r>
              <w:rPr>
                <w:b/>
                <w:sz w:val="20"/>
              </w:rPr>
              <w:t>0.7 (selected)</w:t>
            </w:r>
          </w:p>
        </w:tc>
        <w:tc>
          <w:tcPr>
            <w:tcW w:type="dxa" w:w="1701"/>
            <w:vAlign w:val="center"/>
            <w:shd w:val="clear" w:color="auto" w:fill="FFF9E6"/>
          </w:tcPr>
          <w:p>
            <w:pPr>
              <w:spacing w:after="0" w:before="0"/>
            </w:pPr>
            <w:r>
              <w:rPr>
                <w:sz w:val="20"/>
              </w:rPr>
            </w:r>
            <w:r>
              <w:rPr>
                <w:b/>
                <w:sz w:val="20"/>
              </w:rPr>
              <w:t>57</w:t>
            </w:r>
          </w:p>
        </w:tc>
        <w:tc>
          <w:tcPr>
            <w:tcW w:type="dxa" w:w="1701"/>
            <w:vAlign w:val="center"/>
            <w:shd w:val="clear" w:color="auto" w:fill="FFF9E6"/>
          </w:tcPr>
          <w:p>
            <w:pPr>
              <w:spacing w:after="0" w:before="0"/>
            </w:pPr>
            <w:r>
              <w:rPr>
                <w:sz w:val="20"/>
              </w:rPr>
            </w:r>
            <w:r>
              <w:rPr>
                <w:b/>
                <w:sz w:val="20"/>
              </w:rPr>
              <w:t>50</w:t>
            </w:r>
          </w:p>
        </w:tc>
        <w:tc>
          <w:tcPr>
            <w:tcW w:type="dxa" w:w="3118"/>
            <w:vAlign w:val="center"/>
            <w:shd w:val="clear" w:color="auto" w:fill="FFF9E6"/>
          </w:tcPr>
          <w:p>
            <w:pPr>
              <w:spacing w:after="0" w:before="0"/>
            </w:pPr>
            <w:r>
              <w:rPr>
                <w:sz w:val="20"/>
              </w:rPr>
            </w:r>
            <w:r>
              <w:rPr>
                <w:b/>
                <w:sz w:val="20"/>
              </w:rPr>
              <w:t>Yes — by a clear 3 points</w:t>
            </w:r>
          </w:p>
        </w:tc>
      </w:tr>
      <w:tr>
        <w:tc>
          <w:tcPr>
            <w:tcW w:type="dxa" w:w="1984"/>
            <w:vAlign w:val="center"/>
          </w:tcPr>
          <w:p>
            <w:pPr>
              <w:spacing w:after="0" w:before="0"/>
            </w:pPr>
            <w:r>
              <w:rPr>
                <w:sz w:val="20"/>
              </w:rPr>
            </w:r>
            <w:r>
              <w:rPr>
                <w:sz w:val="20"/>
              </w:rPr>
              <w:t>1.0</w:t>
            </w:r>
          </w:p>
        </w:tc>
        <w:tc>
          <w:tcPr>
            <w:tcW w:type="dxa" w:w="1701"/>
            <w:vAlign w:val="center"/>
          </w:tcPr>
          <w:p>
            <w:pPr>
              <w:spacing w:after="0" w:before="0"/>
            </w:pPr>
            <w:r>
              <w:rPr>
                <w:sz w:val="20"/>
              </w:rPr>
            </w:r>
            <w:r>
              <w:rPr>
                <w:sz w:val="20"/>
              </w:rPr>
              <w:t>60</w:t>
            </w:r>
          </w:p>
        </w:tc>
        <w:tc>
          <w:tcPr>
            <w:tcW w:type="dxa" w:w="1701"/>
            <w:vAlign w:val="center"/>
          </w:tcPr>
          <w:p>
            <w:pPr>
              <w:spacing w:after="0" w:before="0"/>
            </w:pPr>
            <w:r>
              <w:rPr>
                <w:sz w:val="20"/>
              </w:rPr>
            </w:r>
            <w:r>
              <w:rPr>
                <w:sz w:val="20"/>
              </w:rPr>
              <w:t>50</w:t>
            </w:r>
          </w:p>
        </w:tc>
        <w:tc>
          <w:tcPr>
            <w:tcW w:type="dxa" w:w="3118"/>
            <w:vAlign w:val="center"/>
          </w:tcPr>
          <w:p>
            <w:pPr>
              <w:spacing w:after="0" w:before="0"/>
            </w:pPr>
            <w:r>
              <w:rPr>
                <w:sz w:val="20"/>
              </w:rPr>
            </w:r>
            <w:r>
              <w:rPr>
                <w:sz w:val="20"/>
              </w:rPr>
              <w:t>Yes, but only just</w:t>
            </w:r>
          </w:p>
        </w:tc>
      </w:tr>
      <w:tr>
        <w:tc>
          <w:tcPr>
            <w:tcW w:type="dxa" w:w="1984"/>
            <w:vAlign w:val="center"/>
          </w:tcPr>
          <w:p>
            <w:pPr>
              <w:spacing w:after="0" w:before="0"/>
            </w:pPr>
            <w:r>
              <w:rPr>
                <w:sz w:val="20"/>
              </w:rPr>
            </w:r>
            <w:r>
              <w:rPr>
                <w:sz w:val="20"/>
              </w:rPr>
              <w:t>Full centre rule</w:t>
            </w:r>
          </w:p>
        </w:tc>
        <w:tc>
          <w:tcPr>
            <w:tcW w:type="dxa" w:w="1701"/>
            <w:vAlign w:val="center"/>
          </w:tcPr>
          <w:p>
            <w:pPr>
              <w:spacing w:after="0" w:before="0"/>
            </w:pPr>
            <w:r>
              <w:rPr>
                <w:sz w:val="20"/>
              </w:rPr>
            </w:r>
            <w:r>
              <w:rPr>
                <w:sz w:val="20"/>
              </w:rPr>
              <w:t>Complex jump</w:t>
            </w:r>
          </w:p>
        </w:tc>
        <w:tc>
          <w:tcPr>
            <w:tcW w:type="dxa" w:w="1701"/>
            <w:vAlign w:val="center"/>
          </w:tcPr>
          <w:p>
            <w:pPr>
              <w:spacing w:after="0" w:before="0"/>
            </w:pPr>
            <w:r>
              <w:rPr>
                <w:sz w:val="20"/>
              </w:rPr>
            </w:r>
            <w:r>
              <w:rPr>
                <w:sz w:val="20"/>
              </w:rPr>
              <w:t>Complex jump</w:t>
            </w:r>
          </w:p>
        </w:tc>
        <w:tc>
          <w:tcPr>
            <w:tcW w:type="dxa" w:w="3118"/>
            <w:vAlign w:val="center"/>
          </w:tcPr>
          <w:p>
            <w:pPr>
              <w:spacing w:after="0" w:before="0"/>
            </w:pPr>
            <w:r>
              <w:rPr>
                <w:sz w:val="20"/>
              </w:rPr>
            </w:r>
            <w:r>
              <w:rPr>
                <w:sz w:val="20"/>
              </w:rPr>
              <w:t>Sometimes — unpredictable</w:t>
            </w:r>
          </w:p>
        </w:tc>
      </w:tr>
    </w:tbl>
    <w:p>
      <w:pPr>
        <w:spacing w:after="40"/>
      </w:pPr>
    </w:p>
    <w:p>
      <w:pPr>
        <w:spacing w:after="80"/>
      </w:pPr>
      <w:r>
        <w:rPr>
          <w:sz w:val="22"/>
        </w:rPr>
        <w:t>At 0.7, a 10-centre string clearly outranks a same-score zero-centre string (by 7 points), but a higher raw score still beats a lower one with more centres — which matches how NRAA scoring has always worked.</w:t>
      </w:r>
    </w:p>
    <w:p>
      <w:r>
        <w:br w:type="page"/>
      </w:r>
    </w:p>
    <w:p>
      <w:pPr>
        <w:spacing w:before="160" w:after="60"/>
      </w:pPr>
      <w:r>
        <w:rPr>
          <w:b/>
          <w:color w:val="1F4E78"/>
          <w:sz w:val="26"/>
        </w:rPr>
        <w:t>Common questions from the committee</w:t>
      </w:r>
    </w:p>
    <w:p>
      <w:pPr>
        <w:spacing w:after="80"/>
      </w:pPr>
      <w:r>
        <w:rPr>
          <w:b/>
          <w:sz w:val="22"/>
        </w:rPr>
        <w:t>"Why should a national formula apply to our club championship?"</w:t>
      </w:r>
    </w:p>
    <w:p>
      <w:pPr>
        <w:spacing w:after="80"/>
      </w:pPr>
      <w:r>
        <w:rPr>
          <w:sz w:val="22"/>
        </w:rPr>
        <w:t>A 500m target is the same size in Geelong as it is in Belmont, Brisbane or Perth. The physics of shooting doesn't change at the state border. A TR rifle isn't harder to shoot because it's in Victoria. So the fairness factors should come from the largest, most representative dataset we can find — and that's the national K&amp;Q pool, not Geelong's 270 scores from one season.</w:t>
      </w:r>
    </w:p>
    <w:p>
      <w:pPr>
        <w:spacing w:after="80"/>
      </w:pPr>
      <w:r>
        <w:rPr>
          <w:b/>
          <w:sz w:val="22"/>
        </w:rPr>
        <w:t>"What if Geelong has more Sporter shooters than other clubs?"</w:t>
      </w:r>
    </w:p>
    <w:p>
      <w:pPr>
        <w:spacing w:after="80"/>
      </w:pPr>
      <w:r>
        <w:rPr>
          <w:sz w:val="22"/>
        </w:rPr>
        <w:t>That's true today, and it might change next year if new members join or current ones leave. A formula that depends on which shooters happened to be at Geelong this season is unstable — we'd be re-tuning it every year for reasons that have nothing to do with how the disciplines compare.</w:t>
      </w:r>
    </w:p>
    <w:p>
      <w:pPr>
        <w:spacing w:after="80"/>
      </w:pPr>
      <w:r>
        <w:rPr>
          <w:b/>
          <w:sz w:val="22"/>
        </w:rPr>
        <w:t>"Doesn't this give one discipline an advantage in our championship?"</w:t>
      </w:r>
    </w:p>
    <w:p>
      <w:pPr>
        <w:spacing w:after="80"/>
      </w:pPr>
      <w:r>
        <w:rPr>
          <w:sz w:val="22"/>
        </w:rPr>
        <w:t xml:space="preserve">Looking at the V5 factor spread of just 0.092 — these are very close numbers. If the committee decides it wants </w:t>
      </w:r>
      <w:r>
        <w:rPr>
          <w:b/>
          <w:sz w:val="22"/>
        </w:rPr>
        <w:t>every</w:t>
      </w:r>
      <w:r>
        <w:rPr>
          <w:sz w:val="22"/>
        </w:rPr>
        <w:t xml:space="preserve"> discipline to win the championship in roughly equal proportions (for example to keep all disciplines feeling competitive), that's a separate policy decision and we can layer it on top of V5. But that is a championship-design choice, not a fairness choice. V5 answers the question "how difficult was this score to achieve?" — it doesn't pre-engineer who wins.</w:t>
      </w:r>
    </w:p>
    <w:p>
      <w:pPr>
        <w:spacing w:after="80"/>
      </w:pPr>
      <w:r>
        <w:rPr>
          <w:b/>
          <w:sz w:val="22"/>
        </w:rPr>
        <w:t>"How often will V5 need updating?"</w:t>
      </w:r>
    </w:p>
    <w:p>
      <w:pPr>
        <w:spacing w:after="80"/>
      </w:pPr>
      <w:r>
        <w:rPr>
          <w:sz w:val="22"/>
        </w:rPr>
        <w:t>The factors should be re-checked once a year as new K&amp;Q championships are fired. The methodology is reproducible — we just re-run the calculation with the new data. Small year-on-year shifts are normal; large shifts would prompt a review.</w:t>
      </w:r>
    </w:p>
    <w:p>
      <w:pPr>
        <w:spacing w:after="80"/>
      </w:pPr>
      <w:r>
        <w:rPr>
          <w:b/>
          <w:sz w:val="22"/>
        </w:rPr>
        <w:t>"What if a competitor doesn't agree with their discipline's factor?"</w:t>
      </w:r>
    </w:p>
    <w:p>
      <w:pPr>
        <w:spacing w:after="80"/>
      </w:pPr>
      <w:r>
        <w:rPr>
          <w:sz w:val="22"/>
        </w:rPr>
        <w:t>Every factor is derived from how the top 40% of that discipline actually scored in real championships, against the top 40% of every other discipline in the same events. There's nothing arbitrary in the numbers — they fall out of the data. If a discipline feels under-rewarded, the test is to look at how it actually performs at K&amp;Q level, not at intuition.</w:t>
      </w:r>
    </w:p>
    <w:p>
      <w:pPr>
        <w:spacing w:before="160" w:after="60"/>
      </w:pPr>
      <w:r>
        <w:rPr>
          <w:b/>
          <w:color w:val="1F4E78"/>
          <w:sz w:val="26"/>
        </w:rPr>
        <w:t>Summary</w:t>
      </w:r>
    </w:p>
    <w:p>
      <w:pPr>
        <w:pStyle w:val="ListBullet"/>
        <w:spacing w:after="40"/>
      </w:pPr>
      <w:r>
        <w:rPr>
          <w:sz w:val="22"/>
        </w:rPr>
        <w:t>V5 is calibrated against 20,335 K&amp;Q championship scores from 2024 onwards, across all seven state and national associations.</w:t>
      </w:r>
    </w:p>
    <w:p>
      <w:pPr>
        <w:pStyle w:val="ListBullet"/>
        <w:spacing w:after="40"/>
      </w:pPr>
      <w:r>
        <w:rPr>
          <w:sz w:val="22"/>
        </w:rPr>
        <w:t>It's the largest and fairest dataset available — 75 times bigger than any one club season.</w:t>
      </w:r>
    </w:p>
    <w:p>
      <w:pPr>
        <w:pStyle w:val="ListBullet"/>
        <w:spacing w:after="40"/>
      </w:pPr>
      <w:r>
        <w:rPr>
          <w:sz w:val="22"/>
        </w:rPr>
        <w:t>The five discipline factors are all within 0.092 of each other — much closer than people often assume.</w:t>
      </w:r>
    </w:p>
    <w:p>
      <w:pPr>
        <w:pStyle w:val="ListBullet"/>
        <w:spacing w:after="40"/>
      </w:pPr>
      <w:r>
        <w:rPr>
          <w:sz w:val="22"/>
        </w:rPr>
        <w:t>Two completely different statistical approaches give the same answer, and every state agrees with every other state. That's strong evidence the numbers are right.</w:t>
      </w:r>
    </w:p>
    <w:p>
      <w:pPr>
        <w:pStyle w:val="ListBullet"/>
        <w:spacing w:after="40"/>
      </w:pPr>
      <w:r>
        <w:rPr>
          <w:sz w:val="22"/>
        </w:rPr>
        <w:t>Local-only data was tested and failed — sample sizes are too small and F/TR can't be calibrated at all from one club's data.</w:t>
      </w:r>
    </w:p>
    <w:p>
      <w:pPr>
        <w:pStyle w:val="ListBullet"/>
        <w:spacing w:after="40"/>
      </w:pPr>
      <w:r>
        <w:rPr>
          <w:sz w:val="22"/>
        </w:rPr>
        <w:t>Prize-meet data was tested and failed — Western Australia distorts it one way, east-coast club specialisation distorts it another way.</w:t>
      </w:r>
    </w:p>
    <w:p>
      <w:pPr>
        <w:spacing w:after="80"/>
      </w:pPr>
    </w:p>
    <w:p>
      <w:pPr>
        <w:spacing w:after="80"/>
      </w:pPr>
      <w:r>
        <w:rPr>
          <w:b/>
          <w:sz w:val="22"/>
        </w:rPr>
        <w:t>The committee's role:</w:t>
      </w:r>
      <w:r>
        <w:rPr>
          <w:sz w:val="22"/>
        </w:rPr>
        <w:t xml:space="preserve"> decide whether to adopt V5 (recommended) and whether any further policy adjustment is wanted on top of it.</w:t>
      </w:r>
    </w:p>
    <w:p>
      <w:pPr>
        <w:spacing w:after="40"/>
      </w:pPr>
    </w:p>
    <w:p>
      <w:pPr>
        <w:spacing w:after="80"/>
      </w:pPr>
      <w:r>
        <w:rPr>
          <w:i/>
          <w:color w:val="888888"/>
          <w:sz w:val="18"/>
        </w:rPr>
        <w:t>End of plain-English summary. Full technical report available on request.</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