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removed the claim.</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Yeah it does – I have changed it to say “a positive sign, and hence bluer colours”.</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can see how this can easily be thought, when looking at the plot! I have added the SNO+ PMT transit time distribution, which shows the four main “bumps” of interest: the pre-pulse, direct pulse, and two late-pulse bumps. With this addition, I think it becomes more obvious why the bump at 19 ns cannot be just a shifted version of the 14 ns late pulse bump.</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I’m not quite sure what you mean by this?</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to the legend the median value of each of the histograms; the results nicely show that the t_med is much more stable as a function of intensity.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2A6099"/>
          <w:kern w:val="0"/>
          <w:sz w:val="24"/>
          <w:szCs w:val="24"/>
          <w:lang w:val="en-GB"/>
        </w:rPr>
      </w:pPr>
      <w:r>
        <w:rPr>
          <w:rFonts w:cs="Calibri" w:ascii="Liberation Sans" w:hAnsi="Liberation Sans"/>
          <w:color w:val="2A6099"/>
          <w:kern w:val="0"/>
          <w:sz w:val="24"/>
          <w:szCs w:val="24"/>
          <w:lang w:val="en-GB"/>
        </w:rPr>
        <w:t>81/105 – “By modelling the laser light emission into the detector correctly”: alt. “By modelling the laser light emission into, and propagation within the detector correctly”</w:t>
      </w:r>
    </w:p>
    <w:p>
      <w:pPr>
        <w:pStyle w:val="Normal"/>
        <w:rPr>
          <w:rFonts w:ascii="Liberation Sans" w:hAnsi="Liberation Sans" w:cs="Calibri"/>
          <w:color w:val="C9211E"/>
          <w:kern w:val="0"/>
          <w:sz w:val="24"/>
          <w:szCs w:val="24"/>
          <w:lang w:val="en-GB"/>
        </w:rPr>
      </w:pPr>
      <w:r>
        <w:rPr>
          <w:rFonts w:cs="Calibri" w:ascii="Liberation Sans" w:hAnsi="Liberation Sans"/>
          <w:color w:val="C9211E"/>
          <w:kern w:val="0"/>
          <w:sz w:val="24"/>
          <w:szCs w:val="24"/>
          <w:lang w:val="en-GB"/>
        </w:rPr>
        <w:t>Agreed; changed.</w:t>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ListParagraph"/>
        <w:numPr>
          <w:ilvl w:val="0"/>
          <w:numId w:val="0"/>
        </w:numPr>
        <w:ind w:start="720" w:hanging="0"/>
        <w:rPr>
          <w:rFonts w:ascii="Liberation Sans" w:hAnsi="Liberation Sans"/>
          <w:color w:val="C9211E"/>
        </w:rPr>
      </w:pPr>
      <w:r>
        <w:rPr>
          <w:rFonts w:ascii="Liberation Sans" w:hAnsi="Liberation Sans"/>
          <w:color w:val="C9211E"/>
        </w:rPr>
        <w:t>Fibre modes is very much the leading hypothesis for the speckle-pattern effect. I have added a sentence noting this.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simulation does assume perfectly specular reflections on the AV; whether this matches reality is another question! I also find this effect somewhat surprising.</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Does the MC show any far AV reflection for FS115? It doesn’t look like it, and that peak is certainly seen in the data. That is strange. Could it be deviations of the AV from a perfect sphere?</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MC shows a negligible amount of far AV reflections for FS155, in strong contrast to the data. I agree that it is strange! One possibility could be an increased amount of scattering within the acrylic, which would allow light that hit the far AV to come back at non-specular angles.</w:t>
      </w:r>
    </w:p>
    <w:p>
      <w:pPr>
        <w:pStyle w:val="ListParagraph"/>
        <w:numPr>
          <w:ilvl w:val="0"/>
          <w:numId w:val="0"/>
        </w:numPr>
        <w:ind w:hanging="0"/>
        <w:rPr>
          <w:rFonts w:ascii="Liberation Sans" w:hAnsi="Liberation Sans"/>
          <w:color w:val="2A6099"/>
        </w:rPr>
      </w:pPr>
      <w:r>
        <w:rPr>
          <w:rFonts w:ascii="Liberation Sans" w:hAnsi="Liberation Sans"/>
          <w:color w:val="2A6099"/>
        </w:rPr>
        <w:t>108/132 – “In this chapter, the simulation of SMELLIE events was updated in two ways.”: alt. “This chapter describes two updates to the simulation of SMELLIE events.”</w:t>
      </w:r>
    </w:p>
    <w:p>
      <w:pPr>
        <w:pStyle w:val="ListParagraph"/>
        <w:numPr>
          <w:ilvl w:val="0"/>
          <w:numId w:val="0"/>
        </w:numPr>
        <w:ind w:hanging="0"/>
        <w:rPr>
          <w:rFonts w:ascii="Liberation Sans" w:hAnsi="Liberation Sans"/>
          <w:color w:val="C9211E"/>
        </w:rPr>
      </w:pPr>
      <w:r>
        <w:rPr>
          <w:rFonts w:ascii="Liberation Sans" w:hAnsi="Liberation Sans"/>
          <w:color w:val="C9211E"/>
        </w:rPr>
        <w:t>Made the change, except using “described” instead of “describes” as this is the conclusions section of the chapter.</w:t>
      </w:r>
    </w:p>
    <w:p>
      <w:pPr>
        <w:pStyle w:val="ListParagraph"/>
        <w:ind w:hanging="0"/>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112/136 (Fig 5.1) – This was the one that confused me in comparing scattering and attenuation. It might be better to actually calculate the absorption and plot that to make the desired comparison.</w:t>
      </w:r>
    </w:p>
    <w:p>
      <w:pPr>
        <w:pStyle w:val="Normal"/>
        <w:rPr>
          <w:rFonts w:ascii="Liberation Sans" w:hAnsi="Liberation Sans"/>
          <w:color w:val="C9211E"/>
        </w:rPr>
      </w:pPr>
      <w:r>
        <w:rPr>
          <w:rFonts w:ascii="Liberation Sans" w:hAnsi="Liberation Sans"/>
          <w:color w:val="C9211E"/>
        </w:rPr>
        <w:t>Understood. I have now added the absorption length distribution for LABPPO into the plot, so that you can now see the expected dominance of the scattering at long wavelengths.</w:t>
      </w:r>
    </w:p>
    <w:p>
      <w:pPr>
        <w:pStyle w:val="Normal"/>
        <w:rPr>
          <w:rFonts w:ascii="Liberation Sans" w:hAnsi="Liberation Sans"/>
          <w:color w:val="2A6099"/>
        </w:rPr>
      </w:pPr>
      <w:r>
        <w:rPr>
          <w:rFonts w:ascii="Liberation Sans" w:hAnsi="Liberation Sans"/>
          <w:color w:val="2A6099"/>
        </w:rPr>
        <w:t>113/137 – “radially-opposite”: alt. “diametrically-opposite”?</w:t>
      </w:r>
    </w:p>
    <w:p>
      <w:pPr>
        <w:pStyle w:val="Normal"/>
        <w:rPr>
          <w:rFonts w:ascii="Liberation Sans" w:hAnsi="Liberation Sans"/>
          <w:color w:val="C9211E"/>
        </w:rPr>
      </w:pPr>
      <w:r>
        <w:rPr>
          <w:rFonts w:ascii="Liberation Sans" w:hAnsi="Liberation Sans"/>
          <w:color w:val="C9211E"/>
        </w:rPr>
        <w:t>Sure; changed.</w:t>
      </w:r>
    </w:p>
    <w:p>
      <w:pPr>
        <w:pStyle w:val="Normal"/>
        <w:rPr>
          <w:rFonts w:ascii="Liberation Sans" w:hAnsi="Liberation Sans"/>
          <w:color w:val="2A6099"/>
        </w:rPr>
      </w:pPr>
      <w:r>
        <w:rPr>
          <w:rFonts w:ascii="Liberation Sans" w:hAnsi="Liberation Sans"/>
          <w:color w:val="2A6099"/>
        </w:rPr>
        <w:t>114/138 – “length of path”: alt. “path length traversed”</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114/138 – “between two mediums”: alt. “between two media”</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117/141 (Fig 5.3) I think the y-axis units are wrong.</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175/199 – Table 6.4. For the 8B what sets the inefficiency? Is this just FV &amp; energy, or does reconstruction or something fail for some events that “should” pass? </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the signal flux as a means of comparison.” You could also just compare the posterior distribution to the constraint. If they are identical then the data hasn’t added any information. </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withing this allowed range (if true).  </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Oftern, pull and bias distributions are shown to validate both the fit and the fit uncertainty.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25315</TotalTime>
  <Application>LibreOffice/7.4.5.1$Linux_X86_64 LibreOffice_project/40$Build-1</Application>
  <AppVersion>15.0000</AppVersion>
  <Pages>13</Pages>
  <Words>5137</Words>
  <Characters>25243</Characters>
  <CharactersWithSpaces>30176</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2023-12-27T17:02:07Z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