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Software Project Management Plan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TradeSage AI</w:t>
      </w: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document defines the management approach for TradeSage AI: schedule, effort allocation, risk register.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Project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TradeSage AI is developed by a single student across four phases: Setup &amp; Documentation, MVP Core, ML Depth &amp; Credibility Layer, and Polish/Stretch Goals — as defined in the locked project specification.</w:t>
      </w: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Project Organization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Solo development. One person holds all roles: Developer, Tester, and (within the application itself) both the Trader/User and Admin actors. No team-coordination overhead, but no redundancy either — schedule risk from illness, blockers, or scope misjudgment falls entirely on one person, so slack time is built into the schedule below rather than assumed away.</w:t>
      </w: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Effort Estimate (60 Lab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852"/>
        <w:gridCol w:w="1350"/>
        <w:gridCol w:w="474"/>
      </w:tblGrid>
      <w:tr>
        <w:trPr>
          <w:tblHeader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of Total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Documentation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Core (Auth, Portfolio, baseline Signal Engine)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Depth (sentiment, LSTM, backtesting, explainability)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43%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goals (Watchlist, Admin panel) — if time allows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58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(debugging, integration issues, report writing)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2 gets the largest share deliberately — it's the part most likely to overrun (model tuning, aligning sentiment + price data, backtest correctness) and it's what makes the ML claims in the report defensible. If time runs short, Phase 3 is cut first, not Phase 2.</w:t>
      </w: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Schedule /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437"/>
        <w:gridCol w:w="5239"/>
      </w:tblGrid>
      <w:tr>
        <w:trPr>
          <w:tblHeader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0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Synopsis, SRS, SPMP finalized; repo + coding-standard boilerplate ready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1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MVP: auth, portfolio tracking, baseline signal (no sentiment/LSTM yet)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Phase 2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 pipeline + LSTM integrated, compared against baseline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2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module complete (Sharpe/win-rate/drawdown); Limitations section drafted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3 (if reached)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goals implemented, or explicitly deferred with justification in report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4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</w:t>
            </w:r>
          </w:p>
        </w:tc>
        <w:tc>
          <w:tcPr>
            <w:tcW w:type="dxa" w:w="52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testing (2–3 traders, CO6), Final Report, PPT complete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Risk Management (Risk Register)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4"/>
        <w:gridCol w:w="1350"/>
        <w:gridCol w:w="1350"/>
        <w:gridCol w:w="2912"/>
      </w:tblGrid>
      <w:tr>
        <w:trPr>
          <w:tblHeader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signal accuracy / weak sentiment-price correlation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Framed from the start as expected — evaluation uses Sharpe/win-rate/drawdown, not accuracy, so a “weak” directional signal is still a valid, honestly-reported result</w:t>
            </w:r>
          </w:p>
        </w:tc>
      </w:tr>
      <w:tr>
        <w:trPr>
          <w:tblHeader w:val="false"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API rate limits (yfinance, NewsAPI, Reddit)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responses locally; design refresh schedule around limits, not around ideal frequency</w:t>
            </w:r>
          </w:p>
        </w:tc>
      </w:tr>
      <w:tr>
        <w:trPr>
          <w:tblHeader w:val="false"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schedule risk (no redundancy if blocked)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hours reserved (Section 3); Phase 3 is the pressure valve — cut first, not Phase 2</w:t>
            </w:r>
          </w:p>
        </w:tc>
      </w:tr>
      <w:tr>
        <w:trPr>
          <w:tblHeader w:val="false"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LSTM/GRU training complexity underestimated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(Logistic Regression/Random Forest) ships first in Phase 1, so there’s always a working fallback even if LSTM integration slips</w:t>
            </w:r>
          </w:p>
        </w:tc>
      </w:tr>
      <w:tr>
        <w:trPr>
          <w:tblHeader w:val="false"/>
        </w:trPr>
        <w:tc>
          <w:tcPr>
            <w:tcW w:type="dxa" w:w="34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Non-stationarity of financial data degrades model over time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(for project scope)</w:t>
            </w:r>
          </w:p>
        </w:tc>
        <w:tc>
          <w:tcPr>
            <w:tcW w:type="dxa" w:w="29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documented as a known limitation, not hidden — protects report credibility per the Honesty Framework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Monitoring &amp; Control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progress log maintained for internal guide review (lab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milestone (M1–M6) reviewed against actual hours spent vs. estimate; if a phase overruns by more than ~20%, remaining Phase 3 scope is reassessed immediately rather than at the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Coding Standard compliance checked at each module completion, not deferred to a final cleanup pass</w:t>
      </w:r>
    </w:p>
    <w:p>
      <w:pPr>
        <w:pStyle w:val="Heading1"/>
        <w:pBdr>
          <w:bottom w:val="single" w:color="1F4E79" w:sz="6" w:space="2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Quality Assurance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code follows the CHARUSAT Coding Standard (naming conventions, module headers). Every module includes a header documenting name, date, author, modification history, synopsis, and functions/I-O params, per course requirement.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TradeSage AI SPMP | Decision-support tool, not financial advice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4</cp:revision>
  <dcterms:created xsi:type="dcterms:W3CDTF">2026-10-10T18:35:39.569Z</dcterms:created>
  <dcterms:modified xsi:type="dcterms:W3CDTF">2026-10-29T08:44:34Z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