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Polaris API: Confirming Notice Delivery</w:t>
      </w:r>
    </w:p>
    <w:p>
      <w:pPr>
        <w:spacing w:after="400"/>
        <w:jc w:val="center"/>
      </w:pPr>
      <w:r>
        <w:rPr>
          <w:i/>
          <w:iCs/>
          <w:sz w:val="22"/>
          <w:szCs w:val="22"/>
        </w:rPr>
        <w:t xml:space="preserve">Technical Implementation Guide with GuzzleHttp</w:t>
      </w:r>
    </w:p>
    <w:p>
      <w:pPr>
        <w:pStyle w:val="Heading1"/>
      </w:pPr>
      <w:r>
        <w:t xml:space="preserve">Overview</w:t>
      </w:r>
    </w:p>
    <w:p>
      <w:pPr>
        <w:spacing w:after="120"/>
      </w:pPr>
      <w:r>
        <w:t xml:space="preserve">The Polaris API provides methods to confirm that patron notifications have been successfully delivered. This is essential for maintaining accurate notification logs and ensuring patrons are properly contacted about holds, overdues, and other library notifications.</w:t>
      </w:r>
    </w:p>
    <w:p>
      <w:pPr>
        <w:spacing w:after="200"/>
      </w:pPr>
      <w:r>
        <w:t xml:space="preserve">This guide covers the NotificationUpdatePut endpoint and provides complete GuzzleHttp implementation examples for PHP applications.</w:t>
      </w:r>
    </w:p>
    <w:p>
      <w:pPr>
        <w:pStyle w:val="Heading1"/>
      </w:pPr>
      <w:r>
        <w:t xml:space="preserve">API Endpoint</w:t>
      </w:r>
    </w:p>
    <w:p>
      <w:pPr>
        <w:pStyle w:val="Heading2"/>
      </w:pPr>
      <w:r>
        <w:t xml:space="preserve">NotificationUpdatePut</w:t>
      </w:r>
    </w:p>
    <w:p>
      <w:pPr>
        <w:spacing w:after="120"/>
      </w:pPr>
      <w:r>
        <w:rPr>
          <w:b/>
          <w:bCs/>
        </w:rPr>
        <w:t xml:space="preserve">Endpoint: </w:t>
      </w:r>
      <w:r>
        <w:t xml:space="preserve">PUT /PAPIservice/REST/protected/v1/{LangID}/{AppID}/{OrgID}/{AccessToken}/notification/{NotificationTypeID}</w:t>
      </w:r>
    </w:p>
    <w:p>
      <w:pPr>
        <w:spacing w:after="200"/>
      </w:pPr>
      <w:r>
        <w:rPr>
          <w:b/>
          <w:bCs/>
        </w:rPr>
        <w:t xml:space="preserve">Purpose: </w:t>
      </w:r>
      <w:r>
        <w:t xml:space="preserve">Updates the Notification Log and removes or updates the Notification Queue entry. This method should be called after a patron is contacted to confirm delivery.</w:t>
      </w:r>
    </w:p>
    <w:p>
      <w:pPr>
        <w:pStyle w:val="Heading2"/>
      </w:pPr>
      <w:r>
        <w:t xml:space="preserve">URL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Parameter</w:t>
            </w:r>
          </w:p>
        </w:tc>
        <w:tc>
          <w:tcPr>
            <w:tcW w:type="dxa" w:w="684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Pr>
          <w:p>
            <w:r>
              <w:rPr>
                <w:b/>
                <w:bCs/>
              </w:rPr>
              <w:t xml:space="preserve">LangID</w:t>
            </w:r>
          </w:p>
        </w:tc>
        <w:tc>
          <w:tcPr>
            <w:tcW w:type="dxa" w:w="6840"/>
            <w:tcBorders>
              <w:top w:val="single" w:color="CCCCCC" w:sz="1"/>
              <w:left w:val="single" w:color="CCCCCC" w:sz="1"/>
              <w:bottom w:val="single" w:color="CCCCCC" w:sz="1"/>
              <w:right w:val="single" w:color="CCCCCC" w:sz="1"/>
            </w:tcBorders>
          </w:tcPr>
          <w:p>
            <w:r>
              <w:t xml:space="preserve">Language identifier (integer)</w:t>
            </w:r>
          </w:p>
        </w:tc>
      </w:tr>
      <w:tr>
        <w:tc>
          <w:tcPr>
            <w:tcW w:type="dxa" w:w="2340"/>
            <w:tcBorders>
              <w:top w:val="single" w:color="CCCCCC" w:sz="1"/>
              <w:left w:val="single" w:color="CCCCCC" w:sz="1"/>
              <w:bottom w:val="single" w:color="CCCCCC" w:sz="1"/>
              <w:right w:val="single" w:color="CCCCCC" w:sz="1"/>
            </w:tcBorders>
          </w:tcPr>
          <w:p>
            <w:r>
              <w:rPr>
                <w:b/>
                <w:bCs/>
              </w:rPr>
              <w:t xml:space="preserve">AppID</w:t>
            </w:r>
          </w:p>
        </w:tc>
        <w:tc>
          <w:tcPr>
            <w:tcW w:type="dxa" w:w="6840"/>
            <w:tcBorders>
              <w:top w:val="single" w:color="CCCCCC" w:sz="1"/>
              <w:left w:val="single" w:color="CCCCCC" w:sz="1"/>
              <w:bottom w:val="single" w:color="CCCCCC" w:sz="1"/>
              <w:right w:val="single" w:color="CCCCCC" w:sz="1"/>
            </w:tcBorders>
          </w:tcPr>
          <w:p>
            <w:r>
              <w:t xml:space="preserve">Calling application (product) ID</w:t>
            </w:r>
          </w:p>
        </w:tc>
      </w:tr>
      <w:tr>
        <w:tc>
          <w:tcPr>
            <w:tcW w:type="dxa" w:w="2340"/>
            <w:tcBorders>
              <w:top w:val="single" w:color="CCCCCC" w:sz="1"/>
              <w:left w:val="single" w:color="CCCCCC" w:sz="1"/>
              <w:bottom w:val="single" w:color="CCCCCC" w:sz="1"/>
              <w:right w:val="single" w:color="CCCCCC" w:sz="1"/>
            </w:tcBorders>
          </w:tcPr>
          <w:p>
            <w:r>
              <w:rPr>
                <w:b/>
                <w:bCs/>
              </w:rPr>
              <w:t xml:space="preserve">OrgID</w:t>
            </w:r>
          </w:p>
        </w:tc>
        <w:tc>
          <w:tcPr>
            <w:tcW w:type="dxa" w:w="6840"/>
            <w:tcBorders>
              <w:top w:val="single" w:color="CCCCCC" w:sz="1"/>
              <w:left w:val="single" w:color="CCCCCC" w:sz="1"/>
              <w:bottom w:val="single" w:color="CCCCCC" w:sz="1"/>
              <w:right w:val="single" w:color="CCCCCC" w:sz="1"/>
            </w:tcBorders>
          </w:tcPr>
          <w:p>
            <w:r>
              <w:t xml:space="preserve">Organization identifier (system-level or branch-level)</w:t>
            </w:r>
          </w:p>
        </w:tc>
      </w:tr>
      <w:tr>
        <w:tc>
          <w:tcPr>
            <w:tcW w:type="dxa" w:w="2340"/>
            <w:tcBorders>
              <w:top w:val="single" w:color="CCCCCC" w:sz="1"/>
              <w:left w:val="single" w:color="CCCCCC" w:sz="1"/>
              <w:bottom w:val="single" w:color="CCCCCC" w:sz="1"/>
              <w:right w:val="single" w:color="CCCCCC" w:sz="1"/>
            </w:tcBorders>
          </w:tcPr>
          <w:p>
            <w:r>
              <w:rPr>
                <w:b/>
                <w:bCs/>
              </w:rPr>
              <w:t xml:space="preserve">AccessToken</w:t>
            </w:r>
          </w:p>
        </w:tc>
        <w:tc>
          <w:tcPr>
            <w:tcW w:type="dxa" w:w="6840"/>
            <w:tcBorders>
              <w:top w:val="single" w:color="CCCCCC" w:sz="1"/>
              <w:left w:val="single" w:color="CCCCCC" w:sz="1"/>
              <w:bottom w:val="single" w:color="CCCCCC" w:sz="1"/>
              <w:right w:val="single" w:color="CCCCCC" w:sz="1"/>
            </w:tcBorders>
          </w:tcPr>
          <w:p>
            <w:r>
              <w:t xml:space="preserve">Authentication token obtained from staff authentication</w:t>
            </w:r>
          </w:p>
        </w:tc>
      </w:tr>
      <w:tr>
        <w:tc>
          <w:tcPr>
            <w:tcW w:type="dxa" w:w="2340"/>
            <w:tcBorders>
              <w:top w:val="single" w:color="CCCCCC" w:sz="1"/>
              <w:left w:val="single" w:color="CCCCCC" w:sz="1"/>
              <w:bottom w:val="single" w:color="CCCCCC" w:sz="1"/>
              <w:right w:val="single" w:color="CCCCCC" w:sz="1"/>
            </w:tcBorders>
          </w:tcPr>
          <w:p>
            <w:r>
              <w:rPr>
                <w:b/>
                <w:bCs/>
              </w:rPr>
              <w:t xml:space="preserve">NotificationTypeID</w:t>
            </w:r>
          </w:p>
        </w:tc>
        <w:tc>
          <w:tcPr>
            <w:tcW w:type="dxa" w:w="6840"/>
            <w:tcBorders>
              <w:top w:val="single" w:color="CCCCCC" w:sz="1"/>
              <w:left w:val="single" w:color="CCCCCC" w:sz="1"/>
              <w:bottom w:val="single" w:color="CCCCCC" w:sz="1"/>
              <w:right w:val="single" w:color="CCCCCC" w:sz="1"/>
            </w:tcBorders>
          </w:tcPr>
          <w:p>
            <w:r>
              <w:t xml:space="preserve">Notification type identifier (0-20)</w:t>
            </w:r>
          </w:p>
        </w:tc>
      </w:tr>
    </w:tbl>
    <w:p>
      <w:r>
        <w:t xml:space="preserve"/>
      </w:r>
    </w:p>
    <w:p>
      <w:pPr>
        <w:pStyle w:val="Heading2"/>
      </w:pPr>
      <w:r>
        <w:t xml:space="preserve">Request Body Parameters</w:t>
      </w:r>
    </w:p>
    <w:p>
      <w:pPr>
        <w:spacing w:after="120"/>
      </w:pPr>
      <w:r>
        <w:t xml:space="preserve">The request body should be JSON formatted with the following fields: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Field</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Type</w:t>
            </w:r>
          </w:p>
        </w:tc>
        <w:tc>
          <w:tcPr>
            <w:tcW w:type="dxa" w:w="468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Pr>
          <w:p>
            <w:r>
              <w:rPr>
                <w:b/>
                <w:bCs/>
              </w:rPr>
              <w:t xml:space="preserve">NotificationStatusID</w:t>
            </w:r>
          </w:p>
        </w:tc>
        <w:tc>
          <w:tcPr>
            <w:tcW w:type="dxa" w:w="2340"/>
            <w:tcBorders>
              <w:top w:val="single" w:color="CCCCCC" w:sz="1"/>
              <w:left w:val="single" w:color="CCCCCC" w:sz="1"/>
              <w:bottom w:val="single" w:color="CCCCCC" w:sz="1"/>
              <w:right w:val="single" w:color="CCCCCC" w:sz="1"/>
            </w:tcBorders>
          </w:tcPr>
          <w:p>
            <w:r>
              <w:t xml:space="preserve">integer</w:t>
            </w:r>
          </w:p>
        </w:tc>
        <w:tc>
          <w:tcPr>
            <w:tcW w:type="dxa" w:w="4680"/>
            <w:tcBorders>
              <w:top w:val="single" w:color="CCCCCC" w:sz="1"/>
              <w:left w:val="single" w:color="CCCCCC" w:sz="1"/>
              <w:bottom w:val="single" w:color="CCCCCC" w:sz="1"/>
              <w:right w:val="single" w:color="CCCCCC" w:sz="1"/>
            </w:tcBorders>
          </w:tcPr>
          <w:p>
            <w:r>
              <w:t xml:space="preserve">Status of the notification</w:t>
            </w:r>
          </w:p>
        </w:tc>
      </w:tr>
      <w:tr>
        <w:tc>
          <w:tcPr>
            <w:tcW w:type="dxa" w:w="2340"/>
            <w:tcBorders>
              <w:top w:val="single" w:color="CCCCCC" w:sz="1"/>
              <w:left w:val="single" w:color="CCCCCC" w:sz="1"/>
              <w:bottom w:val="single" w:color="CCCCCC" w:sz="1"/>
              <w:right w:val="single" w:color="CCCCCC" w:sz="1"/>
            </w:tcBorders>
          </w:tcPr>
          <w:p>
            <w:r>
              <w:rPr>
                <w:b/>
                <w:bCs/>
              </w:rPr>
              <w:t xml:space="preserve">NotificationDeliveryDate</w:t>
            </w:r>
          </w:p>
        </w:tc>
        <w:tc>
          <w:tcPr>
            <w:tcW w:type="dxa" w:w="2340"/>
            <w:tcBorders>
              <w:top w:val="single" w:color="CCCCCC" w:sz="1"/>
              <w:left w:val="single" w:color="CCCCCC" w:sz="1"/>
              <w:bottom w:val="single" w:color="CCCCCC" w:sz="1"/>
              <w:right w:val="single" w:color="CCCCCC" w:sz="1"/>
            </w:tcBorders>
          </w:tcPr>
          <w:p>
            <w:r>
              <w:t xml:space="preserve">date-time</w:t>
            </w:r>
          </w:p>
        </w:tc>
        <w:tc>
          <w:tcPr>
            <w:tcW w:type="dxa" w:w="4680"/>
            <w:tcBorders>
              <w:top w:val="single" w:color="CCCCCC" w:sz="1"/>
              <w:left w:val="single" w:color="CCCCCC" w:sz="1"/>
              <w:bottom w:val="single" w:color="CCCCCC" w:sz="1"/>
              <w:right w:val="single" w:color="CCCCCC" w:sz="1"/>
            </w:tcBorders>
          </w:tcPr>
          <w:p>
            <w:r>
              <w:t xml:space="preserve">Timestamp when notice was delivered</w:t>
            </w:r>
          </w:p>
        </w:tc>
      </w:tr>
      <w:tr>
        <w:tc>
          <w:tcPr>
            <w:tcW w:type="dxa" w:w="2340"/>
            <w:tcBorders>
              <w:top w:val="single" w:color="CCCCCC" w:sz="1"/>
              <w:left w:val="single" w:color="CCCCCC" w:sz="1"/>
              <w:bottom w:val="single" w:color="CCCCCC" w:sz="1"/>
              <w:right w:val="single" w:color="CCCCCC" w:sz="1"/>
            </w:tcBorders>
          </w:tcPr>
          <w:p>
            <w:r>
              <w:rPr>
                <w:b/>
                <w:bCs/>
              </w:rPr>
              <w:t xml:space="preserve">DeliveryOptionID</w:t>
            </w:r>
          </w:p>
        </w:tc>
        <w:tc>
          <w:tcPr>
            <w:tcW w:type="dxa" w:w="2340"/>
            <w:tcBorders>
              <w:top w:val="single" w:color="CCCCCC" w:sz="1"/>
              <w:left w:val="single" w:color="CCCCCC" w:sz="1"/>
              <w:bottom w:val="single" w:color="CCCCCC" w:sz="1"/>
              <w:right w:val="single" w:color="CCCCCC" w:sz="1"/>
            </w:tcBorders>
          </w:tcPr>
          <w:p>
            <w:r>
              <w:t xml:space="preserve">integer</w:t>
            </w:r>
          </w:p>
        </w:tc>
        <w:tc>
          <w:tcPr>
            <w:tcW w:type="dxa" w:w="4680"/>
            <w:tcBorders>
              <w:top w:val="single" w:color="CCCCCC" w:sz="1"/>
              <w:left w:val="single" w:color="CCCCCC" w:sz="1"/>
              <w:bottom w:val="single" w:color="CCCCCC" w:sz="1"/>
              <w:right w:val="single" w:color="CCCCCC" w:sz="1"/>
            </w:tcBorders>
          </w:tcPr>
          <w:p>
            <w:r>
              <w:t xml:space="preserve">Delivery method identifier</w:t>
            </w:r>
          </w:p>
        </w:tc>
      </w:tr>
      <w:tr>
        <w:tc>
          <w:tcPr>
            <w:tcW w:type="dxa" w:w="2340"/>
            <w:tcBorders>
              <w:top w:val="single" w:color="CCCCCC" w:sz="1"/>
              <w:left w:val="single" w:color="CCCCCC" w:sz="1"/>
              <w:bottom w:val="single" w:color="CCCCCC" w:sz="1"/>
              <w:right w:val="single" w:color="CCCCCC" w:sz="1"/>
            </w:tcBorders>
          </w:tcPr>
          <w:p>
            <w:r>
              <w:rPr>
                <w:b/>
                <w:bCs/>
              </w:rPr>
              <w:t xml:space="preserve">DeliveryString</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Delivery destination (phone, email, etc.)</w:t>
            </w:r>
          </w:p>
        </w:tc>
      </w:tr>
      <w:tr>
        <w:tc>
          <w:tcPr>
            <w:tcW w:type="dxa" w:w="2340"/>
            <w:tcBorders>
              <w:top w:val="single" w:color="CCCCCC" w:sz="1"/>
              <w:left w:val="single" w:color="CCCCCC" w:sz="1"/>
              <w:bottom w:val="single" w:color="CCCCCC" w:sz="1"/>
              <w:right w:val="single" w:color="CCCCCC" w:sz="1"/>
            </w:tcBorders>
          </w:tcPr>
          <w:p>
            <w:r>
              <w:rPr>
                <w:b/>
                <w:bCs/>
              </w:rPr>
              <w:t xml:space="preserve">Details</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Additional delivery details or notes</w:t>
            </w:r>
          </w:p>
        </w:tc>
      </w:tr>
      <w:tr>
        <w:tc>
          <w:tcPr>
            <w:tcW w:type="dxa" w:w="2340"/>
            <w:tcBorders>
              <w:top w:val="single" w:color="CCCCCC" w:sz="1"/>
              <w:left w:val="single" w:color="CCCCCC" w:sz="1"/>
              <w:bottom w:val="single" w:color="CCCCCC" w:sz="1"/>
              <w:right w:val="single" w:color="CCCCCC" w:sz="1"/>
            </w:tcBorders>
          </w:tcPr>
          <w:p>
            <w:r>
              <w:rPr>
                <w:b/>
                <w:bCs/>
              </w:rPr>
              <w:t xml:space="preserve">PatronID</w:t>
            </w:r>
          </w:p>
        </w:tc>
        <w:tc>
          <w:tcPr>
            <w:tcW w:type="dxa" w:w="2340"/>
            <w:tcBorders>
              <w:top w:val="single" w:color="CCCCCC" w:sz="1"/>
              <w:left w:val="single" w:color="CCCCCC" w:sz="1"/>
              <w:bottom w:val="single" w:color="CCCCCC" w:sz="1"/>
              <w:right w:val="single" w:color="CCCCCC" w:sz="1"/>
            </w:tcBorders>
          </w:tcPr>
          <w:p>
            <w:r>
              <w:t xml:space="preserve">integer</w:t>
            </w:r>
          </w:p>
        </w:tc>
        <w:tc>
          <w:tcPr>
            <w:tcW w:type="dxa" w:w="4680"/>
            <w:tcBorders>
              <w:top w:val="single" w:color="CCCCCC" w:sz="1"/>
              <w:left w:val="single" w:color="CCCCCC" w:sz="1"/>
              <w:bottom w:val="single" w:color="CCCCCC" w:sz="1"/>
              <w:right w:val="single" w:color="CCCCCC" w:sz="1"/>
            </w:tcBorders>
          </w:tcPr>
          <w:p>
            <w:r>
              <w:t xml:space="preserve">Patron identifier</w:t>
            </w:r>
          </w:p>
        </w:tc>
      </w:tr>
      <w:tr>
        <w:tc>
          <w:tcPr>
            <w:tcW w:type="dxa" w:w="2340"/>
            <w:tcBorders>
              <w:top w:val="single" w:color="CCCCCC" w:sz="1"/>
              <w:left w:val="single" w:color="CCCCCC" w:sz="1"/>
              <w:bottom w:val="single" w:color="CCCCCC" w:sz="1"/>
              <w:right w:val="single" w:color="CCCCCC" w:sz="1"/>
            </w:tcBorders>
          </w:tcPr>
          <w:p>
            <w:r>
              <w:rPr>
                <w:b/>
                <w:bCs/>
              </w:rPr>
              <w:t xml:space="preserve">PatronBarcode</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Patron barcode</w:t>
            </w:r>
          </w:p>
        </w:tc>
      </w:tr>
      <w:tr>
        <w:tc>
          <w:tcPr>
            <w:tcW w:type="dxa" w:w="2340"/>
            <w:tcBorders>
              <w:top w:val="single" w:color="CCCCCC" w:sz="1"/>
              <w:left w:val="single" w:color="CCCCCC" w:sz="1"/>
              <w:bottom w:val="single" w:color="CCCCCC" w:sz="1"/>
              <w:right w:val="single" w:color="CCCCCC" w:sz="1"/>
            </w:tcBorders>
          </w:tcPr>
          <w:p>
            <w:r>
              <w:rPr>
                <w:b/>
                <w:bCs/>
              </w:rPr>
              <w:t xml:space="preserve">ItemRecordID</w:t>
            </w:r>
          </w:p>
        </w:tc>
        <w:tc>
          <w:tcPr>
            <w:tcW w:type="dxa" w:w="2340"/>
            <w:tcBorders>
              <w:top w:val="single" w:color="CCCCCC" w:sz="1"/>
              <w:left w:val="single" w:color="CCCCCC" w:sz="1"/>
              <w:bottom w:val="single" w:color="CCCCCC" w:sz="1"/>
              <w:right w:val="single" w:color="CCCCCC" w:sz="1"/>
            </w:tcBorders>
          </w:tcPr>
          <w:p>
            <w:r>
              <w:t xml:space="preserve">integer</w:t>
            </w:r>
          </w:p>
        </w:tc>
        <w:tc>
          <w:tcPr>
            <w:tcW w:type="dxa" w:w="4680"/>
            <w:tcBorders>
              <w:top w:val="single" w:color="CCCCCC" w:sz="1"/>
              <w:left w:val="single" w:color="CCCCCC" w:sz="1"/>
              <w:bottom w:val="single" w:color="CCCCCC" w:sz="1"/>
              <w:right w:val="single" w:color="CCCCCC" w:sz="1"/>
            </w:tcBorders>
          </w:tcPr>
          <w:p>
            <w:r>
              <w:t xml:space="preserve">Item record identifier (if applicable)</w:t>
            </w:r>
          </w:p>
        </w:tc>
      </w:tr>
      <w:tr>
        <w:tc>
          <w:tcPr>
            <w:tcW w:type="dxa" w:w="2340"/>
            <w:tcBorders>
              <w:top w:val="single" w:color="CCCCCC" w:sz="1"/>
              <w:left w:val="single" w:color="CCCCCC" w:sz="1"/>
              <w:bottom w:val="single" w:color="CCCCCC" w:sz="1"/>
              <w:right w:val="single" w:color="CCCCCC" w:sz="1"/>
            </w:tcBorders>
          </w:tcPr>
          <w:p>
            <w:r>
              <w:rPr>
                <w:b/>
                <w:bCs/>
              </w:rPr>
              <w:t xml:space="preserve">ItemBarcode</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Item barcode (if applicable)</w:t>
            </w:r>
          </w:p>
        </w:tc>
      </w:tr>
    </w:tbl>
    <w:p>
      <w:r>
        <w:t xml:space="preserve"/>
      </w:r>
    </w:p>
    <w:p>
      <w:pPr>
        <w:pStyle w:val="Heading1"/>
      </w:pPr>
      <w:r>
        <w:t xml:space="preserve">GuzzleHttp Implementation</w:t>
      </w:r>
    </w:p>
    <w:p>
      <w:pPr>
        <w:pStyle w:val="Heading2"/>
      </w:pPr>
      <w:r>
        <w:t xml:space="preserve">Installation</w:t>
      </w:r>
    </w:p>
    <w:p>
      <w:pPr>
        <w:spacing w:after="120"/>
      </w:pPr>
      <w:r>
        <w:t xml:space="preserve">First, install GuzzleHttp via Composer:</w:t>
      </w:r>
    </w:p>
    <w:p>
      <w:pPr>
        <w:pStyle w:val="CodeBlock"/>
        <w:spacing w:after="200"/>
      </w:pPr>
      <w:r>
        <w:t xml:space="preserve">composer require guzzlehttp/guzzle</w:t>
      </w:r>
    </w:p>
    <w:p>
      <w:pPr>
        <w:pStyle w:val="Heading2"/>
      </w:pPr>
      <w:r>
        <w:t xml:space="preserve">Basic Example: Confirming a Notice</w:t>
      </w:r>
    </w:p>
    <w:p>
      <w:pPr>
        <w:pStyle w:val="CodeBlock"/>
      </w:pPr>
      <w:r>
        <w:t xml:space="preserve">&lt;?php</w:t>
      </w:r>
    </w:p>
    <w:p>
      <w:pPr>
        <w:pStyle w:val="CodeBlock"/>
      </w:pPr>
      <w:r>
        <w:t xml:space="preserve"/>
      </w:r>
    </w:p>
    <w:p>
      <w:pPr>
        <w:pStyle w:val="CodeBlock"/>
      </w:pPr>
      <w:r>
        <w:t xml:space="preserve">require 'vendor/autoload.php';</w:t>
      </w:r>
    </w:p>
    <w:p>
      <w:pPr>
        <w:pStyle w:val="CodeBlock"/>
      </w:pPr>
      <w:r>
        <w:t xml:space="preserve"/>
      </w:r>
    </w:p>
    <w:p>
      <w:pPr>
        <w:pStyle w:val="CodeBlock"/>
      </w:pPr>
      <w:r>
        <w:t xml:space="preserve">use GuzzleHttp\Client;</w:t>
      </w:r>
    </w:p>
    <w:p>
      <w:pPr>
        <w:pStyle w:val="CodeBlock"/>
      </w:pPr>
      <w:r>
        <w:t xml:space="preserve">use GuzzleHttp\Exception\RequestException;</w:t>
      </w:r>
    </w:p>
    <w:p>
      <w:pPr>
        <w:pStyle w:val="CodeBlock"/>
      </w:pPr>
      <w:r>
        <w:t xml:space="preserve"/>
      </w:r>
    </w:p>
    <w:p>
      <w:pPr>
        <w:pStyle w:val="CodeBlock"/>
      </w:pPr>
      <w:r>
        <w:t xml:space="preserve">// Configuration</w:t>
      </w:r>
    </w:p>
    <w:p>
      <w:pPr>
        <w:pStyle w:val="CodeBlock"/>
      </w:pPr>
      <w:r>
        <w:t xml:space="preserve">$baseUrl = 'https://your-polaris-server.com/PAPIservice';</w:t>
      </w:r>
    </w:p>
    <w:p>
      <w:pPr>
        <w:pStyle w:val="CodeBlock"/>
      </w:pPr>
      <w:r>
        <w:t xml:space="preserve">$langId = 1033;  // English</w:t>
      </w:r>
    </w:p>
    <w:p>
      <w:pPr>
        <w:pStyle w:val="CodeBlock"/>
      </w:pPr>
      <w:r>
        <w:t xml:space="preserve">$appId = 100;    // Your application ID</w:t>
      </w:r>
    </w:p>
    <w:p>
      <w:pPr>
        <w:pStyle w:val="CodeBlock"/>
      </w:pPr>
      <w:r>
        <w:t xml:space="preserve">$orgId = 1;      // Organization ID</w:t>
      </w:r>
    </w:p>
    <w:p>
      <w:pPr>
        <w:pStyle w:val="CodeBlock"/>
      </w:pPr>
      <w:r>
        <w:t xml:space="preserve">$accessToken = 'your-access-token';  // From staff authentication</w:t>
      </w:r>
    </w:p>
    <w:p>
      <w:pPr>
        <w:pStyle w:val="CodeBlock"/>
      </w:pPr>
      <w:r>
        <w:t xml:space="preserve">$notificationTypeId = 1;  // Notification type</w:t>
      </w:r>
    </w:p>
    <w:p>
      <w:pPr>
        <w:pStyle w:val="CodeBlock"/>
      </w:pPr>
      <w:r>
        <w:t xml:space="preserve"/>
      </w:r>
    </w:p>
    <w:p>
      <w:pPr>
        <w:pStyle w:val="CodeBlock"/>
      </w:pPr>
      <w:r>
        <w:t xml:space="preserve">// Create Guzzle client</w:t>
      </w:r>
    </w:p>
    <w:p>
      <w:pPr>
        <w:pStyle w:val="CodeBlock"/>
      </w:pPr>
      <w:r>
        <w:t xml:space="preserve">$client = new Client([</w:t>
      </w:r>
    </w:p>
    <w:p>
      <w:pPr>
        <w:pStyle w:val="CodeBlock"/>
      </w:pPr>
      <w:r>
        <w:t xml:space="preserve">    'base_uri' =&gt; $baseUrl,</w:t>
      </w:r>
    </w:p>
    <w:p>
      <w:pPr>
        <w:pStyle w:val="CodeBlock"/>
      </w:pPr>
      <w:r>
        <w:t xml:space="preserve">    'timeout' =&gt; 30.0,</w:t>
      </w:r>
    </w:p>
    <w:p>
      <w:pPr>
        <w:pStyle w:val="CodeBlock"/>
      </w:pPr>
      <w:r>
        <w:t xml:space="preserve">]);</w:t>
      </w:r>
    </w:p>
    <w:p>
      <w:pPr>
        <w:pStyle w:val="CodeBlock"/>
      </w:pPr>
      <w:r>
        <w:t xml:space="preserve"/>
      </w:r>
    </w:p>
    <w:p>
      <w:pPr>
        <w:pStyle w:val="CodeBlock"/>
      </w:pPr>
      <w:r>
        <w:t xml:space="preserve">// Prepare notification data</w:t>
      </w:r>
    </w:p>
    <w:p>
      <w:pPr>
        <w:pStyle w:val="CodeBlock"/>
      </w:pPr>
      <w:r>
        <w:t xml:space="preserve">$notificationData = [</w:t>
      </w:r>
    </w:p>
    <w:p>
      <w:pPr>
        <w:pStyle w:val="CodeBlock"/>
      </w:pPr>
      <w:r>
        <w:t xml:space="preserve">    'NotificationStatusID' =&gt; 2,  // 2 = Successfully delivered</w:t>
      </w:r>
    </w:p>
    <w:p>
      <w:pPr>
        <w:pStyle w:val="CodeBlock"/>
      </w:pPr>
      <w:r>
        <w:t xml:space="preserve">    'NotificationDeliveryDate' =&gt; date('c'),  // ISO 8601 format</w:t>
      </w:r>
    </w:p>
    <w:p>
      <w:pPr>
        <w:pStyle w:val="CodeBlock"/>
      </w:pPr>
      <w:r>
        <w:t xml:space="preserve">    'DeliveryOptionID' =&gt; 1,  // 1 = Phone, 2 = Email, 3 = Text</w:t>
      </w:r>
    </w:p>
    <w:p>
      <w:pPr>
        <w:pStyle w:val="CodeBlock"/>
      </w:pPr>
      <w:r>
        <w:t xml:space="preserve">    'DeliveryString' =&gt; '555-0123',  // Phone number or email</w:t>
      </w:r>
    </w:p>
    <w:p>
      <w:pPr>
        <w:pStyle w:val="CodeBlock"/>
      </w:pPr>
      <w:r>
        <w:t xml:space="preserve">    'Details' =&gt; 'Successfully delivered via automated system',</w:t>
      </w:r>
    </w:p>
    <w:p>
      <w:pPr>
        <w:pStyle w:val="CodeBlock"/>
      </w:pPr>
      <w:r>
        <w:t xml:space="preserve">    'PatronID' =&gt; 12345,</w:t>
      </w:r>
    </w:p>
    <w:p>
      <w:pPr>
        <w:pStyle w:val="CodeBlock"/>
      </w:pPr>
      <w:r>
        <w:t xml:space="preserve">    'PatronBarcode' =&gt; '21234567890123',</w:t>
      </w:r>
    </w:p>
    <w:p>
      <w:pPr>
        <w:pStyle w:val="CodeBlock"/>
      </w:pPr>
      <w:r>
        <w:t xml:space="preserve">    'ItemRecordID' =&gt; 98765,</w:t>
      </w:r>
    </w:p>
    <w:p>
      <w:pPr>
        <w:pStyle w:val="CodeBlock"/>
      </w:pPr>
      <w:r>
        <w:t xml:space="preserve">    'ItemBarcode' =&gt; '31234567890123'</w:t>
      </w:r>
    </w:p>
    <w:p>
      <w:pPr>
        <w:pStyle w:val="CodeBlock"/>
      </w:pPr>
      <w:r>
        <w:t xml:space="preserve">];</w:t>
      </w:r>
    </w:p>
    <w:p>
      <w:pPr>
        <w:pStyle w:val="CodeBlock"/>
      </w:pPr>
      <w:r>
        <w:t xml:space="preserve"/>
      </w:r>
    </w:p>
    <w:p>
      <w:pPr>
        <w:pStyle w:val="CodeBlock"/>
      </w:pPr>
      <w:r>
        <w:t xml:space="preserve">// Build the endpoint URL</w:t>
      </w:r>
    </w:p>
    <w:p>
      <w:pPr>
        <w:pStyle w:val="CodeBlock"/>
      </w:pPr>
      <w:r>
        <w:t xml:space="preserve">$endpoint = sprintf(</w:t>
      </w:r>
    </w:p>
    <w:p>
      <w:pPr>
        <w:pStyle w:val="CodeBlock"/>
      </w:pPr>
      <w:r>
        <w:t xml:space="preserve">    '/REST/protected/v1/%d/%d/%d/%s/notification/%d',</w:t>
      </w:r>
    </w:p>
    <w:p>
      <w:pPr>
        <w:pStyle w:val="CodeBlock"/>
      </w:pPr>
      <w:r>
        <w:t xml:space="preserve">    $langId,</w:t>
      </w:r>
    </w:p>
    <w:p>
      <w:pPr>
        <w:pStyle w:val="CodeBlock"/>
      </w:pPr>
      <w:r>
        <w:t xml:space="preserve">    $appId,</w:t>
      </w:r>
    </w:p>
    <w:p>
      <w:pPr>
        <w:pStyle w:val="CodeBlock"/>
      </w:pPr>
      <w:r>
        <w:t xml:space="preserve">    $orgId,</w:t>
      </w:r>
    </w:p>
    <w:p>
      <w:pPr>
        <w:pStyle w:val="CodeBlock"/>
      </w:pPr>
      <w:r>
        <w:t xml:space="preserve">    $accessToken,</w:t>
      </w:r>
    </w:p>
    <w:p>
      <w:pPr>
        <w:pStyle w:val="CodeBlock"/>
      </w:pPr>
      <w:r>
        <w:t xml:space="preserve">    $notificationTypeId</w:t>
      </w:r>
    </w:p>
    <w:p>
      <w:pPr>
        <w:pStyle w:val="CodeBlock"/>
      </w:pPr>
      <w:r>
        <w:t xml:space="preserve">);</w:t>
      </w:r>
    </w:p>
    <w:p>
      <w:pPr>
        <w:pStyle w:val="CodeBlock"/>
      </w:pPr>
      <w:r>
        <w:t xml:space="preserve"/>
      </w:r>
    </w:p>
    <w:p>
      <w:pPr>
        <w:pStyle w:val="CodeBlock"/>
      </w:pPr>
      <w:r>
        <w:t xml:space="preserve">try {</w:t>
      </w:r>
    </w:p>
    <w:p>
      <w:pPr>
        <w:pStyle w:val="CodeBlock"/>
      </w:pPr>
      <w:r>
        <w:t xml:space="preserve">    // Make the PUT request</w:t>
      </w:r>
    </w:p>
    <w:p>
      <w:pPr>
        <w:pStyle w:val="CodeBlock"/>
      </w:pPr>
      <w:r>
        <w:t xml:space="preserve">    $response = $client-&gt;put($endpoint, [</w:t>
      </w:r>
    </w:p>
    <w:p>
      <w:pPr>
        <w:pStyle w:val="CodeBlock"/>
      </w:pPr>
      <w:r>
        <w:t xml:space="preserve">        'json' =&gt; $notificationData,</w:t>
      </w:r>
    </w:p>
    <w:p>
      <w:pPr>
        <w:pStyle w:val="CodeBlock"/>
      </w:pPr>
      <w:r>
        <w:t xml:space="preserve">        'headers' =&gt; [</w:t>
      </w:r>
    </w:p>
    <w:p>
      <w:pPr>
        <w:pStyle w:val="CodeBlock"/>
      </w:pPr>
      <w:r>
        <w:t xml:space="preserve">            'Content-Type' =&gt; 'application/json',</w:t>
      </w:r>
    </w:p>
    <w:p>
      <w:pPr>
        <w:pStyle w:val="CodeBlock"/>
      </w:pPr>
      <w:r>
        <w:t xml:space="preserve">            'Accept' =&gt; 'application/json'</w:t>
      </w:r>
    </w:p>
    <w:p>
      <w:pPr>
        <w:pStyle w:val="CodeBlock"/>
      </w:pPr>
      <w:r>
        <w:t xml:space="preserve">        ]</w:t>
      </w:r>
    </w:p>
    <w:p>
      <w:pPr>
        <w:pStyle w:val="CodeBlock"/>
      </w:pPr>
      <w:r>
        <w:t xml:space="preserve">    ]);</w:t>
      </w:r>
    </w:p>
    <w:p>
      <w:pPr>
        <w:pStyle w:val="CodeBlock"/>
      </w:pPr>
      <w:r>
        <w:t xml:space="preserve"/>
      </w:r>
    </w:p>
    <w:p>
      <w:pPr>
        <w:pStyle w:val="CodeBlock"/>
      </w:pPr>
      <w:r>
        <w:t xml:space="preserve">    // Parse response</w:t>
      </w:r>
    </w:p>
    <w:p>
      <w:pPr>
        <w:pStyle w:val="CodeBlock"/>
      </w:pPr>
      <w:r>
        <w:t xml:space="preserve">    $result = json_decode($response-&gt;getBody(), true);</w:t>
      </w:r>
    </w:p>
    <w:p>
      <w:pPr>
        <w:pStyle w:val="CodeBlock"/>
      </w:pPr>
      <w:r>
        <w:t xml:space="preserve"/>
      </w:r>
    </w:p>
    <w:p>
      <w:pPr>
        <w:pStyle w:val="CodeBlock"/>
      </w:pPr>
      <w:r>
        <w:t xml:space="preserve">    if ($result['PAPIErrorCode'] === 0) {</w:t>
      </w:r>
    </w:p>
    <w:p>
      <w:pPr>
        <w:pStyle w:val="CodeBlock"/>
      </w:pPr>
      <w:r>
        <w:t xml:space="preserve">        echo "Notice marked as sent successfully!\n";</w:t>
      </w:r>
    </w:p>
    <w:p>
      <w:pPr>
        <w:pStyle w:val="CodeBlock"/>
      </w:pPr>
      <w:r>
        <w:t xml:space="preserve">    } else {</w:t>
      </w:r>
    </w:p>
    <w:p>
      <w:pPr>
        <w:pStyle w:val="CodeBlock"/>
      </w:pPr>
      <w:r>
        <w:t xml:space="preserve">        echo "Error: " . $result['ErrorMessage'] . "\n";</w:t>
      </w:r>
    </w:p>
    <w:p>
      <w:pPr>
        <w:pStyle w:val="CodeBlock"/>
      </w:pPr>
      <w:r>
        <w:t xml:space="preserve">    }</w:t>
      </w:r>
    </w:p>
    <w:p>
      <w:pPr>
        <w:pStyle w:val="CodeBlock"/>
      </w:pPr>
      <w:r>
        <w:t xml:space="preserve"/>
      </w:r>
    </w:p>
    <w:p>
      <w:pPr>
        <w:pStyle w:val="CodeBlock"/>
      </w:pPr>
      <w:r>
        <w:t xml:space="preserve">} catch (RequestException $e) {</w:t>
      </w:r>
    </w:p>
    <w:p>
      <w:pPr>
        <w:pStyle w:val="CodeBlock"/>
      </w:pPr>
      <w:r>
        <w:t xml:space="preserve">    echo "Request failed: " . $e-&gt;getMessage() . "\n";</w:t>
      </w:r>
    </w:p>
    <w:p>
      <w:pPr>
        <w:pStyle w:val="CodeBlock"/>
      </w:pPr>
      <w:r>
        <w:t xml:space="preserve">    if ($e-&gt;hasResponse()) {</w:t>
      </w:r>
    </w:p>
    <w:p>
      <w:pPr>
        <w:pStyle w:val="CodeBlock"/>
      </w:pPr>
      <w:r>
        <w:t xml:space="preserve">        echo "Response: " . $e-&gt;getResponse()-&gt;getBody() . "\n";</w:t>
      </w:r>
    </w:p>
    <w:p>
      <w:pPr>
        <w:pStyle w:val="CodeBlock"/>
      </w:pPr>
      <w:r>
        <w:t xml:space="preserve">    }</w:t>
      </w:r>
    </w:p>
    <w:p>
      <w:pPr>
        <w:pStyle w:val="CodeBlock"/>
        <w:spacing w:after="200"/>
      </w:pPr>
      <w:r>
        <w:t xml:space="preserve">}</w:t>
      </w:r>
    </w:p>
    <w:p>
      <w:pPr>
        <w:pStyle w:val="Heading2"/>
      </w:pPr>
      <w:r>
        <w:t xml:space="preserve">Reusable Class Implementation</w:t>
      </w:r>
    </w:p>
    <w:p>
      <w:pPr>
        <w:spacing w:after="120"/>
      </w:pPr>
      <w:r>
        <w:t xml:space="preserve">For production use, create a reusable class to handle notification confirmations:</w:t>
      </w:r>
    </w:p>
    <w:p>
      <w:pPr>
        <w:pStyle w:val="CodeBlock"/>
      </w:pPr>
      <w:r>
        <w:t xml:space="preserve">&lt;?php</w:t>
      </w:r>
    </w:p>
    <w:p>
      <w:pPr>
        <w:pStyle w:val="CodeBlock"/>
      </w:pPr>
      <w:r>
        <w:t xml:space="preserve"/>
      </w:r>
    </w:p>
    <w:p>
      <w:pPr>
        <w:pStyle w:val="CodeBlock"/>
      </w:pPr>
      <w:r>
        <w:t xml:space="preserve">namespace App\Services\Polaris;</w:t>
      </w:r>
    </w:p>
    <w:p>
      <w:pPr>
        <w:pStyle w:val="CodeBlock"/>
      </w:pPr>
      <w:r>
        <w:t xml:space="preserve"/>
      </w:r>
    </w:p>
    <w:p>
      <w:pPr>
        <w:pStyle w:val="CodeBlock"/>
      </w:pPr>
      <w:r>
        <w:t xml:space="preserve">use GuzzleHttp\Client;</w:t>
      </w:r>
    </w:p>
    <w:p>
      <w:pPr>
        <w:pStyle w:val="CodeBlock"/>
      </w:pPr>
      <w:r>
        <w:t xml:space="preserve">use GuzzleHttp\Exception\RequestException;</w:t>
      </w:r>
    </w:p>
    <w:p>
      <w:pPr>
        <w:pStyle w:val="CodeBlock"/>
      </w:pPr>
      <w:r>
        <w:t xml:space="preserve"/>
      </w:r>
    </w:p>
    <w:p>
      <w:pPr>
        <w:pStyle w:val="CodeBlock"/>
      </w:pPr>
      <w:r>
        <w:t xml:space="preserve">class NotificationService</w:t>
      </w:r>
    </w:p>
    <w:p>
      <w:pPr>
        <w:pStyle w:val="CodeBlock"/>
      </w:pPr>
      <w:r>
        <w:t xml:space="preserve">{</w:t>
      </w:r>
    </w:p>
    <w:p>
      <w:pPr>
        <w:pStyle w:val="CodeBlock"/>
      </w:pPr>
      <w:r>
        <w:t xml:space="preserve">    private Client $client;</w:t>
      </w:r>
    </w:p>
    <w:p>
      <w:pPr>
        <w:pStyle w:val="CodeBlock"/>
      </w:pPr>
      <w:r>
        <w:t xml:space="preserve">    private string $baseUrl;</w:t>
      </w:r>
    </w:p>
    <w:p>
      <w:pPr>
        <w:pStyle w:val="CodeBlock"/>
      </w:pPr>
      <w:r>
        <w:t xml:space="preserve">    private int $langId;</w:t>
      </w:r>
    </w:p>
    <w:p>
      <w:pPr>
        <w:pStyle w:val="CodeBlock"/>
      </w:pPr>
      <w:r>
        <w:t xml:space="preserve">    private int $appId;</w:t>
      </w:r>
    </w:p>
    <w:p>
      <w:pPr>
        <w:pStyle w:val="CodeBlock"/>
      </w:pPr>
      <w:r>
        <w:t xml:space="preserve">    private int $orgId;</w:t>
      </w:r>
    </w:p>
    <w:p>
      <w:pPr>
        <w:pStyle w:val="CodeBlock"/>
      </w:pPr>
      <w:r>
        <w:t xml:space="preserve">    private string $accessToken;</w:t>
      </w:r>
    </w:p>
    <w:p>
      <w:pPr>
        <w:pStyle w:val="CodeBlock"/>
      </w:pPr>
      <w:r>
        <w:t xml:space="preserve"/>
      </w:r>
    </w:p>
    <w:p>
      <w:pPr>
        <w:pStyle w:val="CodeBlock"/>
      </w:pPr>
      <w:r>
        <w:t xml:space="preserve">    public function __construct(</w:t>
      </w:r>
    </w:p>
    <w:p>
      <w:pPr>
        <w:pStyle w:val="CodeBlock"/>
      </w:pPr>
      <w:r>
        <w:t xml:space="preserve">        string $baseUrl,</w:t>
      </w:r>
    </w:p>
    <w:p>
      <w:pPr>
        <w:pStyle w:val="CodeBlock"/>
      </w:pPr>
      <w:r>
        <w:t xml:space="preserve">        int $langId,</w:t>
      </w:r>
    </w:p>
    <w:p>
      <w:pPr>
        <w:pStyle w:val="CodeBlock"/>
      </w:pPr>
      <w:r>
        <w:t xml:space="preserve">        int $appId,</w:t>
      </w:r>
    </w:p>
    <w:p>
      <w:pPr>
        <w:pStyle w:val="CodeBlock"/>
      </w:pPr>
      <w:r>
        <w:t xml:space="preserve">        int $orgId,</w:t>
      </w:r>
    </w:p>
    <w:p>
      <w:pPr>
        <w:pStyle w:val="CodeBlock"/>
      </w:pPr>
      <w:r>
        <w:t xml:space="preserve">        string $accessToken</w:t>
      </w:r>
    </w:p>
    <w:p>
      <w:pPr>
        <w:pStyle w:val="CodeBlock"/>
      </w:pPr>
      <w:r>
        <w:t xml:space="preserve">    ) {</w:t>
      </w:r>
    </w:p>
    <w:p>
      <w:pPr>
        <w:pStyle w:val="CodeBlock"/>
      </w:pPr>
      <w:r>
        <w:t xml:space="preserve">        $this-&gt;baseUrl = $baseUrl;</w:t>
      </w:r>
    </w:p>
    <w:p>
      <w:pPr>
        <w:pStyle w:val="CodeBlock"/>
      </w:pPr>
      <w:r>
        <w:t xml:space="preserve">        $this-&gt;langId = $langId;</w:t>
      </w:r>
    </w:p>
    <w:p>
      <w:pPr>
        <w:pStyle w:val="CodeBlock"/>
      </w:pPr>
      <w:r>
        <w:t xml:space="preserve">        $this-&gt;appId = $appId;</w:t>
      </w:r>
    </w:p>
    <w:p>
      <w:pPr>
        <w:pStyle w:val="CodeBlock"/>
      </w:pPr>
      <w:r>
        <w:t xml:space="preserve">        $this-&gt;orgId = $orgId;</w:t>
      </w:r>
    </w:p>
    <w:p>
      <w:pPr>
        <w:pStyle w:val="CodeBlock"/>
      </w:pPr>
      <w:r>
        <w:t xml:space="preserve">        $this-&gt;accessToken = $accessToken;</w:t>
      </w:r>
    </w:p>
    <w:p>
      <w:pPr>
        <w:pStyle w:val="CodeBlock"/>
      </w:pPr>
      <w:r>
        <w:t xml:space="preserve"/>
      </w:r>
    </w:p>
    <w:p>
      <w:pPr>
        <w:pStyle w:val="CodeBlock"/>
      </w:pPr>
      <w:r>
        <w:t xml:space="preserve">        $this-&gt;client = new Client([</w:t>
      </w:r>
    </w:p>
    <w:p>
      <w:pPr>
        <w:pStyle w:val="CodeBlock"/>
      </w:pPr>
      <w:r>
        <w:t xml:space="preserve">            'base_uri' =&gt; $this-&gt;baseUrl,</w:t>
      </w:r>
    </w:p>
    <w:p>
      <w:pPr>
        <w:pStyle w:val="CodeBlock"/>
      </w:pPr>
      <w:r>
        <w:t xml:space="preserve">            'timeout' =&gt; 30.0,</w:t>
      </w:r>
    </w:p>
    <w:p>
      <w:pPr>
        <w:pStyle w:val="CodeBlock"/>
      </w:pPr>
      <w:r>
        <w:t xml:space="preserve">        ]);</w:t>
      </w:r>
    </w:p>
    <w:p>
      <w:pPr>
        <w:pStyle w:val="CodeBlock"/>
      </w:pPr>
      <w:r>
        <w:t xml:space="preserve">    }</w:t>
      </w:r>
    </w:p>
    <w:p>
      <w:pPr>
        <w:pStyle w:val="CodeBlock"/>
      </w:pPr>
      <w:r>
        <w:t xml:space="preserve"/>
      </w:r>
    </w:p>
    <w:p>
      <w:pPr>
        <w:pStyle w:val="CodeBlock"/>
      </w:pPr>
      <w:r>
        <w:t xml:space="preserve">    /**</w:t>
      </w:r>
    </w:p>
    <w:p>
      <w:pPr>
        <w:pStyle w:val="CodeBlock"/>
      </w:pPr>
      <w:r>
        <w:t xml:space="preserve">     * Mark a notification as sent</w:t>
      </w:r>
    </w:p>
    <w:p>
      <w:pPr>
        <w:pStyle w:val="CodeBlock"/>
      </w:pPr>
      <w:r>
        <w:t xml:space="preserve">     *</w:t>
      </w:r>
    </w:p>
    <w:p>
      <w:pPr>
        <w:pStyle w:val="CodeBlock"/>
      </w:pPr>
      <w:r>
        <w:t xml:space="preserve">     * @param int $notificationTypeId Notification type ID</w:t>
      </w:r>
    </w:p>
    <w:p>
      <w:pPr>
        <w:pStyle w:val="CodeBlock"/>
      </w:pPr>
      <w:r>
        <w:t xml:space="preserve">     * @param array $data Notification data</w:t>
      </w:r>
    </w:p>
    <w:p>
      <w:pPr>
        <w:pStyle w:val="CodeBlock"/>
      </w:pPr>
      <w:r>
        <w:t xml:space="preserve">     * @return array Response from API</w:t>
      </w:r>
    </w:p>
    <w:p>
      <w:pPr>
        <w:pStyle w:val="CodeBlock"/>
      </w:pPr>
      <w:r>
        <w:t xml:space="preserve">     */</w:t>
      </w:r>
    </w:p>
    <w:p>
      <w:pPr>
        <w:pStyle w:val="CodeBlock"/>
      </w:pPr>
      <w:r>
        <w:t xml:space="preserve">    public function markAsSent(</w:t>
      </w:r>
    </w:p>
    <w:p>
      <w:pPr>
        <w:pStyle w:val="CodeBlock"/>
      </w:pPr>
      <w:r>
        <w:t xml:space="preserve">        int $notificationTypeId,</w:t>
      </w:r>
    </w:p>
    <w:p>
      <w:pPr>
        <w:pStyle w:val="CodeBlock"/>
      </w:pPr>
      <w:r>
        <w:t xml:space="preserve">        array $data</w:t>
      </w:r>
    </w:p>
    <w:p>
      <w:pPr>
        <w:pStyle w:val="CodeBlock"/>
      </w:pPr>
      <w:r>
        <w:t xml:space="preserve">    ): array {</w:t>
      </w:r>
    </w:p>
    <w:p>
      <w:pPr>
        <w:pStyle w:val="CodeBlock"/>
      </w:pPr>
      <w:r>
        <w:t xml:space="preserve">        $endpoint = sprintf(</w:t>
      </w:r>
    </w:p>
    <w:p>
      <w:pPr>
        <w:pStyle w:val="CodeBlock"/>
      </w:pPr>
      <w:r>
        <w:t xml:space="preserve">            '/REST/protected/v1/%d/%d/%d/%s/notification/%d',</w:t>
      </w:r>
    </w:p>
    <w:p>
      <w:pPr>
        <w:pStyle w:val="CodeBlock"/>
      </w:pPr>
      <w:r>
        <w:t xml:space="preserve">            $this-&gt;langId,</w:t>
      </w:r>
    </w:p>
    <w:p>
      <w:pPr>
        <w:pStyle w:val="CodeBlock"/>
      </w:pPr>
      <w:r>
        <w:t xml:space="preserve">            $this-&gt;appId,</w:t>
      </w:r>
    </w:p>
    <w:p>
      <w:pPr>
        <w:pStyle w:val="CodeBlock"/>
      </w:pPr>
      <w:r>
        <w:t xml:space="preserve">            $this-&gt;orgId,</w:t>
      </w:r>
    </w:p>
    <w:p>
      <w:pPr>
        <w:pStyle w:val="CodeBlock"/>
      </w:pPr>
      <w:r>
        <w:t xml:space="preserve">            $this-&gt;accessToken,</w:t>
      </w:r>
    </w:p>
    <w:p>
      <w:pPr>
        <w:pStyle w:val="CodeBlock"/>
      </w:pPr>
      <w:r>
        <w:t xml:space="preserve">            $notificationTypeId</w:t>
      </w:r>
    </w:p>
    <w:p>
      <w:pPr>
        <w:pStyle w:val="CodeBlock"/>
      </w:pPr>
      <w:r>
        <w:t xml:space="preserve">        );</w:t>
      </w:r>
    </w:p>
    <w:p>
      <w:pPr>
        <w:pStyle w:val="CodeBlock"/>
      </w:pPr>
      <w:r>
        <w:t xml:space="preserve"/>
      </w:r>
    </w:p>
    <w:p>
      <w:pPr>
        <w:pStyle w:val="CodeBlock"/>
      </w:pPr>
      <w:r>
        <w:t xml:space="preserve">        try {</w:t>
      </w:r>
    </w:p>
    <w:p>
      <w:pPr>
        <w:pStyle w:val="CodeBlock"/>
      </w:pPr>
      <w:r>
        <w:t xml:space="preserve">            $response = $this-&gt;client-&gt;put($endpoint, [</w:t>
      </w:r>
    </w:p>
    <w:p>
      <w:pPr>
        <w:pStyle w:val="CodeBlock"/>
      </w:pPr>
      <w:r>
        <w:t xml:space="preserve">                'json' =&gt; $data,</w:t>
      </w:r>
    </w:p>
    <w:p>
      <w:pPr>
        <w:pStyle w:val="CodeBlock"/>
      </w:pPr>
      <w:r>
        <w:t xml:space="preserve">                'headers' =&gt; [</w:t>
      </w:r>
    </w:p>
    <w:p>
      <w:pPr>
        <w:pStyle w:val="CodeBlock"/>
      </w:pPr>
      <w:r>
        <w:t xml:space="preserve">                    'Content-Type' =&gt; 'application/json',</w:t>
      </w:r>
    </w:p>
    <w:p>
      <w:pPr>
        <w:pStyle w:val="CodeBlock"/>
      </w:pPr>
      <w:r>
        <w:t xml:space="preserve">                    'Accept' =&gt; 'application/json'</w:t>
      </w:r>
    </w:p>
    <w:p>
      <w:pPr>
        <w:pStyle w:val="CodeBlock"/>
      </w:pPr>
      <w:r>
        <w:t xml:space="preserve">                ]</w:t>
      </w:r>
    </w:p>
    <w:p>
      <w:pPr>
        <w:pStyle w:val="CodeBlock"/>
      </w:pPr>
      <w:r>
        <w:t xml:space="preserve">            ]);</w:t>
      </w:r>
    </w:p>
    <w:p>
      <w:pPr>
        <w:pStyle w:val="CodeBlock"/>
      </w:pPr>
      <w:r>
        <w:t xml:space="preserve"/>
      </w:r>
    </w:p>
    <w:p>
      <w:pPr>
        <w:pStyle w:val="CodeBlock"/>
      </w:pPr>
      <w:r>
        <w:t xml:space="preserve">            return json_decode($response-&gt;getBody(), true);</w:t>
      </w:r>
    </w:p>
    <w:p>
      <w:pPr>
        <w:pStyle w:val="CodeBlock"/>
      </w:pPr>
      <w:r>
        <w:t xml:space="preserve">        } catch (RequestException $e) {</w:t>
      </w:r>
    </w:p>
    <w:p>
      <w:pPr>
        <w:pStyle w:val="CodeBlock"/>
      </w:pPr>
      <w:r>
        <w:t xml:space="preserve">            throw new \RuntimeException(</w:t>
      </w:r>
    </w:p>
    <w:p>
      <w:pPr>
        <w:pStyle w:val="CodeBlock"/>
      </w:pPr>
      <w:r>
        <w:t xml:space="preserve">                'Failed to mark notification as sent: ' . $e-&gt;getMessage(),</w:t>
      </w:r>
    </w:p>
    <w:p>
      <w:pPr>
        <w:pStyle w:val="CodeBlock"/>
      </w:pPr>
      <w:r>
        <w:t xml:space="preserve">                $e-&gt;getCode(),</w:t>
      </w:r>
    </w:p>
    <w:p>
      <w:pPr>
        <w:pStyle w:val="CodeBlock"/>
      </w:pPr>
      <w:r>
        <w:t xml:space="preserve">                $e</w:t>
      </w:r>
    </w:p>
    <w:p>
      <w:pPr>
        <w:pStyle w:val="CodeBlock"/>
      </w:pPr>
      <w:r>
        <w:t xml:space="preserve">            );</w:t>
      </w:r>
    </w:p>
    <w:p>
      <w:pPr>
        <w:pStyle w:val="CodeBlock"/>
      </w:pPr>
      <w:r>
        <w:t xml:space="preserve">        }</w:t>
      </w:r>
    </w:p>
    <w:p>
      <w:pPr>
        <w:pStyle w:val="CodeBlock"/>
      </w:pPr>
      <w:r>
        <w:t xml:space="preserve">    }</w:t>
      </w:r>
    </w:p>
    <w:p>
      <w:pPr>
        <w:pStyle w:val="CodeBlock"/>
      </w:pPr>
      <w:r>
        <w:t xml:space="preserve">}</w:t>
      </w:r>
    </w:p>
    <w:p>
      <w:pPr>
        <w:pStyle w:val="CodeBlock"/>
      </w:pPr>
      <w:r>
        <w:t xml:space="preserve"/>
      </w:r>
    </w:p>
    <w:p>
      <w:pPr>
        <w:pStyle w:val="CodeBlock"/>
      </w:pPr>
      <w:r>
        <w:t xml:space="preserve">// Usage example</w:t>
      </w:r>
    </w:p>
    <w:p>
      <w:pPr>
        <w:pStyle w:val="CodeBlock"/>
      </w:pPr>
      <w:r>
        <w:t xml:space="preserve">$notificationService = new NotificationService(</w:t>
      </w:r>
    </w:p>
    <w:p>
      <w:pPr>
        <w:pStyle w:val="CodeBlock"/>
      </w:pPr>
      <w:r>
        <w:t xml:space="preserve">    'https://your-polaris-server.com/PAPIservice',</w:t>
      </w:r>
    </w:p>
    <w:p>
      <w:pPr>
        <w:pStyle w:val="CodeBlock"/>
      </w:pPr>
      <w:r>
        <w:t xml:space="preserve">    1033,  // Language ID</w:t>
      </w:r>
    </w:p>
    <w:p>
      <w:pPr>
        <w:pStyle w:val="CodeBlock"/>
      </w:pPr>
      <w:r>
        <w:t xml:space="preserve">    100,   // App ID</w:t>
      </w:r>
    </w:p>
    <w:p>
      <w:pPr>
        <w:pStyle w:val="CodeBlock"/>
      </w:pPr>
      <w:r>
        <w:t xml:space="preserve">    1,     // Org ID</w:t>
      </w:r>
    </w:p>
    <w:p>
      <w:pPr>
        <w:pStyle w:val="CodeBlock"/>
      </w:pPr>
      <w:r>
        <w:t xml:space="preserve">    'your-access-token'</w:t>
      </w:r>
    </w:p>
    <w:p>
      <w:pPr>
        <w:pStyle w:val="CodeBlock"/>
      </w:pPr>
      <w:r>
        <w:t xml:space="preserve">);</w:t>
      </w:r>
    </w:p>
    <w:p>
      <w:pPr>
        <w:pStyle w:val="CodeBlock"/>
      </w:pPr>
      <w:r>
        <w:t xml:space="preserve"/>
      </w:r>
    </w:p>
    <w:p>
      <w:pPr>
        <w:pStyle w:val="CodeBlock"/>
      </w:pPr>
      <w:r>
        <w:t xml:space="preserve">$result = $notificationService-&gt;markAsSent(1, [</w:t>
      </w:r>
    </w:p>
    <w:p>
      <w:pPr>
        <w:pStyle w:val="CodeBlock"/>
      </w:pPr>
      <w:r>
        <w:t xml:space="preserve">    'NotificationStatusID' =&gt; 2,</w:t>
      </w:r>
    </w:p>
    <w:p>
      <w:pPr>
        <w:pStyle w:val="CodeBlock"/>
      </w:pPr>
      <w:r>
        <w:t xml:space="preserve">    'NotificationDeliveryDate' =&gt; date('c'),</w:t>
      </w:r>
    </w:p>
    <w:p>
      <w:pPr>
        <w:pStyle w:val="CodeBlock"/>
      </w:pPr>
      <w:r>
        <w:t xml:space="preserve">    'DeliveryOptionID' =&gt; 1,</w:t>
      </w:r>
    </w:p>
    <w:p>
      <w:pPr>
        <w:pStyle w:val="CodeBlock"/>
      </w:pPr>
      <w:r>
        <w:t xml:space="preserve">    'DeliveryString' =&gt; '555-0123',</w:t>
      </w:r>
    </w:p>
    <w:p>
      <w:pPr>
        <w:pStyle w:val="CodeBlock"/>
      </w:pPr>
      <w:r>
        <w:t xml:space="preserve">    'PatronID' =&gt; 12345,</w:t>
      </w:r>
    </w:p>
    <w:p>
      <w:pPr>
        <w:pStyle w:val="CodeBlock"/>
      </w:pPr>
      <w:r>
        <w:t xml:space="preserve">    'PatronBarcode' =&gt; '21234567890123'</w:t>
      </w:r>
    </w:p>
    <w:p>
      <w:pPr>
        <w:pStyle w:val="CodeBlock"/>
        <w:spacing w:after="200"/>
      </w:pPr>
      <w:r>
        <w:t xml:space="preserve">]);</w:t>
      </w:r>
    </w:p>
    <w:p>
      <w:pPr>
        <w:pStyle w:val="Heading1"/>
      </w:pPr>
      <w:r>
        <w:t xml:space="preserve">Best Practices</w:t>
      </w:r>
    </w:p>
    <w:p>
      <w:pPr>
        <w:pStyle w:val="ListParagraph"/>
        <w:numPr>
          <w:ilvl w:val="0"/>
          <w:numId w:val="2"/>
        </w:numPr>
      </w:pPr>
      <w:r>
        <w:rPr>
          <w:b/>
          <w:bCs/>
        </w:rPr>
        <w:t xml:space="preserve">Always use ISO 8601 format for dates: </w:t>
      </w:r>
      <w:r>
        <w:t xml:space="preserve">Use PHP's date('c') function to ensure proper formatting.</w:t>
      </w:r>
    </w:p>
    <w:p>
      <w:pPr>
        <w:pStyle w:val="ListParagraph"/>
        <w:numPr>
          <w:ilvl w:val="0"/>
          <w:numId w:val="2"/>
        </w:numPr>
      </w:pPr>
      <w:r>
        <w:rPr>
          <w:b/>
          <w:bCs/>
        </w:rPr>
        <w:t xml:space="preserve">Handle errors gracefully: </w:t>
      </w:r>
      <w:r>
        <w:t xml:space="preserve">Check the PAPIErrorCode in the response and implement proper error logging.</w:t>
      </w:r>
    </w:p>
    <w:p>
      <w:pPr>
        <w:pStyle w:val="ListParagraph"/>
        <w:numPr>
          <w:ilvl w:val="0"/>
          <w:numId w:val="2"/>
        </w:numPr>
      </w:pPr>
      <w:r>
        <w:rPr>
          <w:b/>
          <w:bCs/>
        </w:rPr>
        <w:t xml:space="preserve">Set appropriate timeouts: </w:t>
      </w:r>
      <w:r>
        <w:t xml:space="preserve">The default 30-second timeout is recommended for API calls.</w:t>
      </w:r>
    </w:p>
    <w:p>
      <w:pPr>
        <w:pStyle w:val="ListParagraph"/>
        <w:numPr>
          <w:ilvl w:val="0"/>
          <w:numId w:val="2"/>
        </w:numPr>
      </w:pPr>
      <w:r>
        <w:rPr>
          <w:b/>
          <w:bCs/>
        </w:rPr>
        <w:t xml:space="preserve">Log all notification confirmations: </w:t>
      </w:r>
      <w:r>
        <w:t xml:space="preserve">Maintain your own audit trail of confirmed notifications for reporting purposes.</w:t>
      </w:r>
    </w:p>
    <w:p>
      <w:pPr>
        <w:pStyle w:val="ListParagraph"/>
        <w:numPr>
          <w:ilvl w:val="0"/>
          <w:numId w:val="2"/>
        </w:numPr>
      </w:pPr>
      <w:r>
        <w:rPr>
          <w:b/>
          <w:bCs/>
        </w:rPr>
        <w:t xml:space="preserve">Validate data before sending: </w:t>
      </w:r>
      <w:r>
        <w:t xml:space="preserve">Ensure PatronID, ItemRecordID, and other identifiers exist before attempting to confirm delivery.</w:t>
      </w:r>
    </w:p>
    <w:p>
      <w:pPr>
        <w:pStyle w:val="ListParagraph"/>
        <w:numPr>
          <w:ilvl w:val="0"/>
          <w:numId w:val="2"/>
        </w:numPr>
      </w:pPr>
      <w:r>
        <w:rPr>
          <w:b/>
          <w:bCs/>
        </w:rPr>
        <w:t xml:space="preserve">Use environment variables: </w:t>
      </w:r>
      <w:r>
        <w:t xml:space="preserve">Store API credentials and configuration in environment variables, not in code.</w:t>
      </w:r>
    </w:p>
    <w:p>
      <w:pPr>
        <w:pStyle w:val="ListParagraph"/>
        <w:numPr>
          <w:ilvl w:val="0"/>
          <w:numId w:val="2"/>
        </w:numPr>
        <w:spacing w:after="200"/>
      </w:pPr>
      <w:r>
        <w:rPr>
          <w:b/>
          <w:bCs/>
        </w:rPr>
        <w:t xml:space="preserve">Implement retry logic: </w:t>
      </w:r>
      <w:r>
        <w:t xml:space="preserve">For temporary network failures, implement exponential backoff retry logic.</w:t>
      </w:r>
    </w:p>
    <w:p>
      <w:pPr>
        <w:pStyle w:val="Heading1"/>
      </w:pPr>
      <w:r>
        <w:t xml:space="preserve">Common Issues &amp; Troubleshooting</w:t>
      </w:r>
    </w:p>
    <w:p>
      <w:pPr>
        <w:pStyle w:val="Heading2"/>
      </w:pPr>
      <w:r>
        <w:t xml:space="preserve">Authentication Errors</w:t>
      </w:r>
    </w:p>
    <w:p>
      <w:pPr>
        <w:spacing w:after="120"/>
      </w:pPr>
      <w:r>
        <w:rPr>
          <w:b/>
          <w:bCs/>
        </w:rPr>
        <w:t xml:space="preserve">Problem: </w:t>
      </w:r>
      <w:r>
        <w:t xml:space="preserve">401 Unauthorized response</w:t>
      </w:r>
    </w:p>
    <w:p>
      <w:pPr>
        <w:pStyle w:val="ListParagraph"/>
        <w:numPr>
          <w:ilvl w:val="0"/>
          <w:numId w:val="3"/>
        </w:numPr>
      </w:pPr>
      <w:r>
        <w:t xml:space="preserve">Verify that your access token is valid and not expired</w:t>
      </w:r>
    </w:p>
    <w:p>
      <w:pPr>
        <w:pStyle w:val="ListParagraph"/>
        <w:numPr>
          <w:ilvl w:val="0"/>
          <w:numId w:val="3"/>
        </w:numPr>
      </w:pPr>
      <w:r>
        <w:t xml:space="preserve">Ensure you're using the correct authentication method for protected endpoints</w:t>
      </w:r>
    </w:p>
    <w:p>
      <w:pPr>
        <w:pStyle w:val="ListParagraph"/>
        <w:numPr>
          <w:ilvl w:val="0"/>
          <w:numId w:val="3"/>
        </w:numPr>
        <w:spacing w:after="200"/>
      </w:pPr>
      <w:r>
        <w:t xml:space="preserve">Access tokens typically expire after 24 hours - implement token refresh logic</w:t>
      </w:r>
    </w:p>
    <w:p>
      <w:pPr>
        <w:pStyle w:val="Heading2"/>
      </w:pPr>
      <w:r>
        <w:t xml:space="preserve">Date Format Errors</w:t>
      </w:r>
    </w:p>
    <w:p>
      <w:pPr>
        <w:spacing w:after="120"/>
      </w:pPr>
      <w:r>
        <w:rPr>
          <w:b/>
          <w:bCs/>
        </w:rPr>
        <w:t xml:space="preserve">Problem: </w:t>
      </w:r>
      <w:r>
        <w:t xml:space="preserve">Invalid date format errors</w:t>
      </w:r>
    </w:p>
    <w:p>
      <w:pPr>
        <w:pStyle w:val="ListParagraph"/>
        <w:numPr>
          <w:ilvl w:val="0"/>
          <w:numId w:val="3"/>
        </w:numPr>
      </w:pPr>
      <w:r>
        <w:t xml:space="preserve">Always use ISO 8601 format: date('c') in PHP</w:t>
      </w:r>
    </w:p>
    <w:p>
      <w:pPr>
        <w:pStyle w:val="ListParagraph"/>
        <w:numPr>
          <w:ilvl w:val="0"/>
          <w:numId w:val="3"/>
        </w:numPr>
        <w:spacing w:after="200"/>
      </w:pPr>
      <w:r>
        <w:t xml:space="preserve">Example: 2024-11-13T14:30:00-05:00</w:t>
      </w:r>
    </w:p>
    <w:p>
      <w:pPr>
        <w:pStyle w:val="Heading2"/>
      </w:pPr>
      <w:r>
        <w:t xml:space="preserve">Missing Required Fields</w:t>
      </w:r>
    </w:p>
    <w:p>
      <w:pPr>
        <w:spacing w:after="120"/>
      </w:pPr>
      <w:r>
        <w:rPr>
          <w:b/>
          <w:bCs/>
        </w:rPr>
        <w:t xml:space="preserve">Problem: </w:t>
      </w:r>
      <w:r>
        <w:t xml:space="preserve">API returns error about missing fields</w:t>
      </w:r>
    </w:p>
    <w:p>
      <w:pPr>
        <w:pStyle w:val="ListParagraph"/>
        <w:numPr>
          <w:ilvl w:val="0"/>
          <w:numId w:val="3"/>
        </w:numPr>
      </w:pPr>
      <w:r>
        <w:t xml:space="preserve">Ensure PatronID or PatronBarcode is provided</w:t>
      </w:r>
    </w:p>
    <w:p>
      <w:pPr>
        <w:pStyle w:val="ListParagraph"/>
        <w:numPr>
          <w:ilvl w:val="0"/>
          <w:numId w:val="3"/>
        </w:numPr>
      </w:pPr>
      <w:r>
        <w:t xml:space="preserve">NotificationStatusID and DeliveryOptionID are required</w:t>
      </w:r>
    </w:p>
    <w:p>
      <w:pPr>
        <w:pStyle w:val="ListParagraph"/>
        <w:numPr>
          <w:ilvl w:val="0"/>
          <w:numId w:val="3"/>
        </w:numPr>
        <w:spacing w:after="400"/>
      </w:pPr>
      <w:r>
        <w:t xml:space="preserve">NotificationDeliveryDate must be provided to confirm delivery</w:t>
      </w:r>
    </w:p>
    <w:p>
      <w:pPr>
        <w:pStyle w:val="Heading1"/>
      </w:pPr>
      <w:r>
        <w:t xml:space="preserve">Appendix: Status and Delivery Option IDs</w:t>
      </w:r>
    </w:p>
    <w:p>
      <w:pPr>
        <w:pStyle w:val="Heading2"/>
      </w:pPr>
      <w:r>
        <w:t xml:space="preserve">Common Notification Status IDs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Status ID</w:t>
            </w:r>
          </w:p>
        </w:tc>
        <w:tc>
          <w:tcPr>
            <w:tcW w:type="dxa" w:w="684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Pr>
          <w:p>
            <w:pPr>
              <w:jc w:val="center"/>
            </w:pPr>
            <w:r>
              <w:t xml:space="preserve">1</w:t>
            </w:r>
          </w:p>
        </w:tc>
        <w:tc>
          <w:tcPr>
            <w:tcW w:type="dxa" w:w="6840"/>
            <w:tcBorders>
              <w:top w:val="single" w:color="CCCCCC" w:sz="1"/>
              <w:left w:val="single" w:color="CCCCCC" w:sz="1"/>
              <w:bottom w:val="single" w:color="CCCCCC" w:sz="1"/>
              <w:right w:val="single" w:color="CCCCCC" w:sz="1"/>
            </w:tcBorders>
          </w:tcPr>
          <w:p>
            <w:r>
              <w:t xml:space="preserve">Pending</w:t>
            </w:r>
          </w:p>
        </w:tc>
      </w:tr>
      <w:tr>
        <w:tc>
          <w:tcPr>
            <w:tcW w:type="dxa" w:w="2340"/>
            <w:tcBorders>
              <w:top w:val="single" w:color="CCCCCC" w:sz="1"/>
              <w:left w:val="single" w:color="CCCCCC" w:sz="1"/>
              <w:bottom w:val="single" w:color="CCCCCC" w:sz="1"/>
              <w:right w:val="single" w:color="CCCCCC" w:sz="1"/>
            </w:tcBorders>
          </w:tcPr>
          <w:p>
            <w:pPr>
              <w:jc w:val="center"/>
            </w:pPr>
            <w:r>
              <w:t xml:space="preserve">2</w:t>
            </w:r>
          </w:p>
        </w:tc>
        <w:tc>
          <w:tcPr>
            <w:tcW w:type="dxa" w:w="6840"/>
            <w:tcBorders>
              <w:top w:val="single" w:color="CCCCCC" w:sz="1"/>
              <w:left w:val="single" w:color="CCCCCC" w:sz="1"/>
              <w:bottom w:val="single" w:color="CCCCCC" w:sz="1"/>
              <w:right w:val="single" w:color="CCCCCC" w:sz="1"/>
            </w:tcBorders>
          </w:tcPr>
          <w:p>
            <w:r>
              <w:t xml:space="preserve">Successfully Delivered</w:t>
            </w:r>
          </w:p>
        </w:tc>
      </w:tr>
      <w:tr>
        <w:tc>
          <w:tcPr>
            <w:tcW w:type="dxa" w:w="2340"/>
            <w:tcBorders>
              <w:top w:val="single" w:color="CCCCCC" w:sz="1"/>
              <w:left w:val="single" w:color="CCCCCC" w:sz="1"/>
              <w:bottom w:val="single" w:color="CCCCCC" w:sz="1"/>
              <w:right w:val="single" w:color="CCCCCC" w:sz="1"/>
            </w:tcBorders>
          </w:tcPr>
          <w:p>
            <w:pPr>
              <w:jc w:val="center"/>
            </w:pPr>
            <w:r>
              <w:t xml:space="preserve">3</w:t>
            </w:r>
          </w:p>
        </w:tc>
        <w:tc>
          <w:tcPr>
            <w:tcW w:type="dxa" w:w="6840"/>
            <w:tcBorders>
              <w:top w:val="single" w:color="CCCCCC" w:sz="1"/>
              <w:left w:val="single" w:color="CCCCCC" w:sz="1"/>
              <w:bottom w:val="single" w:color="CCCCCC" w:sz="1"/>
              <w:right w:val="single" w:color="CCCCCC" w:sz="1"/>
            </w:tcBorders>
          </w:tcPr>
          <w:p>
            <w:r>
              <w:t xml:space="preserve">Failed Delivery</w:t>
            </w:r>
          </w:p>
        </w:tc>
      </w:tr>
    </w:tbl>
    <w:p>
      <w:r>
        <w:t xml:space="preserve"/>
      </w:r>
    </w:p>
    <w:p>
      <w:pPr>
        <w:pStyle w:val="Heading2"/>
      </w:pPr>
      <w:r>
        <w:t xml:space="preserve">Common Delivery Option IDs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Option ID</w:t>
            </w:r>
          </w:p>
        </w:tc>
        <w:tc>
          <w:tcPr>
            <w:tcW w:type="dxa" w:w="684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Delivery Method</w:t>
            </w:r>
          </w:p>
        </w:tc>
      </w:tr>
      <w:tr>
        <w:tc>
          <w:tcPr>
            <w:tcW w:type="dxa" w:w="2340"/>
            <w:tcBorders>
              <w:top w:val="single" w:color="CCCCCC" w:sz="1"/>
              <w:left w:val="single" w:color="CCCCCC" w:sz="1"/>
              <w:bottom w:val="single" w:color="CCCCCC" w:sz="1"/>
              <w:right w:val="single" w:color="CCCCCC" w:sz="1"/>
            </w:tcBorders>
          </w:tcPr>
          <w:p>
            <w:pPr>
              <w:jc w:val="center"/>
            </w:pPr>
            <w:r>
              <w:t xml:space="preserve">1</w:t>
            </w:r>
          </w:p>
        </w:tc>
        <w:tc>
          <w:tcPr>
            <w:tcW w:type="dxa" w:w="6840"/>
            <w:tcBorders>
              <w:top w:val="single" w:color="CCCCCC" w:sz="1"/>
              <w:left w:val="single" w:color="CCCCCC" w:sz="1"/>
              <w:bottom w:val="single" w:color="CCCCCC" w:sz="1"/>
              <w:right w:val="single" w:color="CCCCCC" w:sz="1"/>
            </w:tcBorders>
          </w:tcPr>
          <w:p>
            <w:r>
              <w:t xml:space="preserve">Phone</w:t>
            </w:r>
          </w:p>
        </w:tc>
      </w:tr>
      <w:tr>
        <w:tc>
          <w:tcPr>
            <w:tcW w:type="dxa" w:w="2340"/>
            <w:tcBorders>
              <w:top w:val="single" w:color="CCCCCC" w:sz="1"/>
              <w:left w:val="single" w:color="CCCCCC" w:sz="1"/>
              <w:bottom w:val="single" w:color="CCCCCC" w:sz="1"/>
              <w:right w:val="single" w:color="CCCCCC" w:sz="1"/>
            </w:tcBorders>
          </w:tcPr>
          <w:p>
            <w:pPr>
              <w:jc w:val="center"/>
            </w:pPr>
            <w:r>
              <w:t xml:space="preserve">2</w:t>
            </w:r>
          </w:p>
        </w:tc>
        <w:tc>
          <w:tcPr>
            <w:tcW w:type="dxa" w:w="6840"/>
            <w:tcBorders>
              <w:top w:val="single" w:color="CCCCCC" w:sz="1"/>
              <w:left w:val="single" w:color="CCCCCC" w:sz="1"/>
              <w:bottom w:val="single" w:color="CCCCCC" w:sz="1"/>
              <w:right w:val="single" w:color="CCCCCC" w:sz="1"/>
            </w:tcBorders>
          </w:tcPr>
          <w:p>
            <w:r>
              <w:t xml:space="preserve">Email</w:t>
            </w:r>
          </w:p>
        </w:tc>
      </w:tr>
      <w:tr>
        <w:tc>
          <w:tcPr>
            <w:tcW w:type="dxa" w:w="2340"/>
            <w:tcBorders>
              <w:top w:val="single" w:color="CCCCCC" w:sz="1"/>
              <w:left w:val="single" w:color="CCCCCC" w:sz="1"/>
              <w:bottom w:val="single" w:color="CCCCCC" w:sz="1"/>
              <w:right w:val="single" w:color="CCCCCC" w:sz="1"/>
            </w:tcBorders>
          </w:tcPr>
          <w:p>
            <w:pPr>
              <w:jc w:val="center"/>
            </w:pPr>
            <w:r>
              <w:t xml:space="preserve">3</w:t>
            </w:r>
          </w:p>
        </w:tc>
        <w:tc>
          <w:tcPr>
            <w:tcW w:type="dxa" w:w="6840"/>
            <w:tcBorders>
              <w:top w:val="single" w:color="CCCCCC" w:sz="1"/>
              <w:left w:val="single" w:color="CCCCCC" w:sz="1"/>
              <w:bottom w:val="single" w:color="CCCCCC" w:sz="1"/>
              <w:right w:val="single" w:color="CCCCCC" w:sz="1"/>
            </w:tcBorders>
          </w:tcPr>
          <w:p>
            <w:r>
              <w:t xml:space="preserve">Text Message (SMS)</w:t>
            </w:r>
          </w:p>
        </w:tc>
      </w:tr>
      <w:tr>
        <w:tc>
          <w:tcPr>
            <w:tcW w:type="dxa" w:w="2340"/>
            <w:tcBorders>
              <w:top w:val="single" w:color="CCCCCC" w:sz="1"/>
              <w:left w:val="single" w:color="CCCCCC" w:sz="1"/>
              <w:bottom w:val="single" w:color="CCCCCC" w:sz="1"/>
              <w:right w:val="single" w:color="CCCCCC" w:sz="1"/>
            </w:tcBorders>
          </w:tcPr>
          <w:p>
            <w:pPr>
              <w:jc w:val="center"/>
            </w:pPr>
            <w:r>
              <w:t xml:space="preserve">4</w:t>
            </w:r>
          </w:p>
        </w:tc>
        <w:tc>
          <w:tcPr>
            <w:tcW w:type="dxa" w:w="6840"/>
            <w:tcBorders>
              <w:top w:val="single" w:color="CCCCCC" w:sz="1"/>
              <w:left w:val="single" w:color="CCCCCC" w:sz="1"/>
              <w:bottom w:val="single" w:color="CCCCCC" w:sz="1"/>
              <w:right w:val="single" w:color="CCCCCC" w:sz="1"/>
            </w:tcBorders>
          </w:tcPr>
          <w:p>
            <w:r>
              <w:t xml:space="preserve">Print</w:t>
            </w:r>
          </w:p>
        </w:tc>
      </w:tr>
    </w:tbl>
    <w:p>
      <w:r>
        <w:t xml:space="preserve"/>
      </w:r>
    </w:p>
    <w:p>
      <w:pPr>
        <w:spacing w:before="200"/>
      </w:pPr>
      <w:r>
        <w:rPr>
          <w:b/>
          <w:bCs/>
          <w:i/>
          <w:iCs/>
        </w:rPr>
        <w:t xml:space="preserve">Note: </w:t>
      </w:r>
      <w:r>
        <w:rPr>
          <w:i/>
          <w:iCs/>
        </w:rPr>
        <w:t xml:space="preserve">Actual status and delivery option IDs may vary by Polaris installation. Consult your Polaris administrator for the exact IDs used in your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788"/>
      <w:sz w:val="56"/>
      <w:szCs w:val="56"/>
    </w:rPr>
  </w:style>
  <w:style w:type="paragraph" w:styleId="Heading1">
    <w:name w:val="Heading 1"/>
    <w:basedOn w:val="Normal"/>
    <w:next w:val="Normal"/>
    <w:qFormat/>
    <w:pPr>
      <w:spacing w:before="320" w:after="160"/>
      <w:outlineLvl w:val="0"/>
    </w:pPr>
    <w:rPr>
      <w:rFonts w:ascii="Arial" w:cs="Arial" w:eastAsia="Arial" w:hAnsi="Arial"/>
      <w:b/>
      <w:bCs/>
      <w:color w:val="1F478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90E2"/>
      <w:sz w:val="26"/>
      <w:szCs w:val="26"/>
    </w:rPr>
  </w:style>
  <w:style w:type="paragraph" w:styleId="CodeBlock">
    <w:name w:val="Code Block"/>
    <w:basedOn w:val="Normal"/>
    <w:pPr>
      <w:spacing w:before="120" w:after="120"/>
      <w:ind w:left="360"/>
    </w:pPr>
    <w:rPr>
      <w:rFonts w:ascii="Courier New" w:cs="Courier New" w:eastAsia="Courier New" w:hAnsi="Courier New"/>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2025-11-14T01:59:00.991Z</dcterms:created>
  <dcterms:modified xsi:type="dcterms:W3CDTF">2025-11-14T01:59:00.992Z</dcterms:modified>
</cp:coreProperties>
</file>

<file path=docProps/custom.xml><?xml version="1.0" encoding="utf-8"?>
<Properties xmlns="http://schemas.openxmlformats.org/officeDocument/2006/custom-properties" xmlns:vt="http://schemas.openxmlformats.org/officeDocument/2006/docPropsVTypes"/>
</file>