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f041a347690cf6239b0561e1ddd19813a8ee98"/>
    <w:p>
      <w:pPr>
        <w:pStyle w:val="Heading1"/>
      </w:pPr>
      <w:r>
        <w:t xml:space="preserve">Sentiment Classification on GoEmotions: A Comparative Study of TF-IDF + Logistic Regression and DistilBERT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Anuruddha Ekanayake</w:t>
            </w:r>
          </w:p>
        </w:tc>
        <w:tc>
          <w:tcPr/>
          <w:p>
            <w:pPr>
              <w:pStyle w:val="Compact"/>
              <w:jc w:val="center"/>
            </w:pPr>
            <w:r>
              <w:t xml:space="preserve">Arian Alai</w:t>
            </w:r>
          </w:p>
        </w:tc>
        <w:tc>
          <w:tcPr/>
          <w:p>
            <w:pPr>
              <w:pStyle w:val="Compact"/>
              <w:jc w:val="center"/>
            </w:pPr>
            <w:r>
              <w:t xml:space="preserve">Daniel Crow</w:t>
            </w:r>
          </w:p>
        </w:tc>
      </w:tr>
      <w:tr>
        <w:tc>
          <w:tcPr/>
          <w:p>
            <w:pPr>
              <w:pStyle w:val="Compact"/>
              <w:jc w:val="center"/>
            </w:pPr>
            <w:r>
              <w:t xml:space="preserve">School of Computing</w:t>
            </w:r>
          </w:p>
        </w:tc>
        <w:tc>
          <w:tcPr/>
          <w:p>
            <w:pPr>
              <w:pStyle w:val="Compact"/>
              <w:jc w:val="center"/>
            </w:pPr>
            <w:r>
              <w:t xml:space="preserve">School of Computing</w:t>
            </w:r>
          </w:p>
        </w:tc>
        <w:tc>
          <w:tcPr/>
          <w:p>
            <w:pPr>
              <w:pStyle w:val="Compact"/>
              <w:jc w:val="center"/>
            </w:pPr>
            <w:r>
              <w:t xml:space="preserve">School of Computing</w:t>
            </w:r>
          </w:p>
        </w:tc>
      </w:tr>
      <w:tr>
        <w:tc>
          <w:tcPr/>
          <w:p>
            <w:pPr>
              <w:pStyle w:val="Compact"/>
              <w:jc w:val="center"/>
            </w:pPr>
            <w:r>
              <w:t xml:space="preserve">University of Nebraska-Lincoln</w:t>
            </w:r>
          </w:p>
        </w:tc>
        <w:tc>
          <w:tcPr/>
          <w:p>
            <w:pPr>
              <w:pStyle w:val="Compact"/>
              <w:jc w:val="center"/>
            </w:pPr>
            <w:r>
              <w:t xml:space="preserve">University of Nebraska-Lincoln</w:t>
            </w:r>
          </w:p>
        </w:tc>
        <w:tc>
          <w:tcPr/>
          <w:p>
            <w:pPr>
              <w:pStyle w:val="Compact"/>
              <w:jc w:val="center"/>
            </w:pPr>
            <w:r>
              <w:t xml:space="preserve">University of Nebraska-Lincoln</w:t>
            </w:r>
          </w:p>
        </w:tc>
      </w:tr>
      <w:tr>
        <w:tc>
          <w:tcPr/>
          <w:p>
            <w:pPr>
              <w:pStyle w:val="Compact"/>
              <w:jc w:val="center"/>
            </w:pPr>
            <w:r>
              <w:t xml:space="preserve">Lincoln, USA</w:t>
            </w:r>
          </w:p>
        </w:tc>
        <w:tc>
          <w:tcPr/>
          <w:p>
            <w:pPr>
              <w:pStyle w:val="Compact"/>
              <w:jc w:val="center"/>
            </w:pPr>
            <w:r>
              <w:t xml:space="preserve">Lincoln, USA</w:t>
            </w:r>
          </w:p>
        </w:tc>
        <w:tc>
          <w:tcPr/>
          <w:p>
            <w:pPr>
              <w:pStyle w:val="Compact"/>
              <w:jc w:val="center"/>
            </w:pPr>
            <w:r>
              <w:t xml:space="preserve">Lincoln, USA</w:t>
            </w:r>
          </w:p>
        </w:tc>
      </w:tr>
      <w:tr>
        <w:tc>
          <w:tcPr/>
          <w:p>
            <w:pPr>
              <w:pStyle w:val="Compact"/>
              <w:jc w:val="center"/>
            </w:pPr>
            <w:r>
              <w:t xml:space="preserve">aekanayake2@huskers.unl.edu</w:t>
            </w:r>
          </w:p>
        </w:tc>
        <w:tc>
          <w:tcPr/>
          <w:p>
            <w:pPr>
              <w:pStyle w:val="Compact"/>
              <w:jc w:val="center"/>
            </w:pPr>
            <w:r>
              <w:t xml:space="preserve">aalai2@huskers.unl.edu</w:t>
            </w:r>
          </w:p>
        </w:tc>
        <w:tc>
          <w:tcPr/>
          <w:p>
            <w:pPr>
              <w:pStyle w:val="Compact"/>
              <w:jc w:val="center"/>
            </w:pPr>
            <w:r>
              <w:t xml:space="preserve">dcrow2@huskers.unl.edu</w:t>
            </w:r>
          </w:p>
        </w:tc>
      </w:tr>
    </w:tbl>
    <w:p>
      <w:pPr>
        <w:pStyle w:val="BodyText"/>
      </w:pPr>
      <w:r>
        <w:rPr>
          <w:b/>
          <w:bCs/>
          <w:i/>
          <w:iCs/>
        </w:rPr>
        <w:t xml:space="preserve">Abstract</w:t>
      </w:r>
      <w:r>
        <w:rPr>
          <w:b/>
          <w:bCs/>
        </w:rPr>
        <w:t xml:space="preserve">—We map the fine-grained emotions in the GoEmotions dataset to four coarse sentiment categories: positive, negative, neutral, and ambiguous. We train and compare two classification models: a TF-IDF feature pipeline with a Logistic Regression classifier, and a fine-tuned DistilBERT transformer. Our experimental results show that the TF-IDF + Logistic Regression baseline achieves a classification accuracy of 0.636 (95% CI [0.622, 0.650]) and macro-F1 of 0.601 (95% CI [0.585, 0.616]). Fine-tuning DistilBERT on the full training dataset yields a test accuracy of 0.715 (95% CI [0.703, 0.728]) and macro-F1 of 0.684 (95% CI [0.669, 0.699]). Since the 95% confidence intervals for accuracy do not overlap, we conclude that the transformer-based model provides a statistically significant improvement over the linear baseline.</w:t>
      </w:r>
    </w:p>
    <w:bookmarkEnd w:id="20"/>
    <w:bookmarkStart w:id="21" w:name="introduction"/>
    <w:p>
      <w:pPr>
        <w:pStyle w:val="Heading1"/>
      </w:pPr>
      <w:r>
        <w:t xml:space="preserve">Introduction</w:t>
      </w:r>
    </w:p>
    <w:p>
      <w:pPr>
        <w:pStyle w:val="FirstParagraph"/>
      </w:pPr>
      <w:r>
        <w:t xml:space="preserve">Emotion and sentiment analysis of natural language text is a fundamental task in Natural Language Processing (NLP) with applications in customer service, social media analysis, and public opinion monitoring. The advent of modern social media platforms has led to a massive influx of informal text, which is often characterized by noisy writing, slang, and complex emotional expressions. Standard sentiment analysis (classifying text into positive, negative, or neutral) is often insufficient for capturing the rich emotional cues present in these comments.</w:t>
      </w:r>
    </w:p>
    <w:p>
      <w:pPr>
        <w:pStyle w:val="BodyText"/>
      </w:pPr>
      <w:r>
        <w:t xml:space="preserve">The GoEmotions dataset</w:t>
      </w:r>
      <w:r>
        <w:t xml:space="preserve"> </w:t>
      </w:r>
      <w:r>
        <w:t xml:space="preserve">[@demszky-etal-2020-goemotions]</w:t>
      </w:r>
      <w:r>
        <w:t xml:space="preserve"> </w:t>
      </w:r>
      <w:r>
        <w:t xml:space="preserve">is a large, human-annotated corpus of 58k Reddit comments labeled with 28 fine-grained emotion categories. In this project, we address a simplified variant of the task: 4-way single-label sentiment classification. We filter the comments to keep only those with exactly one emotion label, and map that label to one of four sentiment classes:</w:t>
      </w:r>
      <w:r>
        <w:t xml:space="preserve"> </w:t>
      </w:r>
      <w:r>
        <w:rPr>
          <w:i/>
          <w:iCs/>
        </w:rPr>
        <w:t xml:space="preserve">positive</w:t>
      </w:r>
      <w:r>
        <w:t xml:space="preserve">,</w:t>
      </w:r>
      <w:r>
        <w:t xml:space="preserve"> </w:t>
      </w:r>
      <w:r>
        <w:rPr>
          <w:i/>
          <w:iCs/>
        </w:rPr>
        <w:t xml:space="preserve">negative</w:t>
      </w:r>
      <w:r>
        <w:t xml:space="preserve">,</w:t>
      </w:r>
      <w:r>
        <w:t xml:space="preserve"> </w:t>
      </w:r>
      <w:r>
        <w:rPr>
          <w:i/>
          <w:iCs/>
        </w:rPr>
        <w:t xml:space="preserve">neutral</w:t>
      </w:r>
      <w:r>
        <w:t xml:space="preserve">, or</w:t>
      </w:r>
      <w:r>
        <w:t xml:space="preserve"> </w:t>
      </w:r>
      <w:r>
        <w:rPr>
          <w:i/>
          <w:iCs/>
        </w:rPr>
        <w:t xml:space="preserve">ambiguous</w:t>
      </w:r>
      <w:r>
        <w:t xml:space="preserve">.</w:t>
      </w:r>
    </w:p>
    <w:p>
      <w:pPr>
        <w:pStyle w:val="BodyText"/>
      </w:pPr>
      <w:r>
        <w:t xml:space="preserve">To solve this problem, we implement and compare two different modeling approaches:</w:t>
      </w:r>
      <w:r>
        <w:t xml:space="preserve"> </w:t>
      </w:r>
      <w:r>
        <w:t xml:space="preserve">1. A baseline model consisting of a TF-IDF vectorizer (using word and character n-grams) combined with a Logistic Regression classifier.</w:t>
      </w:r>
      <w:r>
        <w:t xml:space="preserve"> </w:t>
      </w:r>
      <w:r>
        <w:t xml:space="preserve">2. A deep learning approach using a pre-trained DistilBERT transformer fine-tuned on the training data.</w:t>
      </w:r>
    </w:p>
    <w:p>
      <w:pPr>
        <w:pStyle w:val="BodyText"/>
      </w:pPr>
      <w:r>
        <w:t xml:space="preserve">We evaluate both models on the test split, report their classification accuracy and macro-F1 scores along with 95% bootstrap confidence intervals, and analyze their per-class performance to justify the selection of the best-performing model.</w:t>
      </w:r>
    </w:p>
    <w:bookmarkEnd w:id="21"/>
    <w:bookmarkStart w:id="23" w:name="problem-description"/>
    <w:p>
      <w:pPr>
        <w:pStyle w:val="Heading1"/>
      </w:pPr>
      <w:r>
        <w:t xml:space="preserve">Problem Description</w:t>
      </w:r>
    </w:p>
    <w:p>
      <w:pPr>
        <w:pStyle w:val="FirstParagraph"/>
      </w:pPr>
      <w:r>
        <w:t xml:space="preserve">The sentiment classification task is framed as a supervised single-label classification problem.</w:t>
      </w:r>
    </w:p>
    <w:p>
      <w:pPr>
        <w:pStyle w:val="BodyText"/>
      </w:pPr>
      <w:r>
        <w:rPr>
          <w:b/>
          <w:bCs/>
        </w:rPr>
        <w:t xml:space="preserve">Inputs:</w:t>
      </w:r>
      <w:r>
        <w:t xml:space="preserve"> </w:t>
      </w:r>
      <w:r>
        <w:t xml:space="preserve">The input is a raw text string</w:t>
      </w:r>
      <w:r>
        <w:t xml:space="preserve"> </w:t>
      </w:r>
      <m:oMath>
        <m:r>
          <m:t>x</m:t>
        </m:r>
        <m:r>
          <m:rPr>
            <m:sty m:val="p"/>
          </m:rPr>
          <m:t>∈</m:t>
        </m:r>
        <m:r>
          <m:rPr>
            <m:sty m:val="p"/>
            <m:scr m:val="script"/>
          </m:rPr>
          <m:t>X</m:t>
        </m:r>
      </m:oMath>
      <w:r>
        <w:t xml:space="preserve">, representing a single Reddit comment. The text is preprocessed by collapsing whitespace, removing newlines, and striping leading/trailing whitespace.</w:t>
      </w:r>
    </w:p>
    <w:p>
      <w:pPr>
        <w:pStyle w:val="BodyText"/>
      </w:pPr>
      <w:r>
        <w:rPr>
          <w:b/>
          <w:bCs/>
        </w:rPr>
        <w:t xml:space="preserve">Outputs:</w:t>
      </w:r>
      <w:r>
        <w:t xml:space="preserve"> </w:t>
      </w:r>
      <w:r>
        <w:t xml:space="preserve">The output is a categorical label</w:t>
      </w:r>
      <w:r>
        <w:t xml:space="preserve"> </w:t>
      </w:r>
      <m:oMath>
        <m:r>
          <m:t>y</m:t>
        </m:r>
        <m:r>
          <m:rPr>
            <m:sty m:val="p"/>
          </m:rPr>
          <m:t>∈</m:t>
        </m:r>
        <m:r>
          <m:rPr>
            <m:sty m:val="p"/>
            <m:scr m:val="script"/>
          </m:rPr>
          <m:t>Y</m:t>
        </m:r>
      </m:oMath>
      <w:r>
        <w:t xml:space="preserve">, where:</w:t>
      </w:r>
    </w:p>
    <w:p>
      <w:pPr>
        <w:pStyle w:val="BodyText"/>
      </w:pPr>
      <m:oMathPara>
        <m:oMathParaPr>
          <m:jc m:val="center"/>
        </m:oMathParaPr>
        <m:oMath>
          <m:r>
            <m:rPr>
              <m:sty m:val="p"/>
              <m:scr m:val="script"/>
            </m:rPr>
            <m:t>Y</m:t>
          </m:r>
          <m:r>
            <m:rPr>
              <m:sty m:val="p"/>
            </m:rPr>
            <m:t>=</m:t>
          </m:r>
          <m:r>
            <m:rPr>
              <m:sty m:val="p"/>
            </m:rPr>
            <m:t>{</m:t>
          </m:r>
          <m:r>
            <m:rPr>
              <m:nor/>
              <m:sty m:val="p"/>
            </m:rPr>
            <m:t>negative</m:t>
          </m:r>
          <m:r>
            <m:rPr>
              <m:sty m:val="p"/>
            </m:rPr>
            <m:t>,</m:t>
          </m:r>
          <m:r>
            <m:rPr>
              <m:nor/>
              <m:sty m:val="p"/>
            </m:rPr>
            <m:t>neutral</m:t>
          </m:r>
          <m:r>
            <m:rPr>
              <m:sty m:val="p"/>
            </m:rPr>
            <m:t>,</m:t>
          </m:r>
          <m:r>
            <m:rPr>
              <m:nor/>
              <m:sty m:val="p"/>
            </m:rPr>
            <m:t>positive</m:t>
          </m:r>
          <m:r>
            <m:rPr>
              <m:sty m:val="p"/>
            </m:rPr>
            <m:t>,</m:t>
          </m:r>
          <m:r>
            <m:rPr>
              <m:nor/>
              <m:sty m:val="p"/>
            </m:rPr>
            <m:t>ambiguous</m:t>
          </m:r>
          <m:r>
            <m:rPr>
              <m:sty m:val="p"/>
            </m:rPr>
            <m:t>}</m:t>
          </m:r>
        </m:oMath>
      </m:oMathPara>
    </w:p>
    <w:bookmarkStart w:id="22" w:name="sentiment-mapping"/>
    <w:p>
      <w:pPr>
        <w:pStyle w:val="Heading3"/>
      </w:pPr>
      <w:r>
        <w:t xml:space="preserve">Sentiment Mapping</w:t>
      </w:r>
    </w:p>
    <w:p>
      <w:pPr>
        <w:pStyle w:val="FirstParagraph"/>
      </w:pPr>
      <w:r>
        <w:t xml:space="preserve">We map the original 28 GoEmotions categories to our target categories as follows:</w:t>
      </w:r>
      <w:r>
        <w:t xml:space="preserve"> </w:t>
      </w:r>
      <w:r>
        <w:t xml:space="preserve">*</w:t>
      </w:r>
      <w:r>
        <w:t xml:space="preserve"> </w:t>
      </w:r>
      <w:r>
        <w:rPr>
          <w:b/>
          <w:bCs/>
        </w:rPr>
        <w:t xml:space="preserve">Positive:</w:t>
      </w:r>
      <w:r>
        <w:t xml:space="preserve"> </w:t>
      </w:r>
      <w:r>
        <w:t xml:space="preserve">admiration, amusement, approval, caring, desire, excitement, gratitude, joy, love, optimism, pride, relief.</w:t>
      </w:r>
      <w:r>
        <w:t xml:space="preserve"> </w:t>
      </w:r>
      <w:r>
        <w:t xml:space="preserve">*</w:t>
      </w:r>
      <w:r>
        <w:t xml:space="preserve"> </w:t>
      </w:r>
      <w:r>
        <w:rPr>
          <w:b/>
          <w:bCs/>
        </w:rPr>
        <w:t xml:space="preserve">Negative:</w:t>
      </w:r>
      <w:r>
        <w:t xml:space="preserve"> </w:t>
      </w:r>
      <w:r>
        <w:t xml:space="preserve">anger, annoyance, disappointment, disapproval, disgust, embarrassment, fear, grief, nervousness, remorse, sadness.</w:t>
      </w:r>
      <w:r>
        <w:t xml:space="preserve"> </w:t>
      </w:r>
      <w:r>
        <w:t xml:space="preserve">*</w:t>
      </w:r>
      <w:r>
        <w:t xml:space="preserve"> </w:t>
      </w:r>
      <w:r>
        <w:rPr>
          <w:b/>
          <w:bCs/>
        </w:rPr>
        <w:t xml:space="preserve">Ambiguous:</w:t>
      </w:r>
      <w:r>
        <w:t xml:space="preserve"> </w:t>
      </w:r>
      <w:r>
        <w:t xml:space="preserve">confusion, curiosity, realization, surprise.</w:t>
      </w:r>
      <w:r>
        <w:t xml:space="preserve"> </w:t>
      </w:r>
      <w:r>
        <w:t xml:space="preserve">*</w:t>
      </w:r>
      <w:r>
        <w:t xml:space="preserve"> </w:t>
      </w:r>
      <w:r>
        <w:rPr>
          <w:b/>
          <w:bCs/>
        </w:rPr>
        <w:t xml:space="preserve">Neutral:</w:t>
      </w:r>
      <w:r>
        <w:t xml:space="preserve"> </w:t>
      </w:r>
      <w:r>
        <w:t xml:space="preserve">neutral.</w:t>
      </w:r>
    </w:p>
    <w:p>
      <w:pPr>
        <w:pStyle w:val="BodyText"/>
      </w:pPr>
      <w:r>
        <w:t xml:space="preserve">To handle multi-label comments, we restrict the dataset to comments that have exactly one active emotion label. The preprocessed splits contain the following class counts:</w:t>
      </w:r>
      <w:r>
        <w:t xml:space="preserve"> </w:t>
      </w:r>
      <w:r>
        <w:t xml:space="preserve">*</w:t>
      </w:r>
      <w:r>
        <w:t xml:space="preserve"> </w:t>
      </w:r>
      <w:r>
        <w:rPr>
          <w:b/>
          <w:bCs/>
        </w:rPr>
        <w:t xml:space="preserve">Train Set:</w:t>
      </w:r>
      <w:r>
        <w:t xml:space="preserve"> </w:t>
      </w:r>
      <w:r>
        <w:t xml:space="preserve">36,308 samples (12,920 positive, 12,823 neutral, 7,012 negative, 3,553 ambiguous).</w:t>
      </w:r>
      <w:r>
        <w:t xml:space="preserve"> </w:t>
      </w:r>
      <w:r>
        <w:t xml:space="preserve">*</w:t>
      </w:r>
      <w:r>
        <w:t xml:space="preserve"> </w:t>
      </w:r>
      <w:r>
        <w:rPr>
          <w:b/>
          <w:bCs/>
        </w:rPr>
        <w:t xml:space="preserve">Validation Set:</w:t>
      </w:r>
      <w:r>
        <w:t xml:space="preserve"> </w:t>
      </w:r>
      <w:r>
        <w:t xml:space="preserve">4,548 samples.</w:t>
      </w:r>
      <w:r>
        <w:t xml:space="preserve"> </w:t>
      </w:r>
      <w:r>
        <w:t xml:space="preserve">*</w:t>
      </w:r>
      <w:r>
        <w:t xml:space="preserve"> </w:t>
      </w:r>
      <w:r>
        <w:rPr>
          <w:b/>
          <w:bCs/>
        </w:rPr>
        <w:t xml:space="preserve">Test Set:</w:t>
      </w:r>
      <w:r>
        <w:t xml:space="preserve"> </w:t>
      </w:r>
      <w:r>
        <w:t xml:space="preserve">4,590 samples (1,606 neutral, 1,603 positive, 932 negative, 449 ambiguous).</w:t>
      </w:r>
    </w:p>
    <w:bookmarkEnd w:id="22"/>
    <w:bookmarkEnd w:id="23"/>
    <w:bookmarkStart w:id="26" w:name="models-used"/>
    <w:p>
      <w:pPr>
        <w:pStyle w:val="Heading1"/>
      </w:pPr>
      <w:r>
        <w:t xml:space="preserve">Models Used</w:t>
      </w:r>
    </w:p>
    <w:p>
      <w:pPr>
        <w:pStyle w:val="FirstParagraph"/>
      </w:pPr>
      <w:r>
        <w:t xml:space="preserve">We utilize two models representing different levels of model complexity and linguistic representations.</w:t>
      </w:r>
    </w:p>
    <w:bookmarkStart w:id="24" w:name="X4f9325da8750db9783bd55e0e87d59ef35cdf0a"/>
    <w:p>
      <w:pPr>
        <w:pStyle w:val="Heading3"/>
      </w:pPr>
      <w:r>
        <w:t xml:space="preserve">Model 1: TF-IDF + Logistic Regression (Baseline)</w:t>
      </w:r>
    </w:p>
    <w:p>
      <w:pPr>
        <w:pStyle w:val="FirstParagraph"/>
      </w:pPr>
      <w:r>
        <w:t xml:space="preserve">Our baseline model utilizes a standard bag-of-words approach:</w:t>
      </w:r>
      <w:r>
        <w:t xml:space="preserve"> </w:t>
      </w:r>
      <w:r>
        <w:t xml:space="preserve">1.</w:t>
      </w:r>
      <w:r>
        <w:t xml:space="preserve"> </w:t>
      </w:r>
      <w:r>
        <w:rPr>
          <w:b/>
          <w:bCs/>
        </w:rPr>
        <w:t xml:space="preserve">Feature Extraction:</w:t>
      </w:r>
      <w:r>
        <w:t xml:space="preserve"> </w:t>
      </w:r>
      <w:r>
        <w:t xml:space="preserve">A</w:t>
      </w:r>
      <w:r>
        <w:t xml:space="preserve"> </w:t>
      </w:r>
      <w:r>
        <w:rPr>
          <w:rStyle w:val="VerbatimChar"/>
        </w:rPr>
        <w:t xml:space="preserve">TfidfVectorizer</w:t>
      </w:r>
      <w:r>
        <w:t xml:space="preserve"> </w:t>
      </w:r>
      <w:r>
        <w:t xml:space="preserve">computes tf-idf features using word and character n-grams in the range</w:t>
      </w:r>
      <w:r>
        <w:t xml:space="preserve"> </w:t>
      </w:r>
      <m:oMath>
        <m:d>
          <m:dPr>
            <m:begChr m:val="("/>
            <m:sepChr m:val=""/>
            <m:endChr m:val=")"/>
            <m:grow/>
          </m:dPr>
          <m:e>
            <m:r>
              <m:t>1</m:t>
            </m:r>
            <m:r>
              <m:rPr>
                <m:sty m:val="p"/>
              </m:rPr>
              <m:t>,</m:t>
            </m:r>
            <m:r>
              <m:t>2</m:t>
            </m:r>
          </m:e>
        </m:d>
      </m:oMath>
      <w:r>
        <w:t xml:space="preserve">. We restrict the vocabulary to the top 50,000 features, apply sublinear term-frequency scaling (</w:t>
      </w:r>
      <m:oMath>
        <m:r>
          <m:rPr>
            <m:nor/>
            <m:sty m:val="p"/>
          </m:rPr>
          <m:t>tf</m:t>
        </m:r>
        <m:r>
          <m:rPr>
            <m:sty m:val="p"/>
          </m:rPr>
          <m:t>←</m:t>
        </m:r>
        <m:r>
          <m:t>1</m:t>
        </m:r>
        <m:r>
          <m:rPr>
            <m:sty m:val="p"/>
          </m:rPr>
          <m:t>+</m:t>
        </m:r>
        <m:r>
          <m:rPr>
            <m:sty m:val="p"/>
          </m:rPr>
          <m:t>log</m:t>
        </m:r>
        <m:d>
          <m:dPr>
            <m:begChr m:val="("/>
            <m:sepChr m:val=""/>
            <m:endChr m:val=")"/>
            <m:grow/>
          </m:dPr>
          <m:e>
            <m:r>
              <m:rPr>
                <m:nor/>
                <m:sty m:val="p"/>
              </m:rPr>
              <m:t>tf</m:t>
            </m:r>
          </m:e>
        </m:d>
      </m:oMath>
      <w:r>
        <w:t xml:space="preserve">), and filter out features appearing in only one document.</w:t>
      </w:r>
      <w:r>
        <w:t xml:space="preserve"> </w:t>
      </w:r>
      <w:r>
        <w:t xml:space="preserve">2.</w:t>
      </w:r>
      <w:r>
        <w:t xml:space="preserve"> </w:t>
      </w:r>
      <w:r>
        <w:rPr>
          <w:b/>
          <w:bCs/>
        </w:rPr>
        <w:t xml:space="preserve">Classification:</w:t>
      </w:r>
      <w:r>
        <w:t xml:space="preserve"> </w:t>
      </w:r>
      <w:r>
        <w:t xml:space="preserve">A</w:t>
      </w:r>
      <w:r>
        <w:t xml:space="preserve"> </w:t>
      </w:r>
      <w:r>
        <w:rPr>
          <w:rStyle w:val="VerbatimChar"/>
        </w:rPr>
        <w:t xml:space="preserve">LogisticRegression</w:t>
      </w:r>
      <w:r>
        <w:t xml:space="preserve"> </w:t>
      </w:r>
      <w:r>
        <w:t xml:space="preserve">classifier is trained on the TF-IDF representations. To handle class imbalance, we use balanced class weights, which scales the loss inversely proportional to class frequencies. The inverse regularization parameter is set to</w:t>
      </w:r>
      <w:r>
        <w:t xml:space="preserve"> </w:t>
      </w:r>
      <m:oMath>
        <m:r>
          <m:t>C</m:t>
        </m:r>
        <m:r>
          <m:rPr>
            <m:sty m:val="p"/>
          </m:rPr>
          <m:t>=</m:t>
        </m:r>
        <m:r>
          <m:t>1.0</m:t>
        </m:r>
      </m:oMath>
      <w:r>
        <w:t xml:space="preserve">, and the model is trained using the L-BFGS solver.</w:t>
      </w:r>
    </w:p>
    <w:bookmarkEnd w:id="24"/>
    <w:bookmarkStart w:id="25" w:name="Xde0186d8e9dc06b7d77de8b5b17d45446b0822c"/>
    <w:p>
      <w:pPr>
        <w:pStyle w:val="Heading3"/>
      </w:pPr>
      <w:r>
        <w:t xml:space="preserve">Model 2: Fine-Tuned DistilBERT (Transformer)</w:t>
      </w:r>
    </w:p>
    <w:p>
      <w:pPr>
        <w:pStyle w:val="FirstParagraph"/>
      </w:pPr>
      <w:r>
        <w:t xml:space="preserve">DistilBERT</w:t>
      </w:r>
      <w:r>
        <w:t xml:space="preserve"> </w:t>
      </w:r>
      <w:r>
        <w:t xml:space="preserve">[@sanh2019distilbert]</w:t>
      </w:r>
      <w:r>
        <w:t xml:space="preserve"> </w:t>
      </w:r>
      <w:r>
        <w:t xml:space="preserve">is a distilled, light version of the Bidirectional Encoder Representations from Transformers (BERT) model. It uses 40% fewer parameters (66 million compared to BERT’s 110 million) and is 60% faster, while retaining 97% of BERT’s language understanding capabilities.</w:t>
      </w:r>
      <w:r>
        <w:t xml:space="preserve"> </w:t>
      </w:r>
      <w:r>
        <w:t xml:space="preserve">1.</w:t>
      </w:r>
      <w:r>
        <w:t xml:space="preserve"> </w:t>
      </w:r>
      <w:r>
        <w:rPr>
          <w:b/>
          <w:bCs/>
        </w:rPr>
        <w:t xml:space="preserve">Tokenization:</w:t>
      </w:r>
      <w:r>
        <w:t xml:space="preserve"> </w:t>
      </w:r>
      <w:r>
        <w:t xml:space="preserve">Text is tokenized using the WordPiece tokenizer with a maximum sequence length of 64 tokens.</w:t>
      </w:r>
      <w:r>
        <w:t xml:space="preserve"> </w:t>
      </w:r>
      <w:r>
        <w:t xml:space="preserve">2.</w:t>
      </w:r>
      <w:r>
        <w:t xml:space="preserve"> </w:t>
      </w:r>
      <w:r>
        <w:rPr>
          <w:b/>
          <w:bCs/>
        </w:rPr>
        <w:t xml:space="preserve">Architecture:</w:t>
      </w:r>
      <w:r>
        <w:t xml:space="preserve"> </w:t>
      </w:r>
      <w:r>
        <w:t xml:space="preserve">A classification head (a linear layer mapping the 768-dimensional CLS token representation to the 4 classes) is added on top of the pre-trained DistilBERT layers.</w:t>
      </w:r>
      <w:r>
        <w:t xml:space="preserve"> </w:t>
      </w:r>
      <w:r>
        <w:t xml:space="preserve">3.</w:t>
      </w:r>
      <w:r>
        <w:t xml:space="preserve"> </w:t>
      </w:r>
      <w:r>
        <w:rPr>
          <w:b/>
          <w:bCs/>
        </w:rPr>
        <w:t xml:space="preserve">Fine-Tuning:</w:t>
      </w:r>
      <w:r>
        <w:t xml:space="preserve"> </w:t>
      </w:r>
      <w:r>
        <w:t xml:space="preserve">We fine-tune the model for 2 epochs using the AdamW optimizer with a learning rate of</w:t>
      </w:r>
      <w:r>
        <w:t xml:space="preserve"> </w:t>
      </w:r>
      <m:oMath>
        <m:r>
          <m:t>2</m:t>
        </m:r>
        <m:r>
          <m:rPr>
            <m:sty m:val="p"/>
          </m:rPr>
          <m:t>×</m:t>
        </m:r>
        <m:sSup>
          <m:e>
            <m:r>
              <m:t>10</m:t>
            </m:r>
          </m:e>
          <m:sup>
            <m:r>
              <m:rPr>
                <m:sty m:val="p"/>
              </m:rPr>
              <m:t>−</m:t>
            </m:r>
            <m:r>
              <m:t>5</m:t>
            </m:r>
          </m:sup>
        </m:sSup>
      </m:oMath>
      <w:r>
        <w:t xml:space="preserve"> </w:t>
      </w:r>
      <w:r>
        <w:t xml:space="preserve">and batch size of 16 on the full training dataset of 36,308 examples.</w:t>
      </w:r>
    </w:p>
    <w:bookmarkEnd w:id="25"/>
    <w:bookmarkEnd w:id="26"/>
    <w:bookmarkStart w:id="43" w:name="performance-comparison"/>
    <w:p>
      <w:pPr>
        <w:pStyle w:val="Heading1"/>
      </w:pPr>
      <w:r>
        <w:t xml:space="preserve">Performance Comparison</w:t>
      </w:r>
    </w:p>
    <w:p>
      <w:pPr>
        <w:pStyle w:val="FirstParagraph"/>
      </w:pPr>
      <w:r>
        <w:t xml:space="preserve">We evaluate both models on the test set of 4,590 samples. To measure statistical significance, we estimate the 95% confidence intervals (CI) for both accuracy and macro-F1 using bootstrapping with</w:t>
      </w:r>
      <w:r>
        <w:t xml:space="preserve"> </w:t>
      </w:r>
      <m:oMath>
        <m:r>
          <m:t>N</m:t>
        </m:r>
        <m:r>
          <m:rPr>
            <m:sty m:val="p"/>
          </m:rPr>
          <m:t>=</m:t>
        </m:r>
        <m:r>
          <m:t>1</m:t>
        </m:r>
        <m:r>
          <m:rPr>
            <m:sty m:val="p"/>
          </m:rPr>
          <m:t>,</m:t>
        </m:r>
        <m:r>
          <m:t>000</m:t>
        </m:r>
      </m:oMath>
      <w:r>
        <w:t xml:space="preserve"> </w:t>
      </w:r>
      <w:r>
        <w:t xml:space="preserve">resamples.</w:t>
      </w:r>
    </w:p>
    <w:bookmarkStart w:id="27" w:name="overall-performance"/>
    <w:p>
      <w:pPr>
        <w:pStyle w:val="Heading3"/>
      </w:pPr>
      <w:r>
        <w:t xml:space="preserve">Overall Performance</w:t>
      </w:r>
    </w:p>
    <w:p>
      <w:pPr>
        <w:pStyle w:val="FirstParagraph"/>
      </w:pPr>
      <w:r>
        <w:t xml:space="preserve">Table 1 summarizes the overall performance of the two models on the test set.</w:t>
      </w:r>
    </w:p>
    <w:p>
      <w:pPr>
        <w:pStyle w:val="TableCaption"/>
      </w:pPr>
      <w:r>
        <w:t xml:space="preserve">Overall test performance of the classification models.</w:t>
      </w:r>
    </w:p>
    <w:tbl>
      <w:tblPr>
        <w:tblStyle w:val="Table"/>
        <w:tblW w:type="pct" w:w="5000"/>
        <w:tblLayout w:type="fixed"/>
        <w:tblLook w:firstRow="1" w:lastRow="0" w:firstColumn="0" w:lastColumn="0" w:noHBand="0" w:noVBand="0" w:val="0020"/>
        <w:tblCaption w:val="Overall test performance of the classification models."/>
      </w:tblPr>
      <w:tblGrid>
        <w:gridCol w:w="2640"/>
        <w:gridCol w:w="2640"/>
        <w:gridCol w:w="2640"/>
      </w:tblGrid>
      <w:tr>
        <w:trPr>
          <w:tblHeader w:val="on"/>
        </w:trPr>
        <w:tc>
          <w:tcPr/>
          <w:p>
            <w:pPr>
              <w:pStyle w:val="Compact"/>
            </w:pPr>
            <w:r>
              <w:t xml:space="preserve">Model</w:t>
            </w:r>
          </w:p>
        </w:tc>
        <w:tc>
          <w:tcPr/>
          <w:p>
            <w:pPr>
              <w:pStyle w:val="Compact"/>
            </w:pPr>
            <w:r>
              <w:t xml:space="preserve">Accuracy (95% CI)</w:t>
            </w:r>
          </w:p>
        </w:tc>
        <w:tc>
          <w:tcPr/>
          <w:p>
            <w:pPr>
              <w:pStyle w:val="Compact"/>
            </w:pPr>
            <w:r>
              <w:t xml:space="preserve">Macro-F1 (95% CI)</w:t>
            </w:r>
          </w:p>
        </w:tc>
      </w:tr>
      <w:tr>
        <w:tc>
          <w:tcPr/>
          <w:p>
            <w:pPr>
              <w:pStyle w:val="Compact"/>
            </w:pPr>
            <w:r>
              <w:rPr>
                <w:b/>
                <w:bCs/>
              </w:rPr>
              <w:t xml:space="preserve">TF-IDF + Logistic Regression</w:t>
            </w:r>
          </w:p>
        </w:tc>
        <w:tc>
          <w:tcPr/>
          <w:p>
            <w:pPr>
              <w:pStyle w:val="Compact"/>
            </w:pPr>
            <w:r>
              <w:t xml:space="preserve">0.636 [0.622, 0.650]</w:t>
            </w:r>
          </w:p>
        </w:tc>
        <w:tc>
          <w:tcPr/>
          <w:p>
            <w:pPr>
              <w:pStyle w:val="Compact"/>
            </w:pPr>
            <w:r>
              <w:t xml:space="preserve">0.601 [0.585, 0.616]</w:t>
            </w:r>
          </w:p>
        </w:tc>
      </w:tr>
      <w:tr>
        <w:tc>
          <w:tcPr/>
          <w:p>
            <w:pPr>
              <w:pStyle w:val="Compact"/>
            </w:pPr>
            <w:r>
              <w:rPr>
                <w:b/>
                <w:bCs/>
              </w:rPr>
              <w:t xml:space="preserve">Fine-Tuned DistilBERT</w:t>
            </w:r>
          </w:p>
        </w:tc>
        <w:tc>
          <w:tcPr/>
          <w:p>
            <w:pPr>
              <w:pStyle w:val="Compact"/>
            </w:pPr>
            <w:r>
              <w:rPr>
                <w:b/>
                <w:bCs/>
              </w:rPr>
              <w:t xml:space="preserve">0.715</w:t>
            </w:r>
            <w:r>
              <w:t xml:space="preserve"> </w:t>
            </w:r>
            <w:r>
              <w:t xml:space="preserve">[0.703, 0.728]</w:t>
            </w:r>
          </w:p>
        </w:tc>
        <w:tc>
          <w:tcPr/>
          <w:p>
            <w:pPr>
              <w:pStyle w:val="Compact"/>
            </w:pPr>
            <w:r>
              <w:rPr>
                <w:b/>
                <w:bCs/>
              </w:rPr>
              <w:t xml:space="preserve">0.684</w:t>
            </w:r>
            <w:r>
              <w:t xml:space="preserve"> </w:t>
            </w:r>
            <w:r>
              <w:t xml:space="preserve">[0.669, 0.699]</w:t>
            </w:r>
          </w:p>
        </w:tc>
      </w:tr>
    </w:tbl>
    <w:bookmarkEnd w:id="27"/>
    <w:bookmarkStart w:id="28" w:name="per-class-f1-analysis"/>
    <w:p>
      <w:pPr>
        <w:pStyle w:val="Heading3"/>
      </w:pPr>
      <w:r>
        <w:t xml:space="preserve">Per-Class F1 Analysis</w:t>
      </w:r>
    </w:p>
    <w:p>
      <w:pPr>
        <w:pStyle w:val="FirstParagraph"/>
      </w:pPr>
      <w:r>
        <w:t xml:space="preserve">Table 2 breaks down the performance by sentiment class using the F1-score indicator.</w:t>
      </w:r>
    </w:p>
    <w:p>
      <w:pPr>
        <w:pStyle w:val="TableCaption"/>
      </w:pPr>
      <w:r>
        <w:t xml:space="preserve">Per-class F1-scores on the test set.</w:t>
      </w:r>
    </w:p>
    <w:tbl>
      <w:tblPr>
        <w:tblStyle w:val="Table"/>
        <w:tblW w:type="pct" w:w="5000"/>
        <w:tblLayout w:type="fixed"/>
        <w:tblLook w:firstRow="1" w:lastRow="0" w:firstColumn="0" w:lastColumn="0" w:noHBand="0" w:noVBand="0" w:val="0020"/>
        <w:tblCaption w:val="Per-class F1-scores on the test set."/>
      </w:tblPr>
      <w:tblGrid>
        <w:gridCol w:w="1980"/>
        <w:gridCol w:w="1980"/>
        <w:gridCol w:w="1980"/>
        <w:gridCol w:w="1980"/>
      </w:tblGrid>
      <w:tr>
        <w:trPr>
          <w:tblHeader w:val="on"/>
        </w:trPr>
        <w:tc>
          <w:tcPr/>
          <w:p>
            <w:pPr>
              <w:pStyle w:val="Compact"/>
            </w:pPr>
            <w:r>
              <w:t xml:space="preserve">Class</w:t>
            </w:r>
          </w:p>
        </w:tc>
        <w:tc>
          <w:tcPr/>
          <w:p>
            <w:pPr>
              <w:pStyle w:val="Compact"/>
            </w:pPr>
            <w:r>
              <w:t xml:space="preserve">TF-IDF + Logistic Regression</w:t>
            </w:r>
          </w:p>
        </w:tc>
        <w:tc>
          <w:tcPr/>
          <w:p>
            <w:pPr>
              <w:pStyle w:val="Compact"/>
            </w:pPr>
            <w:r>
              <w:t xml:space="preserve">Fine-Tuned DistilBERT</w:t>
            </w:r>
          </w:p>
        </w:tc>
        <w:tc>
          <w:tcPr/>
          <w:p>
            <w:pPr>
              <w:pStyle w:val="Compact"/>
            </w:pPr>
            <w:r>
              <w:t xml:space="preserve">Improvement</w:t>
            </w:r>
          </w:p>
        </w:tc>
      </w:tr>
      <w:tr>
        <w:tc>
          <w:tcPr/>
          <w:p>
            <w:pPr>
              <w:pStyle w:val="Compact"/>
            </w:pPr>
            <w:r>
              <w:rPr>
                <w:b/>
                <w:bCs/>
              </w:rPr>
              <w:t xml:space="preserve">negative</w:t>
            </w:r>
          </w:p>
        </w:tc>
        <w:tc>
          <w:tcPr/>
          <w:p>
            <w:pPr>
              <w:pStyle w:val="Compact"/>
            </w:pPr>
            <w:r>
              <w:t xml:space="preserve">0.576</w:t>
            </w:r>
          </w:p>
        </w:tc>
        <w:tc>
          <w:tcPr/>
          <w:p>
            <w:pPr>
              <w:pStyle w:val="Compact"/>
            </w:pPr>
            <w:r>
              <w:rPr>
                <w:b/>
                <w:bCs/>
              </w:rPr>
              <w:t xml:space="preserve">0.674</w:t>
            </w:r>
          </w:p>
        </w:tc>
        <w:tc>
          <w:tcPr/>
          <w:p>
            <w:pPr>
              <w:pStyle w:val="Compact"/>
            </w:pPr>
            <w:r>
              <w:t xml:space="preserve">+0.098</w:t>
            </w:r>
          </w:p>
        </w:tc>
      </w:tr>
      <w:tr>
        <w:tc>
          <w:tcPr/>
          <w:p>
            <w:pPr>
              <w:pStyle w:val="Compact"/>
            </w:pPr>
            <w:r>
              <w:rPr>
                <w:b/>
                <w:bCs/>
              </w:rPr>
              <w:t xml:space="preserve">neutral</w:t>
            </w:r>
          </w:p>
        </w:tc>
        <w:tc>
          <w:tcPr/>
          <w:p>
            <w:pPr>
              <w:pStyle w:val="Compact"/>
            </w:pPr>
            <w:r>
              <w:t xml:space="preserve">0.629</w:t>
            </w:r>
          </w:p>
        </w:tc>
        <w:tc>
          <w:tcPr/>
          <w:p>
            <w:pPr>
              <w:pStyle w:val="Compact"/>
            </w:pPr>
            <w:r>
              <w:rPr>
                <w:b/>
                <w:bCs/>
              </w:rPr>
              <w:t xml:space="preserve">0.679</w:t>
            </w:r>
          </w:p>
        </w:tc>
        <w:tc>
          <w:tcPr/>
          <w:p>
            <w:pPr>
              <w:pStyle w:val="Compact"/>
            </w:pPr>
            <w:r>
              <w:t xml:space="preserve">+0.050</w:t>
            </w:r>
          </w:p>
        </w:tc>
      </w:tr>
      <w:tr>
        <w:tc>
          <w:tcPr/>
          <w:p>
            <w:pPr>
              <w:pStyle w:val="Compact"/>
            </w:pPr>
            <w:r>
              <w:rPr>
                <w:b/>
                <w:bCs/>
              </w:rPr>
              <w:t xml:space="preserve">positive</w:t>
            </w:r>
          </w:p>
        </w:tc>
        <w:tc>
          <w:tcPr/>
          <w:p>
            <w:pPr>
              <w:pStyle w:val="Compact"/>
            </w:pPr>
            <w:r>
              <w:t xml:space="preserve">0.747</w:t>
            </w:r>
          </w:p>
        </w:tc>
        <w:tc>
          <w:tcPr/>
          <w:p>
            <w:pPr>
              <w:pStyle w:val="Compact"/>
            </w:pPr>
            <w:r>
              <w:rPr>
                <w:b/>
                <w:bCs/>
              </w:rPr>
              <w:t xml:space="preserve">0.818</w:t>
            </w:r>
          </w:p>
        </w:tc>
        <w:tc>
          <w:tcPr/>
          <w:p>
            <w:pPr>
              <w:pStyle w:val="Compact"/>
            </w:pPr>
            <w:r>
              <w:t xml:space="preserve">+0.071</w:t>
            </w:r>
          </w:p>
        </w:tc>
      </w:tr>
      <w:tr>
        <w:tc>
          <w:tcPr/>
          <w:p>
            <w:pPr>
              <w:pStyle w:val="Compact"/>
            </w:pPr>
            <w:r>
              <w:rPr>
                <w:b/>
                <w:bCs/>
              </w:rPr>
              <w:t xml:space="preserve">ambiguous</w:t>
            </w:r>
          </w:p>
        </w:tc>
        <w:tc>
          <w:tcPr/>
          <w:p>
            <w:pPr>
              <w:pStyle w:val="Compact"/>
            </w:pPr>
            <w:r>
              <w:t xml:space="preserve">0.452</w:t>
            </w:r>
          </w:p>
        </w:tc>
        <w:tc>
          <w:tcPr/>
          <w:p>
            <w:pPr>
              <w:pStyle w:val="Compact"/>
            </w:pPr>
            <w:r>
              <w:rPr>
                <w:b/>
                <w:bCs/>
              </w:rPr>
              <w:t xml:space="preserve">0.566</w:t>
            </w:r>
          </w:p>
        </w:tc>
        <w:tc>
          <w:tcPr/>
          <w:p>
            <w:pPr>
              <w:pStyle w:val="Compact"/>
            </w:pPr>
            <w:r>
              <w:t xml:space="preserve">+0.114</w:t>
            </w:r>
          </w:p>
        </w:tc>
      </w:tr>
    </w:tbl>
    <w:bookmarkEnd w:id="28"/>
    <w:bookmarkStart w:id="41" w:name="visualizations"/>
    <w:p>
      <w:pPr>
        <w:pStyle w:val="Heading3"/>
      </w:pPr>
      <w:r>
        <w:t xml:space="preserve">Visualizations</w:t>
      </w:r>
    </w:p>
    <w:p>
      <w:pPr>
        <w:pStyle w:val="FirstParagraph"/>
      </w:pPr>
      <w:r>
        <w:t xml:space="preserve">The performance comparisons are illustrated in the figures below. Figure 1 shows the test accuracy along with the 95% confidence intervals. Figure 2 shows the per-class F1-scores, illustrating that DistilBERT consistently outperforms the baseline across all classes.</w:t>
      </w:r>
    </w:p>
    <w:tbl>
      <w:tblPr>
        <w:tblStyle w:val="Table"/>
        <w:tblW w:type="pct" w:w="5000"/>
        <w:tblLayout w:type="fixed"/>
        <w:tblLook w:firstRow="0" w:lastRow="0" w:firstColumn="0" w:lastColumn="0" w:noHBand="0" w:noVBand="0" w:val="0000"/>
      </w:tblPr>
      <w:tblGrid>
        <w:gridCol w:w="7920"/>
      </w:tblGrid>
      <w:tr>
        <w:tc>
          <w:tcPr/>
          <w:bookmarkStart w:id="32" w:name="fig-accuracy"/>
          <w:p>
            <w:pPr>
              <w:pStyle w:val="Compact"/>
              <w:jc w:val="center"/>
            </w:pPr>
            <w:r>
              <w:drawing>
                <wp:inline>
                  <wp:extent cx="3733800" cy="2489200"/>
                  <wp:effectExtent b="0" l="0" r="0" t="0"/>
                  <wp:docPr descr="" title="" id="30" name="Picture"/>
                  <a:graphic>
                    <a:graphicData uri="http://schemas.openxmlformats.org/drawingml/2006/picture">
                      <pic:pic>
                        <pic:nvPicPr>
                          <pic:cNvPr descr="results/accuracy_ci.png" id="31" name="Picture"/>
                          <pic:cNvPicPr>
                            <a:picLocks noChangeArrowheads="1" noChangeAspect="1"/>
                          </pic:cNvPicPr>
                        </pic:nvPicPr>
                        <pic:blipFill>
                          <a:blip r:embed="rId29"/>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Test Accuracy with 95% Confidence Intervals</w:t>
            </w:r>
          </w:p>
          <w:bookmarkEnd w:id="3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 w:name="fig-f1-plot"/>
          <w:p>
            <w:pPr>
              <w:pStyle w:val="Compact"/>
              <w:jc w:val="center"/>
            </w:pPr>
            <w:r>
              <w:drawing>
                <wp:inline>
                  <wp:extent cx="4000500" cy="2286000"/>
                  <wp:effectExtent b="0" l="0" r="0" t="0"/>
                  <wp:docPr descr="" title="" id="34" name="Picture"/>
                  <a:graphic>
                    <a:graphicData uri="http://schemas.openxmlformats.org/drawingml/2006/picture">
                      <pic:pic>
                        <pic:nvPicPr>
                          <pic:cNvPr descr="results/per_class_f1.png" id="35" name="Picture"/>
                          <pic:cNvPicPr>
                            <a:picLocks noChangeArrowheads="1" noChangeAspect="1"/>
                          </pic:cNvPicPr>
                        </pic:nvPicPr>
                        <pic:blipFill>
                          <a:blip r:embed="rId33"/>
                          <a:stretch>
                            <a:fillRect/>
                          </a:stretch>
                        </pic:blipFill>
                        <pic:spPr bwMode="auto">
                          <a:xfrm>
                            <a:off x="0" y="0"/>
                            <a:ext cx="4000500" cy="2286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Per-Class F1 Score Comparison by Model</w:t>
            </w:r>
          </w:p>
          <w:bookmarkEnd w:id="36"/>
        </w:tc>
      </w:tr>
    </w:tbl>
    <w:p>
      <w:pPr>
        <w:pStyle w:val="BodyText"/>
      </w:pPr>
      <w:r>
        <w:t xml:space="preserve">Figure 3 displays the normalized confusion matrices for both models. The diagonal values represent the recalls for each class.</w:t>
      </w:r>
    </w:p>
    <w:tbl>
      <w:tblPr>
        <w:tblStyle w:val="Table"/>
        <w:tblW w:type="pct" w:w="5000"/>
        <w:tblLayout w:type="fixed"/>
        <w:tblLook w:firstRow="0" w:lastRow="0" w:firstColumn="0" w:lastColumn="0" w:noHBand="0" w:noVBand="0" w:val="0000"/>
      </w:tblPr>
      <w:tblGrid>
        <w:gridCol w:w="7920"/>
      </w:tblGrid>
      <w:tr>
        <w:tc>
          <w:tcPr/>
          <w:bookmarkStart w:id="40" w:name="fig-confusion-matrices"/>
          <w:p>
            <w:pPr>
              <w:pStyle w:val="Compact"/>
              <w:jc w:val="center"/>
            </w:pPr>
            <w:r>
              <w:drawing>
                <wp:inline>
                  <wp:extent cx="5334000" cy="2182090"/>
                  <wp:effectExtent b="0" l="0" r="0" t="0"/>
                  <wp:docPr descr="" title="" id="38" name="Picture"/>
                  <a:graphic>
                    <a:graphicData uri="http://schemas.openxmlformats.org/drawingml/2006/picture">
                      <pic:pic>
                        <pic:nvPicPr>
                          <pic:cNvPr descr="results/confusion_matrices.png" id="39" name="Picture"/>
                          <pic:cNvPicPr>
                            <a:picLocks noChangeArrowheads="1" noChangeAspect="1"/>
                          </pic:cNvPicPr>
                        </pic:nvPicPr>
                        <pic:blipFill>
                          <a:blip r:embed="rId37"/>
                          <a:stretch>
                            <a:fillRect/>
                          </a:stretch>
                        </pic:blipFill>
                        <pic:spPr bwMode="auto">
                          <a:xfrm>
                            <a:off x="0" y="0"/>
                            <a:ext cx="5334000" cy="218209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Normalized Confusion Matrices for Baseline and DistilBERT</w:t>
            </w:r>
          </w:p>
          <w:bookmarkEnd w:id="40"/>
        </w:tc>
      </w:tr>
    </w:tbl>
    <w:bookmarkEnd w:id="41"/>
    <w:bookmarkStart w:id="42" w:name="justification-of-the-best-model"/>
    <w:p>
      <w:pPr>
        <w:pStyle w:val="Heading3"/>
      </w:pPr>
      <w:r>
        <w:t xml:space="preserve">Justification of the Best Model</w:t>
      </w:r>
    </w:p>
    <w:p>
      <w:pPr>
        <w:pStyle w:val="FirstParagraph"/>
      </w:pPr>
      <w:r>
        <w:t xml:space="preserve">Based on the empirical results, the</w:t>
      </w:r>
      <w:r>
        <w:t xml:space="preserve"> </w:t>
      </w:r>
      <w:r>
        <w:rPr>
          <w:b/>
          <w:bCs/>
        </w:rPr>
        <w:t xml:space="preserve">Fine-Tuned DistilBERT</w:t>
      </w:r>
      <w:r>
        <w:t xml:space="preserve"> </w:t>
      </w:r>
      <w:r>
        <w:t xml:space="preserve">model is the superior model:</w:t>
      </w:r>
      <w:r>
        <w:t xml:space="preserve"> </w:t>
      </w:r>
      <w:r>
        <w:t xml:space="preserve">1.</w:t>
      </w:r>
      <w:r>
        <w:t xml:space="preserve"> </w:t>
      </w:r>
      <w:r>
        <w:rPr>
          <w:b/>
          <w:bCs/>
        </w:rPr>
        <w:t xml:space="preserve">Statistical Significance:</w:t>
      </w:r>
      <w:r>
        <w:t xml:space="preserve"> </w:t>
      </w:r>
      <w:r>
        <w:t xml:space="preserve">The 95% confidence interval for DistilBERT’s accuracy (</w:t>
      </w:r>
      <m:oMath>
        <m:d>
          <m:dPr>
            <m:begChr m:val="["/>
            <m:sepChr m:val=""/>
            <m:endChr m:val="]"/>
            <m:grow/>
          </m:dPr>
          <m:e>
            <m:r>
              <m:t>0.703</m:t>
            </m:r>
            <m:r>
              <m:rPr>
                <m:sty m:val="p"/>
              </m:rPr>
              <m:t>,</m:t>
            </m:r>
            <m:r>
              <m:t>0.728</m:t>
            </m:r>
          </m:e>
        </m:d>
      </m:oMath>
      <w:r>
        <w:t xml:space="preserve">) does not overlap with the baseline’s accuracy confidence interval (</w:t>
      </w:r>
      <m:oMath>
        <m:d>
          <m:dPr>
            <m:begChr m:val="["/>
            <m:sepChr m:val=""/>
            <m:endChr m:val="]"/>
            <m:grow/>
          </m:dPr>
          <m:e>
            <m:r>
              <m:t>0.622</m:t>
            </m:r>
            <m:r>
              <m:rPr>
                <m:sty m:val="p"/>
              </m:rPr>
              <m:t>,</m:t>
            </m:r>
            <m:r>
              <m:t>0.650</m:t>
            </m:r>
          </m:e>
        </m:d>
      </m:oMath>
      <w:r>
        <w:t xml:space="preserve">). The lower bound of DistilBERT is strictly greater than the upper bound of the baseline, which proves that the performance improvement is statistically significant.</w:t>
      </w:r>
      <w:r>
        <w:t xml:space="preserve"> </w:t>
      </w:r>
      <w:r>
        <w:t xml:space="preserve">2.</w:t>
      </w:r>
      <w:r>
        <w:t xml:space="preserve"> </w:t>
      </w:r>
      <w:r>
        <w:rPr>
          <w:b/>
          <w:bCs/>
        </w:rPr>
        <w:t xml:space="preserve">Consistent Class Improvements:</w:t>
      </w:r>
      <w:r>
        <w:t xml:space="preserve"> </w:t>
      </w:r>
      <w:r>
        <w:t xml:space="preserve">DistilBERT outperforms the baseline on all classes. The most significant improvement occurs in the minority</w:t>
      </w:r>
      <w:r>
        <w:t xml:space="preserve"> </w:t>
      </w:r>
      <w:r>
        <w:t xml:space="preserve">“ambiguous”</w:t>
      </w:r>
      <w:r>
        <w:t xml:space="preserve"> </w:t>
      </w:r>
      <w:r>
        <w:t xml:space="preserve">class, where the F1-score increases from 0.452 to 0.566 (+0.114 improvement), and the</w:t>
      </w:r>
      <w:r>
        <w:t xml:space="preserve"> </w:t>
      </w:r>
      <w:r>
        <w:t xml:space="preserve">“negative”</w:t>
      </w:r>
      <w:r>
        <w:t xml:space="preserve"> </w:t>
      </w:r>
      <w:r>
        <w:t xml:space="preserve">class, where the F1-score increases from 0.576 to 0.674 (+0.098 improvement), demonstrating that the contextual transformer is better equipped to handle subtle, complex, and negative emotional expressions.</w:t>
      </w:r>
    </w:p>
    <w:bookmarkEnd w:id="42"/>
    <w:bookmarkEnd w:id="43"/>
    <w:bookmarkStart w:id="46" w:name="pros-and-cons-of-the-approach"/>
    <w:p>
      <w:pPr>
        <w:pStyle w:val="Heading1"/>
      </w:pPr>
      <w:r>
        <w:t xml:space="preserve">Pros and Cons of the Approach</w:t>
      </w:r>
    </w:p>
    <w:bookmarkStart w:id="44" w:name="tf-idf-logistic-regression"/>
    <w:p>
      <w:pPr>
        <w:pStyle w:val="Heading3"/>
      </w:pPr>
      <w:r>
        <w:t xml:space="preserve">TF-IDF + Logistic Regression</w:t>
      </w:r>
    </w:p>
    <w:p>
      <w:pPr>
        <w:pStyle w:val="Compact"/>
        <w:numPr>
          <w:ilvl w:val="0"/>
          <w:numId w:val="1001"/>
        </w:numPr>
      </w:pPr>
      <w:r>
        <w:rPr>
          <w:b/>
          <w:bCs/>
        </w:rPr>
        <w:t xml:space="preserve">Pros:</w:t>
      </w:r>
    </w:p>
    <w:p>
      <w:pPr>
        <w:pStyle w:val="Compact"/>
        <w:numPr>
          <w:ilvl w:val="1"/>
          <w:numId w:val="1002"/>
        </w:numPr>
      </w:pPr>
      <w:r>
        <w:rPr>
          <w:b/>
          <w:bCs/>
        </w:rPr>
        <w:t xml:space="preserve">Efficiency:</w:t>
      </w:r>
      <w:r>
        <w:t xml:space="preserve"> </w:t>
      </w:r>
      <w:r>
        <w:t xml:space="preserve">Training takes less than 30 seconds and requires minimal memory and CPU resources.</w:t>
      </w:r>
    </w:p>
    <w:p>
      <w:pPr>
        <w:pStyle w:val="Compact"/>
        <w:numPr>
          <w:ilvl w:val="1"/>
          <w:numId w:val="1002"/>
        </w:numPr>
      </w:pPr>
      <w:r>
        <w:rPr>
          <w:b/>
          <w:bCs/>
        </w:rPr>
        <w:t xml:space="preserve">Interpretability:</w:t>
      </w:r>
      <w:r>
        <w:t xml:space="preserve"> </w:t>
      </w:r>
      <w:r>
        <w:t xml:space="preserve">The linear model weights are directly inspectable, allowing us to find the most indicative n-grams for each sentiment.</w:t>
      </w:r>
    </w:p>
    <w:p>
      <w:pPr>
        <w:pStyle w:val="Compact"/>
        <w:numPr>
          <w:ilvl w:val="1"/>
          <w:numId w:val="1002"/>
        </w:numPr>
      </w:pPr>
      <w:r>
        <w:rPr>
          <w:b/>
          <w:bCs/>
        </w:rPr>
        <w:t xml:space="preserve">Simplicity:</w:t>
      </w:r>
      <w:r>
        <w:t xml:space="preserve"> </w:t>
      </w:r>
      <w:r>
        <w:t xml:space="preserve">No hyperparameter tuning or deep learning infrastructure is required.</w:t>
      </w:r>
    </w:p>
    <w:p>
      <w:pPr>
        <w:pStyle w:val="Compact"/>
        <w:numPr>
          <w:ilvl w:val="0"/>
          <w:numId w:val="1001"/>
        </w:numPr>
      </w:pPr>
      <w:r>
        <w:rPr>
          <w:b/>
          <w:bCs/>
        </w:rPr>
        <w:t xml:space="preserve">Cons:</w:t>
      </w:r>
    </w:p>
    <w:p>
      <w:pPr>
        <w:pStyle w:val="Compact"/>
        <w:numPr>
          <w:ilvl w:val="1"/>
          <w:numId w:val="1003"/>
        </w:numPr>
      </w:pPr>
      <w:r>
        <w:rPr>
          <w:b/>
          <w:bCs/>
        </w:rPr>
        <w:t xml:space="preserve">Lack of Context:</w:t>
      </w:r>
      <w:r>
        <w:t xml:space="preserve"> </w:t>
      </w:r>
      <w:r>
        <w:t xml:space="preserve">By relying on bag-of-words, the model ignores word order, meaning sentences like</w:t>
      </w:r>
      <w:r>
        <w:t xml:space="preserve"> </w:t>
      </w:r>
      <w:r>
        <w:t xml:space="preserve">“not positive”</w:t>
      </w:r>
      <w:r>
        <w:t xml:space="preserve"> </w:t>
      </w:r>
      <w:r>
        <w:t xml:space="preserve">and</w:t>
      </w:r>
      <w:r>
        <w:t xml:space="preserve"> </w:t>
      </w:r>
      <w:r>
        <w:t xml:space="preserve">“positive, not”</w:t>
      </w:r>
      <w:r>
        <w:t xml:space="preserve"> </w:t>
      </w:r>
      <w:r>
        <w:t xml:space="preserve">have identical feature representations.</w:t>
      </w:r>
    </w:p>
    <w:p>
      <w:pPr>
        <w:pStyle w:val="Compact"/>
        <w:numPr>
          <w:ilvl w:val="1"/>
          <w:numId w:val="1003"/>
        </w:numPr>
      </w:pPr>
      <w:r>
        <w:rPr>
          <w:b/>
          <w:bCs/>
        </w:rPr>
        <w:t xml:space="preserve">Out-of-Vocabulary (OOV):</w:t>
      </w:r>
      <w:r>
        <w:t xml:space="preserve"> </w:t>
      </w:r>
      <w:r>
        <w:t xml:space="preserve">The model cannot handle words unseen during training.</w:t>
      </w:r>
    </w:p>
    <w:bookmarkEnd w:id="44"/>
    <w:bookmarkStart w:id="45" w:name="fine-tuned-distilbert"/>
    <w:p>
      <w:pPr>
        <w:pStyle w:val="Heading3"/>
      </w:pPr>
      <w:r>
        <w:t xml:space="preserve">Fine-Tuned DistilBERT</w:t>
      </w:r>
    </w:p>
    <w:p>
      <w:pPr>
        <w:pStyle w:val="Compact"/>
        <w:numPr>
          <w:ilvl w:val="0"/>
          <w:numId w:val="1004"/>
        </w:numPr>
      </w:pPr>
      <w:r>
        <w:rPr>
          <w:b/>
          <w:bCs/>
        </w:rPr>
        <w:t xml:space="preserve">Pros:</w:t>
      </w:r>
    </w:p>
    <w:p>
      <w:pPr>
        <w:pStyle w:val="Compact"/>
        <w:numPr>
          <w:ilvl w:val="1"/>
          <w:numId w:val="1005"/>
        </w:numPr>
      </w:pPr>
      <w:r>
        <w:rPr>
          <w:b/>
          <w:bCs/>
        </w:rPr>
        <w:t xml:space="preserve">Contextual Representation:</w:t>
      </w:r>
      <w:r>
        <w:t xml:space="preserve"> </w:t>
      </w:r>
      <w:r>
        <w:t xml:space="preserve">Captures complex syntactic patterns, semantic dependencies, and word order.</w:t>
      </w:r>
    </w:p>
    <w:p>
      <w:pPr>
        <w:pStyle w:val="Compact"/>
        <w:numPr>
          <w:ilvl w:val="1"/>
          <w:numId w:val="1005"/>
        </w:numPr>
      </w:pPr>
      <w:r>
        <w:rPr>
          <w:b/>
          <w:bCs/>
        </w:rPr>
        <w:t xml:space="preserve">Transfer Learning:</w:t>
      </w:r>
      <w:r>
        <w:t xml:space="preserve"> </w:t>
      </w:r>
      <w:r>
        <w:t xml:space="preserve">Leverages massive pre-training on general English corpora, allowing it to adapt to social media text with very few training epochs (e.g., fine-tuned on the full 36k examples for only 2 epochs).</w:t>
      </w:r>
    </w:p>
    <w:p>
      <w:pPr>
        <w:pStyle w:val="Compact"/>
        <w:numPr>
          <w:ilvl w:val="1"/>
          <w:numId w:val="1005"/>
        </w:numPr>
      </w:pPr>
      <w:r>
        <w:rPr>
          <w:b/>
          <w:bCs/>
        </w:rPr>
        <w:t xml:space="preserve">Robustness:</w:t>
      </w:r>
      <w:r>
        <w:t xml:space="preserve"> </w:t>
      </w:r>
      <w:r>
        <w:t xml:space="preserve">Handles spelling mistakes, subwords, and abbreviations via WordPiece tokenization.</w:t>
      </w:r>
    </w:p>
    <w:p>
      <w:pPr>
        <w:pStyle w:val="Compact"/>
        <w:numPr>
          <w:ilvl w:val="0"/>
          <w:numId w:val="1004"/>
        </w:numPr>
      </w:pPr>
      <w:r>
        <w:rPr>
          <w:b/>
          <w:bCs/>
        </w:rPr>
        <w:t xml:space="preserve">Cons:</w:t>
      </w:r>
    </w:p>
    <w:p>
      <w:pPr>
        <w:pStyle w:val="Compact"/>
        <w:numPr>
          <w:ilvl w:val="1"/>
          <w:numId w:val="1006"/>
        </w:numPr>
      </w:pPr>
      <w:r>
        <w:rPr>
          <w:b/>
          <w:bCs/>
        </w:rPr>
        <w:t xml:space="preserve">Resource Intensive:</w:t>
      </w:r>
      <w:r>
        <w:t xml:space="preserve"> </w:t>
      </w:r>
      <w:r>
        <w:t xml:space="preserve">Requires significant compute time (took ~10 minutes on CPU for a single epoch) and memory.</w:t>
      </w:r>
    </w:p>
    <w:p>
      <w:pPr>
        <w:pStyle w:val="Compact"/>
        <w:numPr>
          <w:ilvl w:val="1"/>
          <w:numId w:val="1006"/>
        </w:numPr>
      </w:pPr>
      <w:r>
        <w:rPr>
          <w:b/>
          <w:bCs/>
        </w:rPr>
        <w:t xml:space="preserve">Black Box:</w:t>
      </w:r>
      <w:r>
        <w:t xml:space="preserve"> </w:t>
      </w:r>
      <w:r>
        <w:t xml:space="preserve">High-dimensional attention maps and weights make model predictions hard to interpret.</w:t>
      </w:r>
    </w:p>
    <w:bookmarkEnd w:id="45"/>
    <w:bookmarkEnd w:id="46"/>
    <w:bookmarkStart w:id="47" w:name="conclusion"/>
    <w:p>
      <w:pPr>
        <w:pStyle w:val="Heading1"/>
      </w:pPr>
      <w:r>
        <w:t xml:space="preserve">Conclusion</w:t>
      </w:r>
    </w:p>
    <w:p>
      <w:pPr>
        <w:pStyle w:val="FirstParagraph"/>
      </w:pPr>
      <w:r>
        <w:t xml:space="preserve">We compared a traditional linear baseline with a transformer model on a 4-way sentiment classification task using the GoEmotions dataset. Our evaluation demonstrates that a fine-tuned DistilBERT transformer significantly outperforms a TF-IDF + Logistic Regression baseline trained on the same data. The accuracy improvement (0.715 vs. 0.636) is statistically significant as verified by non-overlapping bootstrap confidence intervals. The transformer’s ability to represent word order and contextual nuances is particularly beneficial for noisy social media comments, justifying the additional computational cost.</w:t>
      </w:r>
    </w:p>
    <w:bookmarkEnd w:id="47"/>
    <w:sectPr w:rsidR="00D7522C" w:rsidRPr="00CA4392" w:rsidSect="001A3B3D">
      <w:footerReference r:id="rId8" w:type="first"/>
      <w:pgSz w:code="1" w:h="792pt" w:w="612pt"/>
      <w:pgMar w:bottom="72pt" w:footer="36pt" w:gutter="0pt" w:header="36pt" w:left="44.65pt" w:right="44.65pt" w:top="54pt"/>
      <w:cols w:space="36pt"/>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purl.oclc.org/ooxml/officeDocument/math" xmlns:mc="http://schemas.openxmlformats.org/markup-compatibility/2006" xmlns:o="urn:schemas-microsoft-com:office:office" xmlns:oel="http://schemas.microsoft.com/office/2019/extlst" xmlns:r="http://purl.oclc.org/ooxml/officeDocument/relationships" xmlns:v="urn:schemas-microsoft-com:vml" xmlns:w="http://purl.oclc.org/ooxml/wordprocessingml/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purl.oclc.org/ooxml/drawingml/wordprocessingDrawing" xmlns:wp14="http://schemas.microsoft.com/office/word/2010/wordprocessingDrawing" xmlns:wpi="http://schemas.microsoft.com/office/word/2010/wordprocessingInk"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pos="0pt" w:val="num"/>
        </w:tabs>
        <w:ind w:firstLine="0pt" w:start="0pt"/>
      </w:pPr>
      <w:rPr>
        <w:rFonts w:ascii="Symbol" w:hAnsi="Symbol" w:hint="default"/>
      </w:rPr>
    </w:lvl>
    <w:lvl w:ilvl="1">
      <w:start w:val="1"/>
      <w:numFmt w:val="bullet"/>
      <w:lvlText w:val=""/>
      <w:lvlJc w:val="start"/>
      <w:pPr>
        <w:tabs>
          <w:tab w:pos="36pt" w:val="num"/>
        </w:tabs>
        <w:ind w:hanging="18pt" w:start="54pt"/>
      </w:pPr>
      <w:rPr>
        <w:rFonts w:ascii="Symbol" w:hAnsi="Symbol" w:hint="default"/>
      </w:rPr>
    </w:lvl>
    <w:lvl w:ilvl="2">
      <w:start w:val="1"/>
      <w:numFmt w:val="bullet"/>
      <w:lvlText w:val="o"/>
      <w:lvlJc w:val="start"/>
      <w:pPr>
        <w:tabs>
          <w:tab w:pos="72pt" w:val="num"/>
        </w:tabs>
        <w:ind w:hanging="18pt" w:start="90pt"/>
      </w:pPr>
      <w:rPr>
        <w:rFonts w:ascii="Courier New" w:cs="Courier New" w:hAnsi="Courier New" w:hint="default"/>
      </w:rPr>
    </w:lvl>
    <w:lvl w:ilvl="3">
      <w:start w:val="1"/>
      <w:numFmt w:val="bullet"/>
      <w:lvlText w:val=""/>
      <w:lvlJc w:val="start"/>
      <w:pPr>
        <w:tabs>
          <w:tab w:pos="108pt" w:val="num"/>
        </w:tabs>
        <w:ind w:hanging="18pt" w:start="126pt"/>
      </w:pPr>
      <w:rPr>
        <w:rFonts w:ascii="Wingdings" w:hAnsi="Wingdings" w:hint="default"/>
      </w:rPr>
    </w:lvl>
    <w:lvl w:ilvl="4">
      <w:start w:val="1"/>
      <w:numFmt w:val="bullet"/>
      <w:lvlText w:val=""/>
      <w:lvlJc w:val="start"/>
      <w:pPr>
        <w:tabs>
          <w:tab w:pos="144pt" w:val="num"/>
        </w:tabs>
        <w:ind w:hanging="18pt" w:start="162pt"/>
      </w:pPr>
      <w:rPr>
        <w:rFonts w:ascii="Wingdings" w:hAnsi="Wingdings" w:hint="default"/>
      </w:rPr>
    </w:lvl>
    <w:lvl w:ilvl="5">
      <w:start w:val="1"/>
      <w:numFmt w:val="bullet"/>
      <w:lvlText w:val=""/>
      <w:lvlJc w:val="start"/>
      <w:pPr>
        <w:tabs>
          <w:tab w:pos="180pt" w:val="num"/>
        </w:tabs>
        <w:ind w:hanging="18pt" w:start="198pt"/>
      </w:pPr>
      <w:rPr>
        <w:rFonts w:ascii="Symbol" w:hAnsi="Symbol" w:hint="default"/>
      </w:rPr>
    </w:lvl>
    <w:lvl w:ilvl="6">
      <w:start w:val="1"/>
      <w:numFmt w:val="bullet"/>
      <w:lvlText w:val="o"/>
      <w:lvlJc w:val="start"/>
      <w:pPr>
        <w:tabs>
          <w:tab w:pos="216pt" w:val="num"/>
        </w:tabs>
        <w:ind w:hanging="18pt" w:start="234pt"/>
      </w:pPr>
      <w:rPr>
        <w:rFonts w:ascii="Courier New" w:cs="Courier New" w:hAnsi="Courier New" w:hint="default"/>
      </w:rPr>
    </w:lvl>
    <w:lvl w:ilvl="7">
      <w:start w:val="1"/>
      <w:numFmt w:val="bullet"/>
      <w:lvlText w:val=""/>
      <w:lvlJc w:val="start"/>
      <w:pPr>
        <w:tabs>
          <w:tab w:pos="252pt" w:val="num"/>
        </w:tabs>
        <w:ind w:hanging="18pt" w:start="270pt"/>
      </w:pPr>
      <w:rPr>
        <w:rFonts w:ascii="Wingdings" w:hAnsi="Wingdings" w:hint="default"/>
      </w:rPr>
    </w:lvl>
    <w:lvl w:ilvl="8">
      <w:start w:val="1"/>
      <w:numFmt w:val="bullet"/>
      <w:lvlText w:val=""/>
      <w:lvlJc w:val="start"/>
      <w:pPr>
        <w:tabs>
          <w:tab w:pos="288pt" w:val="num"/>
        </w:tabs>
        <w:ind w:hanging="18pt" w:start="306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pos="74.60pt" w:val="num"/>
        </w:tabs>
        <w:ind w:hanging="18pt" w:start="74.60pt"/>
      </w:pPr>
    </w:lvl>
  </w:abstractNum>
  <w:abstractNum w:abstractNumId="2" w15:restartNumberingAfterBreak="0">
    <w:nsid w:val="FFFFFF7D"/>
    <w:multiLevelType w:val="singleLevel"/>
    <w:tmpl w:val="2648E1C4"/>
    <w:lvl w:ilvl="0">
      <w:start w:val="1"/>
      <w:numFmt w:val="decimal"/>
      <w:lvlText w:val="%1."/>
      <w:lvlJc w:val="start"/>
      <w:pPr>
        <w:tabs>
          <w:tab w:pos="60.45pt" w:val="num"/>
        </w:tabs>
        <w:ind w:hanging="18pt" w:start="60.45pt"/>
      </w:pPr>
    </w:lvl>
  </w:abstractNum>
  <w:abstractNum w:abstractNumId="3" w15:restartNumberingAfterBreak="0">
    <w:nsid w:val="FFFFFF7E"/>
    <w:multiLevelType w:val="singleLevel"/>
    <w:tmpl w:val="9D38DB54"/>
    <w:lvl w:ilvl="0">
      <w:start w:val="1"/>
      <w:numFmt w:val="decimal"/>
      <w:lvlText w:val="%1."/>
      <w:lvlJc w:val="start"/>
      <w:pPr>
        <w:tabs>
          <w:tab w:pos="46.30pt" w:val="num"/>
        </w:tabs>
        <w:ind w:hanging="18pt" w:start="46.30pt"/>
      </w:pPr>
    </w:lvl>
  </w:abstractNum>
  <w:abstractNum w:abstractNumId="4" w15:restartNumberingAfterBreak="0">
    <w:nsid w:val="FFFFFF7F"/>
    <w:multiLevelType w:val="singleLevel"/>
    <w:tmpl w:val="632C24E2"/>
    <w:lvl w:ilvl="0">
      <w:start w:val="1"/>
      <w:numFmt w:val="decimal"/>
      <w:lvlText w:val="%1."/>
      <w:lvlJc w:val="start"/>
      <w:pPr>
        <w:tabs>
          <w:tab w:pos="32.15pt" w:val="num"/>
        </w:tabs>
        <w:ind w:hanging="18pt" w:start="32.15pt"/>
      </w:pPr>
    </w:lvl>
  </w:abstractNum>
  <w:abstractNum w:abstractNumId="5" w15:restartNumberingAfterBreak="0">
    <w:nsid w:val="FFFFFF80"/>
    <w:multiLevelType w:val="singleLevel"/>
    <w:tmpl w:val="82268A14"/>
    <w:lvl w:ilvl="0">
      <w:start w:val="1"/>
      <w:numFmt w:val="bullet"/>
      <w:lvlText w:val=""/>
      <w:lvlJc w:val="start"/>
      <w:pPr>
        <w:tabs>
          <w:tab w:pos="74.60pt" w:val="num"/>
        </w:tabs>
        <w:ind w:hanging="18pt" w:start="74.60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pos="60.45pt" w:val="num"/>
        </w:tabs>
        <w:ind w:hanging="18pt" w:start="60.45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pos="46.30pt" w:val="num"/>
        </w:tabs>
        <w:ind w:hanging="18pt" w:start="46.30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pos="32.15pt" w:val="num"/>
        </w:tabs>
        <w:ind w:hanging="18pt" w:start="32.15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pos="18pt" w:val="num"/>
        </w:tabs>
        <w:ind w:hanging="18pt" w:start="18pt"/>
      </w:pPr>
    </w:lvl>
  </w:abstractNum>
  <w:abstractNum w:abstractNumId="10" w15:restartNumberingAfterBreak="0">
    <w:nsid w:val="FFFFFF89"/>
    <w:multiLevelType w:val="singleLevel"/>
    <w:tmpl w:val="EA847AFE"/>
    <w:lvl w:ilvl="0">
      <w:start w:val="1"/>
      <w:numFmt w:val="bullet"/>
      <w:lvlText w:val=""/>
      <w:lvlJc w:val="start"/>
      <w:pPr>
        <w:tabs>
          <w:tab w:pos="18pt" w:val="num"/>
        </w:tabs>
        <w:ind w:hanging="18pt" w:start="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hanging="18pt" w:start="46.80pt"/>
      </w:pPr>
    </w:lvl>
    <w:lvl w:ilvl="1" w:tentative="1" w:tplc="04140019">
      <w:start w:val="1"/>
      <w:numFmt w:val="lowerLetter"/>
      <w:lvlText w:val="%2."/>
      <w:lvlJc w:val="start"/>
      <w:pPr>
        <w:ind w:hanging="18pt" w:start="82.80pt"/>
      </w:pPr>
    </w:lvl>
    <w:lvl w:ilvl="2" w:tentative="1" w:tplc="0414001B">
      <w:start w:val="1"/>
      <w:numFmt w:val="lowerRoman"/>
      <w:lvlText w:val="%3."/>
      <w:lvlJc w:val="end"/>
      <w:pPr>
        <w:ind w:hanging="9pt" w:start="118.80pt"/>
      </w:pPr>
    </w:lvl>
    <w:lvl w:ilvl="3" w:tentative="1" w:tplc="0414000F">
      <w:start w:val="1"/>
      <w:numFmt w:val="decimal"/>
      <w:lvlText w:val="%4."/>
      <w:lvlJc w:val="start"/>
      <w:pPr>
        <w:ind w:hanging="18pt" w:start="154.80pt"/>
      </w:pPr>
    </w:lvl>
    <w:lvl w:ilvl="4" w:tentative="1" w:tplc="04140019">
      <w:start w:val="1"/>
      <w:numFmt w:val="lowerLetter"/>
      <w:lvlText w:val="%5."/>
      <w:lvlJc w:val="start"/>
      <w:pPr>
        <w:ind w:hanging="18pt" w:start="190.80pt"/>
      </w:pPr>
    </w:lvl>
    <w:lvl w:ilvl="5" w:tentative="1" w:tplc="0414001B">
      <w:start w:val="1"/>
      <w:numFmt w:val="lowerRoman"/>
      <w:lvlText w:val="%6."/>
      <w:lvlJc w:val="end"/>
      <w:pPr>
        <w:ind w:hanging="9pt" w:start="226.80pt"/>
      </w:pPr>
    </w:lvl>
    <w:lvl w:ilvl="6" w:tentative="1" w:tplc="0414000F">
      <w:start w:val="1"/>
      <w:numFmt w:val="decimal"/>
      <w:lvlText w:val="%7."/>
      <w:lvlJc w:val="start"/>
      <w:pPr>
        <w:ind w:hanging="18pt" w:start="262.80pt"/>
      </w:pPr>
    </w:lvl>
    <w:lvl w:ilvl="7" w:tentative="1" w:tplc="04140019">
      <w:start w:val="1"/>
      <w:numFmt w:val="lowerLetter"/>
      <w:lvlText w:val="%8."/>
      <w:lvlJc w:val="start"/>
      <w:pPr>
        <w:ind w:hanging="18pt" w:start="298.80pt"/>
      </w:pPr>
    </w:lvl>
    <w:lvl w:ilvl="8" w:tentative="1" w:tplc="0414001B">
      <w:start w:val="1"/>
      <w:numFmt w:val="lowerRoman"/>
      <w:lvlText w:val="%9."/>
      <w:lvlJc w:val="end"/>
      <w:pPr>
        <w:ind w:hanging="9pt" w:start="334.80pt"/>
      </w:pPr>
    </w:lvl>
  </w:abstractNum>
  <w:abstractNum w:abstractNumId="12" w15:restartNumberingAfterBreak="0">
    <w:nsid w:val="20AF0333"/>
    <w:multiLevelType w:val="hybridMultilevel"/>
    <w:tmpl w:val="CB0E7F4E"/>
    <w:lvl w:ilvl="0" w:tplc="E09099E0">
      <w:start w:val="1"/>
      <w:numFmt w:val="lowerLetter"/>
      <w:lvlText w:val="%1."/>
      <w:lvlJc w:val="start"/>
      <w:pPr>
        <w:tabs>
          <w:tab w:pos="36pt" w:val="num"/>
        </w:tabs>
        <w:ind w:hanging="18pt" w:start="36pt"/>
      </w:pPr>
      <w:rPr>
        <w:rFonts w:cs="Times New Roman" w:hint="default"/>
        <w:i w:val="0"/>
        <w:iCs w:val="0"/>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pos="32.40pt" w:val="num"/>
        </w:tabs>
        <w:ind w:firstLine="14.40pt"/>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pos="32.40pt" w:val="num"/>
        </w:tabs>
        <w:ind w:hanging="18pt" w:start="32.40pt"/>
      </w:pPr>
      <w:rPr>
        <w:rFonts w:ascii="Symbol" w:hAnsi="Symbol" w:hint="default"/>
      </w:rPr>
    </w:lvl>
    <w:lvl w:ilvl="1" w:tplc="04090003">
      <w:start w:val="1"/>
      <w:numFmt w:val="bullet"/>
      <w:lvlText w:val="o"/>
      <w:lvlJc w:val="start"/>
      <w:pPr>
        <w:tabs>
          <w:tab w:pos="72pt" w:val="num"/>
        </w:tabs>
        <w:ind w:hanging="18pt" w:start="72pt"/>
      </w:pPr>
      <w:rPr>
        <w:rFonts w:ascii="Courier New" w:hAnsi="Courier New" w:hint="default"/>
      </w:rPr>
    </w:lvl>
    <w:lvl w:ilvl="2" w:tplc="04090005">
      <w:start w:val="1"/>
      <w:numFmt w:val="bullet"/>
      <w:lvlText w:val=""/>
      <w:lvlJc w:val="start"/>
      <w:pPr>
        <w:tabs>
          <w:tab w:pos="108pt" w:val="num"/>
        </w:tabs>
        <w:ind w:hanging="18pt" w:start="108pt"/>
      </w:pPr>
      <w:rPr>
        <w:rFonts w:ascii="Wingdings" w:hAnsi="Wingdings" w:hint="default"/>
      </w:rPr>
    </w:lvl>
    <w:lvl w:ilvl="3" w:tplc="04090001">
      <w:start w:val="1"/>
      <w:numFmt w:val="bullet"/>
      <w:lvlText w:val=""/>
      <w:lvlJc w:val="start"/>
      <w:pPr>
        <w:tabs>
          <w:tab w:pos="144pt" w:val="num"/>
        </w:tabs>
        <w:ind w:hanging="18pt" w:start="144pt"/>
      </w:pPr>
      <w:rPr>
        <w:rFonts w:ascii="Symbol" w:hAnsi="Symbol" w:hint="default"/>
      </w:rPr>
    </w:lvl>
    <w:lvl w:ilvl="4" w:tplc="04090003">
      <w:start w:val="1"/>
      <w:numFmt w:val="bullet"/>
      <w:lvlText w:val="o"/>
      <w:lvlJc w:val="start"/>
      <w:pPr>
        <w:tabs>
          <w:tab w:pos="180pt" w:val="num"/>
        </w:tabs>
        <w:ind w:hanging="18pt" w:start="180pt"/>
      </w:pPr>
      <w:rPr>
        <w:rFonts w:ascii="Courier New" w:hAnsi="Courier New" w:hint="default"/>
      </w:rPr>
    </w:lvl>
    <w:lvl w:ilvl="5" w:tplc="04090005">
      <w:start w:val="1"/>
      <w:numFmt w:val="bullet"/>
      <w:lvlText w:val=""/>
      <w:lvlJc w:val="start"/>
      <w:pPr>
        <w:tabs>
          <w:tab w:pos="216pt" w:val="num"/>
        </w:tabs>
        <w:ind w:hanging="18pt" w:start="216pt"/>
      </w:pPr>
      <w:rPr>
        <w:rFonts w:ascii="Wingdings" w:hAnsi="Wingdings" w:hint="default"/>
      </w:rPr>
    </w:lvl>
    <w:lvl w:ilvl="6" w:tplc="04090001">
      <w:start w:val="1"/>
      <w:numFmt w:val="bullet"/>
      <w:lvlText w:val=""/>
      <w:lvlJc w:val="start"/>
      <w:pPr>
        <w:tabs>
          <w:tab w:pos="252pt" w:val="num"/>
        </w:tabs>
        <w:ind w:hanging="18pt" w:start="252pt"/>
      </w:pPr>
      <w:rPr>
        <w:rFonts w:ascii="Symbol" w:hAnsi="Symbol" w:hint="default"/>
      </w:rPr>
    </w:lvl>
    <w:lvl w:ilvl="7" w:tplc="04090003">
      <w:start w:val="1"/>
      <w:numFmt w:val="bullet"/>
      <w:lvlText w:val="o"/>
      <w:lvlJc w:val="start"/>
      <w:pPr>
        <w:tabs>
          <w:tab w:pos="288pt" w:val="num"/>
        </w:tabs>
        <w:ind w:hanging="18pt" w:start="288pt"/>
      </w:pPr>
      <w:rPr>
        <w:rFonts w:ascii="Courier New" w:hAnsi="Courier New" w:hint="default"/>
      </w:rPr>
    </w:lvl>
    <w:lvl w:ilvl="8" w:tplc="04090005">
      <w:start w:val="1"/>
      <w:numFmt w:val="bullet"/>
      <w:lvlText w:val=""/>
      <w:lvlJc w:val="start"/>
      <w:pPr>
        <w:tabs>
          <w:tab w:pos="324pt" w:val="num"/>
        </w:tabs>
        <w:ind w:hanging="18pt" w:start="324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pos="36pt" w:val="num"/>
        </w:tabs>
        <w:ind w:hanging="18pt" w:start="36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pos="28.80pt" w:val="num"/>
        </w:tabs>
        <w:ind w:firstLine="10.80pt"/>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start"/>
      <w:pPr>
        <w:tabs>
          <w:tab w:pos="18pt" w:val="num"/>
        </w:tabs>
        <w:ind w:hanging="14.40pt" w:start="14.40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start"/>
      <w:pPr>
        <w:tabs>
          <w:tab w:pos="27pt" w:val="num"/>
        </w:tabs>
        <w:ind w:firstLine="9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start"/>
      <w:pPr>
        <w:tabs>
          <w:tab w:pos="31.50pt" w:val="num"/>
        </w:tabs>
        <w:ind w:firstLine="18pt"/>
      </w:pPr>
      <w:rPr>
        <w:rFonts w:ascii="Times New Roman" w:cs="Times New Roman" w:hAnsi="Times New Roman" w:hint="default"/>
        <w:b w:val="0"/>
        <w:bCs w:val="0"/>
        <w:i/>
        <w:iCs/>
        <w:sz w:val="20"/>
        <w:szCs w:val="20"/>
      </w:rPr>
    </w:lvl>
    <w:lvl w:ilvl="4">
      <w:start w:val="1"/>
      <w:numFmt w:val="none"/>
      <w:lvlRestart w:val="0"/>
      <w:lvlText w:val=""/>
      <w:lvlJc w:val="start"/>
      <w:pPr>
        <w:tabs>
          <w:tab w:pos="162pt" w:val="num"/>
        </w:tabs>
        <w:ind w:start="144pt"/>
      </w:pPr>
      <w:rPr>
        <w:rFonts w:cs="Times New Roman" w:hint="default"/>
      </w:rPr>
    </w:lvl>
    <w:lvl w:ilvl="5">
      <w:start w:val="1"/>
      <w:numFmt w:val="lowerLetter"/>
      <w:lvlText w:val="(%6)"/>
      <w:lvlJc w:val="start"/>
      <w:pPr>
        <w:tabs>
          <w:tab w:pos="198pt" w:val="num"/>
        </w:tabs>
        <w:ind w:start="180pt"/>
      </w:pPr>
      <w:rPr>
        <w:rFonts w:cs="Times New Roman" w:hint="default"/>
      </w:rPr>
    </w:lvl>
    <w:lvl w:ilvl="6">
      <w:start w:val="1"/>
      <w:numFmt w:val="lowerRoman"/>
      <w:lvlText w:val="(%7)"/>
      <w:lvlJc w:val="start"/>
      <w:pPr>
        <w:tabs>
          <w:tab w:pos="234pt" w:val="num"/>
        </w:tabs>
        <w:ind w:start="216pt"/>
      </w:pPr>
      <w:rPr>
        <w:rFonts w:cs="Times New Roman" w:hint="default"/>
      </w:rPr>
    </w:lvl>
    <w:lvl w:ilvl="7">
      <w:start w:val="1"/>
      <w:numFmt w:val="lowerLetter"/>
      <w:lvlText w:val="(%8)"/>
      <w:lvlJc w:val="start"/>
      <w:pPr>
        <w:tabs>
          <w:tab w:pos="270pt" w:val="num"/>
        </w:tabs>
        <w:ind w:start="252pt"/>
      </w:pPr>
      <w:rPr>
        <w:rFonts w:cs="Times New Roman" w:hint="default"/>
      </w:rPr>
    </w:lvl>
    <w:lvl w:ilvl="8">
      <w:start w:val="1"/>
      <w:numFmt w:val="lowerRoman"/>
      <w:lvlText w:val="(%9)"/>
      <w:lvlJc w:val="start"/>
      <w:pPr>
        <w:tabs>
          <w:tab w:pos="306pt" w:val="num"/>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hanging="18pt" w:start="20.90pt"/>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start"/>
      <w:pPr>
        <w:ind w:hanging="18pt" w:start="72pt"/>
      </w:pPr>
    </w:lvl>
    <w:lvl w:ilvl="2" w:tentative="1" w:tplc="0409001B">
      <w:start w:val="1"/>
      <w:numFmt w:val="lowerRoman"/>
      <w:lvlText w:val="%3."/>
      <w:lvlJc w:val="end"/>
      <w:pPr>
        <w:ind w:hanging="9pt" w:start="108pt"/>
      </w:pPr>
    </w:lvl>
    <w:lvl w:ilvl="3" w:tentative="1" w:tplc="0409000F">
      <w:start w:val="1"/>
      <w:numFmt w:val="decimal"/>
      <w:lvlText w:val="%4."/>
      <w:lvlJc w:val="start"/>
      <w:pPr>
        <w:ind w:hanging="18pt" w:start="144pt"/>
      </w:pPr>
    </w:lvl>
    <w:lvl w:ilvl="4" w:tentative="1" w:tplc="04090019">
      <w:start w:val="1"/>
      <w:numFmt w:val="lowerLetter"/>
      <w:lvlText w:val="%5."/>
      <w:lvlJc w:val="start"/>
      <w:pPr>
        <w:ind w:hanging="18pt" w:start="180pt"/>
      </w:pPr>
    </w:lvl>
    <w:lvl w:ilvl="5" w:tentative="1" w:tplc="0409001B">
      <w:start w:val="1"/>
      <w:numFmt w:val="lowerRoman"/>
      <w:lvlText w:val="%6."/>
      <w:lvlJc w:val="end"/>
      <w:pPr>
        <w:ind w:hanging="9pt" w:start="216pt"/>
      </w:pPr>
    </w:lvl>
    <w:lvl w:ilvl="6" w:tentative="1" w:tplc="0409000F">
      <w:start w:val="1"/>
      <w:numFmt w:val="decimal"/>
      <w:lvlText w:val="%7."/>
      <w:lvlJc w:val="start"/>
      <w:pPr>
        <w:ind w:hanging="18pt" w:start="252pt"/>
      </w:pPr>
    </w:lvl>
    <w:lvl w:ilvl="7" w:tentative="1" w:tplc="04090019">
      <w:start w:val="1"/>
      <w:numFmt w:val="lowerLetter"/>
      <w:lvlText w:val="%8."/>
      <w:lvlJc w:val="start"/>
      <w:pPr>
        <w:ind w:hanging="18pt" w:start="288pt"/>
      </w:pPr>
    </w:lvl>
    <w:lvl w:ilvl="8" w:tentative="1" w:tplc="0409001B">
      <w:start w:val="1"/>
      <w:numFmt w:val="lowerRoman"/>
      <w:lvlText w:val="%9."/>
      <w:lvlJc w:val="end"/>
      <w:pPr>
        <w:ind w:hanging="9pt" w:start="324pt"/>
      </w:pPr>
    </w:lvl>
  </w:abstractNum>
  <w:abstractNum w:abstractNumId="18" w15:restartNumberingAfterBreak="0">
    <w:nsid w:val="52CA544A"/>
    <w:multiLevelType w:val="singleLevel"/>
    <w:tmpl w:val="AED6D67E"/>
    <w:lvl w:ilvl="0">
      <w:start w:val="1"/>
      <w:numFmt w:val="decimal"/>
      <w:pStyle w:val="references"/>
      <w:lvlText w:val="[%1]"/>
      <w:lvlJc w:val="start"/>
      <w:pPr>
        <w:tabs>
          <w:tab w:pos="18pt" w:val="num"/>
        </w:tabs>
        <w:ind w:hanging="18pt" w:start="18pt"/>
      </w:pPr>
      <w:rPr>
        <w:rFonts w:ascii="Times New Roman" w:cs="Times New Roman" w:hAnsi="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hanging="18pt" w:start="18pt"/>
      </w:pPr>
      <w:rPr>
        <w:rFonts w:ascii="Times New Roman" w:cs="Times New Roman" w:hAnsi="Times New Roman" w:hint="default"/>
        <w:b w:val="0"/>
        <w:bCs w:val="0"/>
        <w:i w:val="0"/>
        <w:iCs w:val="0"/>
        <w:color w:val="auto"/>
        <w:sz w:val="16"/>
        <w:szCs w:val="16"/>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pos="54pt"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36pt"/>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SimSun"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jc w:val="center"/>
    </w:pPr>
  </w:style>
  <w:style w:styleId="Heading1" w:type="paragraph">
    <w:name w:val="heading 1"/>
    <w:basedOn w:val="Normal"/>
    <w:next w:val="Normal"/>
    <w:qFormat/>
    <w:rsid w:val="006B6B66"/>
    <w:pPr>
      <w:keepNext/>
      <w:keepLines/>
      <w:numPr>
        <w:numId w:val="4"/>
      </w:numPr>
      <w:tabs>
        <w:tab w:pos="10.80pt" w:val="start"/>
      </w:tabs>
      <w:spacing w:after="4pt" w:before="8pt"/>
      <w:ind w:firstLine="0pt"/>
      <w:outlineLvl w:val="0"/>
    </w:pPr>
    <w:rPr>
      <w:smallCaps/>
      <w:noProof/>
    </w:rPr>
  </w:style>
  <w:style w:styleId="Heading2" w:type="paragraph">
    <w:name w:val="heading 2"/>
    <w:basedOn w:val="Normal"/>
    <w:next w:val="Normal"/>
    <w:qFormat/>
    <w:rsid w:val="00ED0149"/>
    <w:pPr>
      <w:keepNext/>
      <w:keepLines/>
      <w:numPr>
        <w:ilvl w:val="1"/>
        <w:numId w:val="4"/>
      </w:numPr>
      <w:tabs>
        <w:tab w:pos="18pt" w:val="clear"/>
        <w:tab w:pos="14.40pt" w:val="num"/>
      </w:tabs>
      <w:spacing w:after="3pt" w:before="6pt"/>
      <w:jc w:val="start"/>
      <w:outlineLvl w:val="1"/>
    </w:pPr>
    <w:rPr>
      <w:i/>
      <w:iCs/>
      <w:noProof/>
    </w:rPr>
  </w:style>
  <w:style w:styleId="Heading3" w:type="paragraph">
    <w:name w:val="heading 3"/>
    <w:basedOn w:val="Normal"/>
    <w:next w:val="Normal"/>
    <w:qFormat/>
    <w:rsid w:val="00794804"/>
    <w:pPr>
      <w:numPr>
        <w:ilvl w:val="2"/>
        <w:numId w:val="4"/>
      </w:numPr>
      <w:spacing w:line="12pt" w:lineRule="exact"/>
      <w:ind w:firstLine="14.40pt"/>
      <w:jc w:val="both"/>
      <w:outlineLvl w:val="2"/>
    </w:pPr>
    <w:rPr>
      <w:i/>
      <w:iCs/>
      <w:noProof/>
    </w:rPr>
  </w:style>
  <w:style w:styleId="Heading4" w:type="paragraph">
    <w:name w:val="heading 4"/>
    <w:basedOn w:val="Normal"/>
    <w:next w:val="Normal"/>
    <w:qFormat/>
    <w:rsid w:val="00794804"/>
    <w:pPr>
      <w:numPr>
        <w:ilvl w:val="3"/>
        <w:numId w:val="4"/>
      </w:numPr>
      <w:tabs>
        <w:tab w:pos="31.50pt" w:val="clear"/>
        <w:tab w:pos="36pt" w:val="start"/>
      </w:tabs>
      <w:spacing w:after="2pt" w:before="2pt"/>
      <w:ind w:firstLine="25.20pt"/>
      <w:jc w:val="both"/>
      <w:outlineLvl w:val="3"/>
    </w:pPr>
    <w:rPr>
      <w:i/>
      <w:iCs/>
      <w:noProof/>
    </w:rPr>
  </w:style>
  <w:style w:styleId="Heading5" w:type="paragraph">
    <w:name w:val="heading 5"/>
    <w:basedOn w:val="Normal"/>
    <w:next w:val="Normal"/>
    <w:qFormat/>
    <w:pPr>
      <w:tabs>
        <w:tab w:pos="18pt" w:val="start"/>
      </w:tabs>
      <w:spacing w:after="4pt" w:before="8pt"/>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pt"/>
      <w:tblCellMar>
        <w:top w:type="dxa" w:w="0pt"/>
        <w:start w:type="dxa" w:w="5.40pt"/>
        <w:bottom w:type="dxa" w:w="0pt"/>
        <w:end w:type="dxa" w:w="5.40pt"/>
      </w:tblCellMar>
    </w:tblPr>
  </w:style>
  <w:style w:default="1" w:styleId="NoList" w:type="numbering">
    <w:name w:val="No List"/>
    <w:uiPriority w:val="99"/>
    <w:semiHidden/>
    <w:unhideWhenUsed/>
  </w:style>
  <w:style w:customStyle="1" w:styleId="Abstract" w:type="paragraph">
    <w:name w:val="Abstract"/>
    <w:rsid w:val="00972203"/>
    <w:pPr>
      <w:spacing w:after="10pt"/>
      <w:ind w:firstLine="13.60pt"/>
      <w:jc w:val="both"/>
    </w:pPr>
    <w:rPr>
      <w:b/>
      <w:bCs/>
      <w:sz w:val="18"/>
      <w:szCs w:val="18"/>
    </w:rPr>
  </w:style>
  <w:style w:customStyle="1" w:styleId="Affiliation" w:type="paragraph">
    <w:name w:val="Affiliation"/>
    <w:pPr>
      <w:jc w:val="center"/>
    </w:pPr>
  </w:style>
  <w:style w:customStyle="1" w:styleId="Author" w:type="paragraph">
    <w:name w:val="Author"/>
    <w:pPr>
      <w:spacing w:after="2pt" w:before="18pt"/>
      <w:jc w:val="center"/>
    </w:pPr>
    <w:rPr>
      <w:noProof/>
      <w:sz w:val="22"/>
      <w:szCs w:val="22"/>
    </w:rPr>
  </w:style>
  <w:style w:styleId="BodyText" w:type="paragraph">
    <w:name w:val="Body Text"/>
    <w:basedOn w:val="Normal"/>
    <w:link w:val="BodyTextChar"/>
    <w:rsid w:val="00E7596C"/>
    <w:pPr>
      <w:tabs>
        <w:tab w:pos="14.40pt" w:val="start"/>
      </w:tabs>
      <w:spacing w:after="6pt" w:line="11.40pt" w:lineRule="auto"/>
      <w:ind w:firstLine="14.40pt"/>
      <w:jc w:val="both"/>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32.40pt" w:val="clear"/>
      </w:tabs>
      <w:ind w:hanging="14.40pt" w:start="28.80pt"/>
    </w:pPr>
  </w:style>
  <w:style w:customStyle="1" w:styleId="equation" w:type="paragraph">
    <w:name w:val="equation"/>
    <w:basedOn w:val="Normal"/>
    <w:rsid w:val="008A2C7D"/>
    <w:pPr>
      <w:tabs>
        <w:tab w:pos="126pt" w:val="center"/>
        <w:tab w:pos="252pt" w:val="end"/>
      </w:tabs>
      <w:spacing w:after="12pt" w:before="12pt" w:line="10.80pt" w:lineRule="auto"/>
    </w:pPr>
    <w:rPr>
      <w:rFonts w:ascii="Symbol" w:cs="Symbol" w:hAnsi="Symbol"/>
    </w:rPr>
  </w:style>
  <w:style w:customStyle="1" w:styleId="figurecaption" w:type="paragraph">
    <w:name w:val="figure caption"/>
    <w:rsid w:val="005B0344"/>
    <w:pPr>
      <w:numPr>
        <w:numId w:val="2"/>
      </w:numPr>
      <w:tabs>
        <w:tab w:pos="26.65pt" w:val="start"/>
      </w:tabs>
      <w:spacing w:after="10pt" w:before="4pt"/>
      <w:ind w:firstLine="0pt" w:start="0pt"/>
      <w:jc w:val="both"/>
    </w:pPr>
    <w:rPr>
      <w:noProof/>
      <w:sz w:val="16"/>
      <w:szCs w:val="16"/>
    </w:rPr>
  </w:style>
  <w:style w:customStyle="1" w:styleId="footnote" w:type="paragraph">
    <w:name w:val="footnote"/>
    <w:pPr>
      <w:framePr w:hAnchor="page" w:hSpace="9.35pt" w:vAnchor="text" w:vSpace="9.35pt" w:wrap="notBeside" w:x="306.05pt" w:y="28.85pt"/>
      <w:numPr>
        <w:numId w:val="3"/>
      </w:numPr>
      <w:spacing w:after="2pt"/>
    </w:pPr>
    <w:rPr>
      <w:sz w:val="16"/>
      <w:szCs w:val="16"/>
    </w:rPr>
  </w:style>
  <w:style w:customStyle="1" w:styleId="papersubtitle" w:type="paragraph">
    <w:name w:val="paper subtitle"/>
    <w:pPr>
      <w:spacing w:after="6pt"/>
      <w:jc w:val="center"/>
    </w:pPr>
    <w:rPr>
      <w:rFonts w:eastAsia="MS Mincho"/>
      <w:noProof/>
      <w:sz w:val="28"/>
      <w:szCs w:val="28"/>
    </w:rPr>
  </w:style>
  <w:style w:customStyle="1" w:styleId="papertitle" w:type="paragraph">
    <w:name w:val="paper title"/>
    <w:pPr>
      <w:spacing w:after="6pt"/>
      <w:jc w:val="center"/>
    </w:pPr>
    <w:rPr>
      <w:rFonts w:eastAsia="MS Mincho"/>
      <w:noProof/>
      <w:sz w:val="48"/>
      <w:szCs w:val="48"/>
    </w:rPr>
  </w:style>
  <w:style w:customStyle="1" w:styleId="references" w:type="paragraph">
    <w:name w:val="references"/>
    <w:pPr>
      <w:numPr>
        <w:numId w:val="8"/>
      </w:numPr>
      <w:spacing w:after="2.50pt" w:line="9pt" w:lineRule="exact"/>
      <w:jc w:val="both"/>
    </w:pPr>
    <w:rPr>
      <w:rFonts w:eastAsia="MS Mincho"/>
      <w:noProof/>
      <w:sz w:val="16"/>
      <w:szCs w:val="16"/>
    </w:rPr>
  </w:style>
  <w:style w:customStyle="1" w:styleId="sponsors" w:type="paragraph">
    <w:name w:val="sponsors"/>
    <w:pPr>
      <w:framePr w:hAnchor="text" w:wrap="auto" w:x="30.75pt" w:y="111.95pt"/>
      <w:pBdr>
        <w:top w:color="auto" w:space="2" w:sz="4" w:val="single"/>
      </w:pBdr>
      <w:ind w:firstLine="14.40pt"/>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1.50pt" w:before="3pt"/>
      <w:ind w:hanging="1.45pt" w:start="2.90pt"/>
      <w:jc w:val="end"/>
    </w:pPr>
    <w:rPr>
      <w:sz w:val="12"/>
      <w:szCs w:val="12"/>
    </w:rPr>
  </w:style>
  <w:style w:customStyle="1" w:styleId="tablehead" w:type="paragraph">
    <w:name w:val="table head"/>
    <w:pPr>
      <w:numPr>
        <w:numId w:val="9"/>
      </w:numPr>
      <w:spacing w:after="6pt" w:before="12pt" w:line="10.80pt" w:lineRule="auto"/>
      <w:jc w:val="center"/>
    </w:pPr>
    <w:rPr>
      <w:smallCaps/>
      <w:noProof/>
      <w:sz w:val="16"/>
      <w:szCs w:val="16"/>
    </w:rPr>
  </w:style>
  <w:style w:customStyle="1" w:styleId="Keywords" w:type="paragraph">
    <w:name w:val="Keywords"/>
    <w:basedOn w:val="Abstract"/>
    <w:qFormat/>
    <w:rsid w:val="00F9441B"/>
    <w:pPr>
      <w:spacing w:after="6pt"/>
      <w:ind w:firstLine="13.70pt"/>
    </w:pPr>
    <w:rPr>
      <w:i/>
    </w:rPr>
  </w:style>
  <w:style w:styleId="Header" w:type="paragraph">
    <w:name w:val="header"/>
    <w:basedOn w:val="Normal"/>
    <w:link w:val="HeaderChar"/>
    <w:rsid w:val="001A3B3D"/>
    <w:pPr>
      <w:tabs>
        <w:tab w:pos="234pt" w:val="center"/>
        <w:tab w:pos="468pt" w:val="end"/>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234pt" w:val="center"/>
        <w:tab w:pos="468pt" w:val="end"/>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7" Target="media/rId37.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2026-07-05T13:31:13Z</dcterms:created>
  <dcterms:modified xsi:type="dcterms:W3CDTF">2026-07-05T13:31:13Z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