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FC931" w14:textId="5127E0D3" w:rsidR="00464002" w:rsidRPr="00E433DE" w:rsidRDefault="00E433DE" w:rsidP="00E433DE">
      <w:pPr>
        <w:jc w:val="center"/>
        <w:rPr>
          <w:sz w:val="36"/>
          <w:szCs w:val="36"/>
        </w:rPr>
      </w:pPr>
      <w:r w:rsidRPr="00E433DE">
        <w:rPr>
          <w:b/>
          <w:bCs/>
          <w:sz w:val="36"/>
          <w:szCs w:val="36"/>
        </w:rPr>
        <w:t>Will Workers Be Able to</w:t>
      </w:r>
      <w:r w:rsidR="004341F3" w:rsidRPr="00E433DE">
        <w:rPr>
          <w:b/>
          <w:bCs/>
          <w:sz w:val="36"/>
          <w:szCs w:val="36"/>
        </w:rPr>
        <w:t xml:space="preserve"> Adapt</w:t>
      </w:r>
      <w:r w:rsidRPr="00E433DE">
        <w:rPr>
          <w:b/>
          <w:bCs/>
          <w:sz w:val="36"/>
          <w:szCs w:val="36"/>
        </w:rPr>
        <w:t xml:space="preserve"> to AI Job Displacement</w:t>
      </w:r>
      <w:r w:rsidR="004341F3" w:rsidRPr="00E433DE">
        <w:rPr>
          <w:b/>
          <w:bCs/>
          <w:sz w:val="36"/>
          <w:szCs w:val="36"/>
        </w:rPr>
        <w:t>?</w:t>
      </w:r>
    </w:p>
    <w:p w14:paraId="107EF0D6" w14:textId="4BEF4DE7" w:rsidR="00191704" w:rsidRPr="00191704" w:rsidRDefault="00191704">
      <w:r>
        <w:t>“</w:t>
      </w:r>
      <w:r w:rsidRPr="004341F3">
        <w:t>In short, the new analysis asks: If AI does cause job displacement, who is best positioned to adapt, and who will struggle most?</w:t>
      </w:r>
      <w:r>
        <w:t>”</w:t>
      </w:r>
    </w:p>
    <w:p w14:paraId="37D5D808" w14:textId="44B936FA" w:rsidR="00E433DE" w:rsidRPr="00E433DE" w:rsidRDefault="00673EAB">
      <w:pPr>
        <w:rPr>
          <w:b/>
          <w:bCs/>
          <w:sz w:val="32"/>
          <w:szCs w:val="32"/>
        </w:rPr>
      </w:pPr>
      <w:r>
        <w:rPr>
          <w:b/>
          <w:bCs/>
          <w:sz w:val="32"/>
          <w:szCs w:val="32"/>
        </w:rPr>
        <w:t xml:space="preserve">Overview of </w:t>
      </w:r>
      <w:r w:rsidR="00E433DE">
        <w:rPr>
          <w:b/>
          <w:bCs/>
          <w:sz w:val="32"/>
          <w:szCs w:val="32"/>
        </w:rPr>
        <w:t xml:space="preserve">Findings: </w:t>
      </w:r>
      <w:r>
        <w:rPr>
          <w:b/>
          <w:bCs/>
          <w:sz w:val="32"/>
          <w:szCs w:val="32"/>
        </w:rPr>
        <w:t>Both Resilience and Vulnerability</w:t>
      </w:r>
    </w:p>
    <w:p w14:paraId="1EF81D2A" w14:textId="38AD23E3" w:rsidR="004341F3" w:rsidRDefault="00191704">
      <w:r>
        <w:t>“</w:t>
      </w:r>
      <w:r w:rsidR="004341F3" w:rsidRPr="004341F3">
        <w:t>However, most exposure-focused analyses overlook a critical dimension: workers’ ability to adapt if job loss does occur.</w:t>
      </w:r>
      <w:r>
        <w:t>”</w:t>
      </w:r>
    </w:p>
    <w:p w14:paraId="60DDFD3E" w14:textId="31951936" w:rsidR="004341F3" w:rsidRDefault="00191704">
      <w:r>
        <w:t>“</w:t>
      </w:r>
      <w:r w:rsidR="004341F3" w:rsidRPr="004341F3">
        <w:t>As such, our analysis finds that overall, there is both broad resilience and concentrated pockets of potential vulnerability in the U.S. labor market when it comes to AI job displacement.</w:t>
      </w:r>
      <w:r>
        <w:t>”</w:t>
      </w:r>
    </w:p>
    <w:p w14:paraId="276F409F" w14:textId="624A9DFD" w:rsidR="004341F3" w:rsidRDefault="00191704" w:rsidP="004341F3">
      <w:r>
        <w:t>“</w:t>
      </w:r>
      <w:r w:rsidR="004341F3" w:rsidRPr="004341F3">
        <w:t>On average, highly AI-exposed workers appear well-equipped to handle job transitions relative to the rest of the workforce, yet 6.1 million workers still face both high exposure and low adaptive capacity</w:t>
      </w:r>
      <w:r>
        <w:t>.”</w:t>
      </w:r>
    </w:p>
    <w:p w14:paraId="042C2F7F" w14:textId="418A0D9E" w:rsidR="00191704" w:rsidRDefault="00191704" w:rsidP="004341F3">
      <w:r>
        <w:t>“</w:t>
      </w:r>
      <w:r>
        <w:t xml:space="preserve">Of </w:t>
      </w:r>
      <w:r w:rsidRPr="004341F3">
        <w:t xml:space="preserve">the 37.1 million U.S. workers in the top quartile of occupational AI exposure, 26.5 million also have above-median adaptive capacity, meaning they are among those best positioned to make a job transition if displacement occurs. However, the analysis also documents that some 6.1 million workers (4.2% of the workforce in the sample) will likely contend with both high AI exposure and low adaptive capacity. These workers tend to be concentrated in clerical and administrative roles, and about 86% are women (gender shares are calculated using </w:t>
      </w:r>
      <w:proofErr w:type="spellStart"/>
      <w:r w:rsidRPr="004341F3">
        <w:t>Lightcast</w:t>
      </w:r>
      <w:proofErr w:type="spellEnd"/>
      <w:r w:rsidRPr="004341F3">
        <w:t xml:space="preserve"> data). Geographically, these workers are concentrated in smaller metropolitan areas, particularly university towns and midsized markets in the Mountain West and Midwest.</w:t>
      </w:r>
      <w:r>
        <w:t>”</w:t>
      </w:r>
    </w:p>
    <w:p w14:paraId="4D019935" w14:textId="77777777" w:rsidR="00191704" w:rsidRDefault="00191704" w:rsidP="004341F3"/>
    <w:p w14:paraId="065EB8B9" w14:textId="4303E534" w:rsidR="004341F3" w:rsidRDefault="00191704">
      <w:r>
        <w:rPr>
          <w:b/>
          <w:bCs/>
          <w:sz w:val="32"/>
          <w:szCs w:val="32"/>
        </w:rPr>
        <w:t>Detailed Findings</w:t>
      </w:r>
    </w:p>
    <w:p w14:paraId="55809960" w14:textId="502DDB71" w:rsidR="004341F3" w:rsidRPr="004341F3" w:rsidRDefault="00191704" w:rsidP="004341F3">
      <w:r>
        <w:t>“</w:t>
      </w:r>
      <w:r w:rsidR="004341F3" w:rsidRPr="004341F3">
        <w:t>Combining AI exposure measures with the new adaptive capacity index paints a new picture of AI’s potential impacts on the workforce.</w:t>
      </w:r>
      <w:r>
        <w:t>”</w:t>
      </w:r>
    </w:p>
    <w:p w14:paraId="4188E0C6" w14:textId="30A12017" w:rsidR="004341F3" w:rsidRDefault="00191704" w:rsidP="004341F3">
      <w:r>
        <w:t>“</w:t>
      </w:r>
      <w:r w:rsidR="004341F3" w:rsidRPr="004341F3">
        <w:t xml:space="preserve">To begin, the analysis here shows that the workers with the highest AI exposure rates possess characteristics that give them higher capacity to navigate job transitions </w:t>
      </w:r>
      <w:proofErr w:type="gramStart"/>
      <w:r w:rsidR="004341F3" w:rsidRPr="004341F3">
        <w:t>successfully—finding</w:t>
      </w:r>
      <w:proofErr w:type="gramEnd"/>
      <w:r w:rsidR="004341F3" w:rsidRPr="004341F3">
        <w:t xml:space="preserve"> new employment quickly and minimizing earnings losses after job displacement. That is, the most exposed workers may have the most resilience if AI automation or another cause leads to job loss.</w:t>
      </w:r>
      <w:r>
        <w:t>”</w:t>
      </w:r>
    </w:p>
    <w:p w14:paraId="15B73F14" w14:textId="65315D74" w:rsidR="004341F3" w:rsidRDefault="00191704" w:rsidP="004341F3">
      <w:r>
        <w:lastRenderedPageBreak/>
        <w:t>“</w:t>
      </w:r>
      <w:r w:rsidR="004341F3">
        <w:t>A</w:t>
      </w:r>
      <w:r w:rsidR="004341F3" w:rsidRPr="004341F3">
        <w:t>cross this cluster of occupations, many high-exposure occupations such as software developers, financial managers, lawyers, and other professionals benefit from strong pay, financial buffers, diverse skills, and deep professional networks.</w:t>
      </w:r>
      <w:r>
        <w:t>”</w:t>
      </w:r>
      <w:r w:rsidR="004341F3" w:rsidRPr="004341F3">
        <w:t> </w:t>
      </w:r>
    </w:p>
    <w:p w14:paraId="13605992" w14:textId="0559C156" w:rsidR="004341F3" w:rsidRDefault="00191704" w:rsidP="004341F3">
      <w:r>
        <w:t>“</w:t>
      </w:r>
      <w:r w:rsidR="004341F3" w:rsidRPr="004341F3">
        <w:t>By contrast, roughly 6.1 million workers (see Appendix) face both high exposure to LLMs and low adaptive capacity to manage a job transition. Concentrated in jobs located in the lower-right quadrant of Figure 1, these potentially more vulnerable workers are employed in occupations with both top-quartile AI exposure and bottom-quartile adaptive capacity.  Many of these workers occupy administrative and clerical jobs where savings are modest, workers’ skill transferability is limited, and reemployment prospects are narrower. As such, if faced with an AI-related job loss, workers in these roles are likely among the most at risk of lower reemployment rates, longer job searches, and more significant relative earnings losses compared to other workers.</w:t>
      </w:r>
      <w:r>
        <w:t>”</w:t>
      </w:r>
      <w:r w:rsidR="004341F3" w:rsidRPr="004341F3">
        <w:t> </w:t>
      </w:r>
    </w:p>
    <w:p w14:paraId="5F142BD1" w14:textId="68142EE1" w:rsidR="004341F3" w:rsidRDefault="00191704" w:rsidP="004341F3">
      <w:r>
        <w:t>“</w:t>
      </w:r>
      <w:r w:rsidR="004341F3" w:rsidRPr="004341F3">
        <w:t>Looking more closely, the interplay of adaptive capacity scores with AI exposure scores reveals a positive correlation: As exposure increases, adaptive capacity generally increases as well. This reflects the fact that many highly exposed roles are held by financially secure, skilled, and well-networked workers—often in larger cities—who may have more opportunities to find continued employment.</w:t>
      </w:r>
      <w:r>
        <w:t>”</w:t>
      </w:r>
    </w:p>
    <w:p w14:paraId="575A804B" w14:textId="5B7AFD30" w:rsidR="004341F3" w:rsidRPr="004341F3" w:rsidRDefault="00191704" w:rsidP="004341F3">
      <w:r>
        <w:t>“</w:t>
      </w:r>
      <w:r w:rsidR="004341F3" w:rsidRPr="004341F3">
        <w:t xml:space="preserve">At the same time, it’s clear that the collection of occupations characterized by high AI-exposure levels and low adaptive capacity encompasses numerous routine office jobs, which are often held by workers who may struggle to adapt to disruption (see Table 2). Door-to-door sales workers and news and street vendors show the least adaptive capacity among the occupations in the top quartile of AI exposure, followed by </w:t>
      </w:r>
      <w:proofErr w:type="gramStart"/>
      <w:r w:rsidR="004341F3" w:rsidRPr="004341F3">
        <w:t>a number of</w:t>
      </w:r>
      <w:proofErr w:type="gramEnd"/>
      <w:r w:rsidR="004341F3" w:rsidRPr="004341F3">
        <w:t xml:space="preserve"> clerking and administrative occupations, such as court, municipal, and license clerks; secretaries and administrative assistants; and payroll and timekeeping clerks. In terms of these occupations’ size, office clerks (2.5 million workers); secretaries and administrative assistants (1.7 million); receptionists and information clerks (965,000); and medical secretaries and administrative assistants (831,000) stand out as some of the largest occupations in the list. The combination of employment size, potentially elevated automation impacts, and precarious worker traits highlights occupations where policymakers may benefit from greater visibility into AI’s workforce effects.</w:t>
      </w:r>
      <w:r>
        <w:t>”</w:t>
      </w:r>
    </w:p>
    <w:p w14:paraId="30F003F4" w14:textId="604576A5" w:rsidR="00673EAB" w:rsidRDefault="00673EAB" w:rsidP="00673EAB"/>
    <w:p w14:paraId="5C3B151D" w14:textId="77777777" w:rsidR="00673EAB" w:rsidRPr="004341F3" w:rsidRDefault="00673EAB"/>
    <w:sectPr w:rsidR="00673EAB" w:rsidRPr="004341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1F3"/>
    <w:rsid w:val="00191704"/>
    <w:rsid w:val="004341F3"/>
    <w:rsid w:val="00464002"/>
    <w:rsid w:val="00673EAB"/>
    <w:rsid w:val="00B803DA"/>
    <w:rsid w:val="00E433DE"/>
    <w:rsid w:val="00EB2D96"/>
    <w:rsid w:val="00F205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E8B95"/>
  <w15:chartTrackingRefBased/>
  <w15:docId w15:val="{8743DC6E-A24A-47DA-B924-FED07CF30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4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4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1F3"/>
    <w:rPr>
      <w:rFonts w:eastAsiaTheme="majorEastAsia" w:cstheme="majorBidi"/>
      <w:color w:val="272727" w:themeColor="text1" w:themeTint="D8"/>
    </w:rPr>
  </w:style>
  <w:style w:type="paragraph" w:styleId="Title">
    <w:name w:val="Title"/>
    <w:basedOn w:val="Normal"/>
    <w:next w:val="Normal"/>
    <w:link w:val="TitleChar"/>
    <w:uiPriority w:val="10"/>
    <w:qFormat/>
    <w:rsid w:val="00434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1F3"/>
    <w:pPr>
      <w:spacing w:before="160"/>
      <w:jc w:val="center"/>
    </w:pPr>
    <w:rPr>
      <w:i/>
      <w:iCs/>
      <w:color w:val="404040" w:themeColor="text1" w:themeTint="BF"/>
    </w:rPr>
  </w:style>
  <w:style w:type="character" w:customStyle="1" w:styleId="QuoteChar">
    <w:name w:val="Quote Char"/>
    <w:basedOn w:val="DefaultParagraphFont"/>
    <w:link w:val="Quote"/>
    <w:uiPriority w:val="29"/>
    <w:rsid w:val="004341F3"/>
    <w:rPr>
      <w:i/>
      <w:iCs/>
      <w:color w:val="404040" w:themeColor="text1" w:themeTint="BF"/>
    </w:rPr>
  </w:style>
  <w:style w:type="paragraph" w:styleId="ListParagraph">
    <w:name w:val="List Paragraph"/>
    <w:basedOn w:val="Normal"/>
    <w:uiPriority w:val="34"/>
    <w:qFormat/>
    <w:rsid w:val="004341F3"/>
    <w:pPr>
      <w:ind w:left="720"/>
      <w:contextualSpacing/>
    </w:pPr>
  </w:style>
  <w:style w:type="character" w:styleId="IntenseEmphasis">
    <w:name w:val="Intense Emphasis"/>
    <w:basedOn w:val="DefaultParagraphFont"/>
    <w:uiPriority w:val="21"/>
    <w:qFormat/>
    <w:rsid w:val="004341F3"/>
    <w:rPr>
      <w:i/>
      <w:iCs/>
      <w:color w:val="0F4761" w:themeColor="accent1" w:themeShade="BF"/>
    </w:rPr>
  </w:style>
  <w:style w:type="paragraph" w:styleId="IntenseQuote">
    <w:name w:val="Intense Quote"/>
    <w:basedOn w:val="Normal"/>
    <w:next w:val="Normal"/>
    <w:link w:val="IntenseQuoteChar"/>
    <w:uiPriority w:val="30"/>
    <w:qFormat/>
    <w:rsid w:val="00434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1F3"/>
    <w:rPr>
      <w:i/>
      <w:iCs/>
      <w:color w:val="0F4761" w:themeColor="accent1" w:themeShade="BF"/>
    </w:rPr>
  </w:style>
  <w:style w:type="character" w:styleId="IntenseReference">
    <w:name w:val="Intense Reference"/>
    <w:basedOn w:val="DefaultParagraphFont"/>
    <w:uiPriority w:val="32"/>
    <w:qFormat/>
    <w:rsid w:val="004341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669</Words>
  <Characters>3876</Characters>
  <Application>Microsoft Office Word</Application>
  <DocSecurity>0</DocSecurity>
  <Lines>63</Lines>
  <Paragraphs>13</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Crowell</dc:creator>
  <cp:keywords/>
  <dc:description/>
  <cp:lastModifiedBy>Dwight Crowell</cp:lastModifiedBy>
  <cp:revision>4</cp:revision>
  <dcterms:created xsi:type="dcterms:W3CDTF">2026-03-31T19:41:00Z</dcterms:created>
  <dcterms:modified xsi:type="dcterms:W3CDTF">2026-03-31T20:05:00Z</dcterms:modified>
</cp:coreProperties>
</file>