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Prova de conceito in-silico — Integração proteogenômica</w:t>
      </w:r>
    </w:p>
    <w:p>
      <w:pPr>
        <w:spacing w:after="6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RNA-seq (candidatos) + MS de novo (expressão) — validação mútua, com resposta conhecida</w:t>
      </w:r>
    </w:p>
    <w:p>
      <w:pPr>
        <w:pBdr>
          <w:bottom w:val="single" w:color="2F5496" w:sz="6"/>
        </w:pBdr>
        <w:spacing w:after="200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Braço MAPS-ab × TCC  ·  reuso do motor maps_ab.cdr3_repertoire  ·  2 de outubro de 2026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2F5496"/>
          <w:sz w:val="27"/>
          <w:szCs w:val="27"/>
        </w:rPr>
        <w:t xml:space="preserve">1. Objetivo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Demonstrar, com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resposta conhecida</w:t>
      </w:r>
      <w:r>
        <w:rPr>
          <w:rFonts w:ascii="Calibri" w:cs="Calibri" w:eastAsia="Calibri" w:hAnsi="Calibri"/>
          <w:sz w:val="21"/>
          <w:szCs w:val="21"/>
        </w:rPr>
        <w:t xml:space="preserve">, a ideia central do braço MAPS-ab × TCC: combinar candidatos de anticorpo vindos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RNA-seq</w:t>
      </w:r>
      <w:r>
        <w:rPr>
          <w:rFonts w:ascii="Calibri" w:cs="Calibri" w:eastAsia="Calibri" w:hAnsi="Calibri"/>
          <w:sz w:val="21"/>
          <w:szCs w:val="21"/>
        </w:rPr>
        <w:t xml:space="preserve"> com leituras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 novo de MS</w:t>
      </w:r>
      <w:r>
        <w:rPr>
          <w:rFonts w:ascii="Calibri" w:cs="Calibri" w:eastAsia="Calibri" w:hAnsi="Calibri"/>
          <w:sz w:val="21"/>
          <w:szCs w:val="21"/>
        </w:rPr>
        <w:t xml:space="preserve"> para (1) confirmar quais candidatos estão de fato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expressos</w:t>
      </w:r>
      <w:r>
        <w:rPr>
          <w:rFonts w:ascii="Calibri" w:cs="Calibri" w:eastAsia="Calibri" w:hAnsi="Calibri"/>
          <w:sz w:val="21"/>
          <w:szCs w:val="21"/>
        </w:rPr>
        <w:t xml:space="preserve"> como proteína e (2) usar o banco de RNA-seq para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corrigir</w:t>
      </w:r>
      <w:r>
        <w:rPr>
          <w:rFonts w:ascii="Calibri" w:cs="Calibri" w:eastAsia="Calibri" w:hAnsi="Calibri"/>
          <w:sz w:val="21"/>
          <w:szCs w:val="21"/>
        </w:rPr>
        <w:t xml:space="preserve"> as CDR3 ruidosas da MS. As leituras de MS simuladas são processadas pelo motor do MAPS-ab (recuperação ancorada no FR4 + corroboração cross-enzima), sem modificação.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2F5496"/>
          <w:sz w:val="27"/>
          <w:szCs w:val="27"/>
        </w:rPr>
        <w:t xml:space="preserve">2. Montagem (com verdade-terreno)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Banco (candidatos de RNA-seq): </w:t>
      </w:r>
      <w:r>
        <w:rPr>
          <w:rFonts w:ascii="Calibri" w:cs="Calibri" w:eastAsia="Calibri" w:hAnsi="Calibri"/>
          <w:sz w:val="21"/>
          <w:szCs w:val="21"/>
        </w:rPr>
        <w:t xml:space="preserve">11 cadeias — os 5 candidatos reconstruídos pelo pipeline do Gabriel (assemble181/95/193/726/4017) + F59 (HC/LC) + 4 distratores reais (2D22, EDE1 C8).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Expressas no soro (verdade-terreno): </w:t>
      </w:r>
      <w:r>
        <w:rPr>
          <w:rFonts w:ascii="Calibri" w:cs="Calibri" w:eastAsia="Calibri" w:hAnsi="Calibri"/>
          <w:sz w:val="21"/>
          <w:szCs w:val="21"/>
        </w:rPr>
        <w:t xml:space="preserve">apenas 4 — o par dominante (assemble181_0 HC + assemble95_0 LC) e o F59 (HC/LC). As outras 7 não estão no soro (candidatos só-transcrito + distratores).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MS simulada: </w:t>
      </w:r>
      <w:r>
        <w:rPr>
          <w:rFonts w:ascii="Calibri" w:cs="Calibri" w:eastAsia="Calibri" w:hAnsi="Calibri"/>
          <w:sz w:val="21"/>
          <w:szCs w:val="21"/>
        </w:rPr>
        <w:t xml:space="preserve">digestão in-silico das expressas com 3 proteases (tripsina, quimotripsina, AspN), cobertura 60%, erro de de novo 8%, ambiguidade I/L e clivagem perdida → ~120 peptídeos/rodada, formato que o MAPS-ab consome. Repetido em 12 sementes.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2F5496"/>
          <w:sz w:val="27"/>
          <w:szCs w:val="27"/>
        </w:rPr>
        <w:t xml:space="preserve">3. Resultado (1) — a MS confirma quem está expresso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050"/>
        <w:gridCol w:w="1500"/>
        <w:gridCol w:w="1350"/>
        <w:gridCol w:w="1700"/>
        <w:gridCol w:w="1400"/>
      </w:tblGrid>
      <w:tr>
        <w:trPr>
          <w:tblHeader/>
        </w:trPr>
        <w:tc>
          <w:tcPr>
            <w:tcW w:type="dxa" w:w="3050"/>
            <w:shd w:fill="2F549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cadeia</w:t>
            </w:r>
          </w:p>
        </w:tc>
        <w:tc>
          <w:tcPr>
            <w:tcW w:type="dxa" w:w="1500"/>
            <w:shd w:fill="2F549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1350"/>
            <w:shd w:fill="2F549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verdade</w:t>
            </w:r>
          </w:p>
        </w:tc>
        <w:tc>
          <w:tcPr>
            <w:tcW w:type="dxa" w:w="1700"/>
            <w:shd w:fill="2F549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pept. discrim.</w:t>
            </w:r>
          </w:p>
        </w:tc>
        <w:tc>
          <w:tcPr>
            <w:tcW w:type="dxa" w:w="1400"/>
            <w:shd w:fill="2F549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chamada</w:t>
            </w:r>
          </w:p>
        </w:tc>
      </w:tr>
      <w:tr>
        <w:tc>
          <w:tcPr>
            <w:tcW w:type="dxa" w:w="3050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F59_HC</w:t>
            </w:r>
          </w:p>
        </w:tc>
        <w:tc>
          <w:tcPr>
            <w:tcW w:type="dxa" w:w="1500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F59</w:t>
            </w:r>
          </w:p>
        </w:tc>
        <w:tc>
          <w:tcPr>
            <w:tcW w:type="dxa" w:w="1350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EXPR</w:t>
            </w:r>
          </w:p>
        </w:tc>
        <w:tc>
          <w:tcPr>
            <w:tcW w:type="dxa" w:w="1700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EXPRESSO</w:t>
            </w:r>
          </w:p>
        </w:tc>
      </w:tr>
      <w:tr>
        <w:tc>
          <w:tcPr>
            <w:tcW w:type="dxa" w:w="3050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F59_LC</w:t>
            </w:r>
          </w:p>
        </w:tc>
        <w:tc>
          <w:tcPr>
            <w:tcW w:type="dxa" w:w="1500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F59</w:t>
            </w:r>
          </w:p>
        </w:tc>
        <w:tc>
          <w:tcPr>
            <w:tcW w:type="dxa" w:w="1350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EXPR</w:t>
            </w:r>
          </w:p>
        </w:tc>
        <w:tc>
          <w:tcPr>
            <w:tcW w:type="dxa" w:w="1700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EXPRESSO</w:t>
            </w:r>
          </w:p>
        </w:tc>
      </w:tr>
      <w:tr>
        <w:tc>
          <w:tcPr>
            <w:tcW w:type="dxa" w:w="3050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assemble181_0</w:t>
            </w:r>
          </w:p>
        </w:tc>
        <w:tc>
          <w:tcPr>
            <w:tcW w:type="dxa" w:w="1500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RNA-seq</w:t>
            </w:r>
          </w:p>
        </w:tc>
        <w:tc>
          <w:tcPr>
            <w:tcW w:type="dxa" w:w="1350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EXPR</w:t>
            </w:r>
          </w:p>
        </w:tc>
        <w:tc>
          <w:tcPr>
            <w:tcW w:type="dxa" w:w="1700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EXPRESSO</w:t>
            </w:r>
          </w:p>
        </w:tc>
      </w:tr>
      <w:tr>
        <w:tc>
          <w:tcPr>
            <w:tcW w:type="dxa" w:w="3050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assemble95_0</w:t>
            </w:r>
          </w:p>
        </w:tc>
        <w:tc>
          <w:tcPr>
            <w:tcW w:type="dxa" w:w="1500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RNA-seq</w:t>
            </w:r>
          </w:p>
        </w:tc>
        <w:tc>
          <w:tcPr>
            <w:tcW w:type="dxa" w:w="1350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EXPR</w:t>
            </w:r>
          </w:p>
        </w:tc>
        <w:tc>
          <w:tcPr>
            <w:tcW w:type="dxa" w:w="1700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EXPRESSO</w:t>
            </w:r>
          </w:p>
        </w:tc>
      </w:tr>
      <w:tr>
        <w:tc>
          <w:tcPr>
            <w:tcW w:type="dxa" w:w="3050"/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2D22, EDE1 C8 (HC/LC)</w:t>
            </w:r>
          </w:p>
        </w:tc>
        <w:tc>
          <w:tcPr>
            <w:tcW w:type="dxa" w:w="1500"/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distrator</w:t>
            </w:r>
          </w:p>
        </w:tc>
        <w:tc>
          <w:tcPr>
            <w:tcW w:type="dxa" w:w="1350"/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50"/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assemble193/726/4017</w:t>
            </w:r>
          </w:p>
        </w:tc>
        <w:tc>
          <w:tcPr>
            <w:tcW w:type="dxa" w:w="1500"/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RNA-seq</w:t>
            </w:r>
          </w:p>
        </w:tc>
        <w:tc>
          <w:tcPr>
            <w:tcW w:type="dxa" w:w="1350"/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Precisão = 1,00 · Recall = 1,00 · F1 = 1,00</w:t>
      </w:r>
      <w:r>
        <w:rPr>
          <w:rFonts w:ascii="Calibri" w:cs="Calibri" w:eastAsia="Calibri" w:hAnsi="Calibri"/>
          <w:sz w:val="21"/>
          <w:szCs w:val="21"/>
        </w:rPr>
        <w:t xml:space="preserve"> — idêntico nas 12 sementes (min = max = 1,00). A MS separa perfeitamente os candidatos expressos dos só-transcrito e dos distratores, por peptídeos discriminantes (que batem em um único candidato) e corroboração da CDR3 por múltiplas proteases.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2F5496"/>
          <w:sz w:val="27"/>
          <w:szCs w:val="27"/>
        </w:rPr>
        <w:t xml:space="preserve">4. Resultado (2) — o banco corrige a CDR3 ruidosa da MS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2F549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Identidade da CDR3 recuperada</w:t>
            </w:r>
          </w:p>
        </w:tc>
        <w:tc>
          <w:tcPr>
            <w:tcW w:type="dxa" w:w="2250"/>
            <w:shd w:fill="2F549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 novo puro</w:t>
            </w:r>
          </w:p>
        </w:tc>
        <w:tc>
          <w:tcPr>
            <w:tcW w:type="dxa" w:w="2250"/>
            <w:shd w:fill="2F549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ancorado no banco</w:t>
            </w:r>
          </w:p>
        </w:tc>
      </w:tr>
      <w:tr>
        <w:tc>
          <w:tcPr>
            <w:tcW w:type="dxa" w:w="4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vs CDR3 verdadeira (média, 12 sementes)</w:t>
            </w:r>
          </w:p>
        </w:tc>
        <w:tc>
          <w:tcPr>
            <w:tcW w:type="dxa" w:w="2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0,82</w:t>
            </w:r>
          </w:p>
        </w:tc>
        <w:tc>
          <w:tcPr>
            <w:tcW w:type="dxa" w:w="2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1,00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Ganho de +0,18.</w:t>
      </w:r>
      <w:r>
        <w:rPr>
          <w:rFonts w:ascii="Calibri" w:cs="Calibri" w:eastAsia="Calibri" w:hAnsi="Calibri"/>
          <w:sz w:val="21"/>
          <w:szCs w:val="21"/>
        </w:rPr>
        <w:t xml:space="preserve"> Com erro de de novo realista (8%), a leitura crua acerta ~82% da CDR3; ancorá-la ao candidato de RNA-seq mais próximo recupera a sequência exata. É a segunda direção da validação mútua: o transcriptoma conserta o proteoma.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2F5496"/>
          <w:sz w:val="27"/>
          <w:szCs w:val="27"/>
        </w:rPr>
        <w:t xml:space="preserve">5. Leitura e limitações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Os dois resultados resolvem, de ponta a ponta, as duas fragilidades do estudo original do TCC: a MS fornece 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ground truth de expressão</w:t>
      </w:r>
      <w:r>
        <w:rPr>
          <w:rFonts w:ascii="Calibri" w:cs="Calibri" w:eastAsia="Calibri" w:hAnsi="Calibri"/>
          <w:sz w:val="21"/>
          <w:szCs w:val="21"/>
        </w:rPr>
        <w:t xml:space="preserve"> que faltava (quais candidatos são reais) e o banco de RNA-seq fornece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sequência completa e limpa</w:t>
      </w:r>
      <w:r>
        <w:rPr>
          <w:rFonts w:ascii="Calibri" w:cs="Calibri" w:eastAsia="Calibri" w:hAnsi="Calibri"/>
          <w:sz w:val="21"/>
          <w:szCs w:val="21"/>
        </w:rPr>
        <w:t xml:space="preserve"> que ancora a MS.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É in-silico: </w:t>
      </w:r>
      <w:r>
        <w:rPr>
          <w:rFonts w:ascii="Calibri" w:cs="Calibri" w:eastAsia="Calibri" w:hAnsi="Calibri"/>
          <w:sz w:val="21"/>
          <w:szCs w:val="21"/>
        </w:rPr>
        <w:t xml:space="preserve">a MS é simulada a partir de sequências conhecidas (erro, cobertura e proteases realistas, mas não espectros reais). O F59, por estar no banco com sua sequência exata, é um controle “fácil”; o teste informativo são os candidatos de RNA-seq (assemble181/95), corretamente confirmados, e os só-transcrito/distratores, corretamente rejeitados.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Próximo passo (validação úmida — WS3): </w:t>
      </w:r>
      <w:r>
        <w:rPr>
          <w:rFonts w:ascii="Calibri" w:cs="Calibri" w:eastAsia="Calibri" w:hAnsi="Calibri"/>
          <w:sz w:val="21"/>
          <w:szCs w:val="21"/>
        </w:rPr>
        <w:t xml:space="preserve">rodar a mesma integração sobre o dataset real pareado validado na etapa (a) — MS PXD046473 + BCR-seq PRJNA1023018 (Park/Georgiou, Lancet Microbe 2024) — e calibrar o lado MS com o benchmark PXD055846 (Chernigovskaya 2025, 6 mAbs de sequência conhecida).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Reprodutibilidade: poc_integracao.py (determinístico, 12 sementes) · poc_resultado.json (métricas) · ms_sim/MSsim_{Trypsin,Chymotrypsin,AspN}.csv (peptídeos de novo simulados).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2026-10-02T12:06:36.811Z</dcterms:created>
  <dcterms:modified xsi:type="dcterms:W3CDTF">2026-10-02T12:06:36.811Z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