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Integração proteogenômica para reconstrução e validação de anticorpos</w:t>
      </w:r>
    </w:p>
    <w:p>
      <w:pPr>
        <w:spacing w:after="6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Capítulo de consolidação — Materiais, Métodos e Resultados preliminares (braço MAPS-ab)</w:t>
      </w:r>
    </w:p>
    <w:p>
      <w:pPr>
        <w:pBdr>
          <w:bottom w:val="single" w:color="2F5496" w:sz="6"/>
        </w:pBdr>
        <w:spacing w:after="20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Continuidade do PIIC (pipeline LangGraph, SRR21924253)  ·  2 de outubro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 Contexto e reformulação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O PIIC reconstruiu anticorpos a partir de RNA-seq (TRUST4 + pipeline multiagente) e os comparou ao anticorpo F59. O desafio remanescente é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validação</w:t>
      </w:r>
      <w:r>
        <w:rPr>
          <w:rFonts w:ascii="Calibri" w:cs="Calibri" w:eastAsia="Calibri" w:hAnsi="Calibri"/>
          <w:sz w:val="21"/>
          <w:szCs w:val="21"/>
        </w:rPr>
        <w:t xml:space="preserve">: o F59 vem de doador e doença distintos da amostra, não havendo base biológica para correspondência — a identidade ao F59 não mede acurácia de reconstrução. Além disso, o pareamento HC/LC em RNA-seq bulk não possui sinal nem gabarito.</w:t>
      </w:r>
    </w:p>
    <w:p>
      <w:pPr>
        <w:spacing w:after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Reformulação proposta: </w:t>
      </w:r>
      <w:r>
        <w:rPr>
          <w:rFonts w:ascii="Calibri" w:cs="Calibri" w:eastAsia="Calibri" w:hAnsi="Calibri"/>
          <w:sz w:val="21"/>
          <w:szCs w:val="21"/>
        </w:rPr>
        <w:t xml:space="preserve">integração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proteogenômica</w:t>
      </w:r>
      <w:r>
        <w:rPr>
          <w:rFonts w:ascii="Calibri" w:cs="Calibri" w:eastAsia="Calibri" w:hAnsi="Calibri"/>
          <w:sz w:val="21"/>
          <w:szCs w:val="21"/>
        </w:rPr>
        <w:t xml:space="preserve"> — combinar os candidatos de sequência do RNA-seq (o que o paciente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pode</w:t>
      </w:r>
      <w:r>
        <w:rPr>
          <w:rFonts w:ascii="Calibri" w:cs="Calibri" w:eastAsia="Calibri" w:hAnsi="Calibri"/>
          <w:sz w:val="21"/>
          <w:szCs w:val="21"/>
        </w:rPr>
        <w:t xml:space="preserve"> produzir) com espectrometria de massas de novo (o que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está expresso</w:t>
      </w:r>
      <w:r>
        <w:rPr>
          <w:rFonts w:ascii="Calibri" w:cs="Calibri" w:eastAsia="Calibri" w:hAnsi="Calibri"/>
          <w:sz w:val="21"/>
          <w:szCs w:val="21"/>
        </w:rPr>
        <w:t xml:space="preserve"> como proteína circulante). Cada modalidade valida a outra: a MS fornece o ground truth de expressão; o transcriptoma fornece a sequência completa que ancora a MS. Reusa-se o motor do MAPS-ab (recuperação de CDR3 ancorada no FR4 + corroboração cross-enzima).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 Materiais — dataset público pareado (etapa a)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Selecionou-se e validou-se (NCBI/EBI) um dataset proteogenômico pareado dos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mesmos doadores</w:t>
      </w:r>
      <w:r>
        <w:rPr>
          <w:rFonts w:ascii="Calibri" w:cs="Calibri" w:eastAsia="Calibri" w:hAnsi="Calibri"/>
          <w:sz w:val="21"/>
          <w:szCs w:val="21"/>
        </w:rPr>
        <w:t xml:space="preserve">: Park et al.,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Lancet Microbe</w:t>
      </w:r>
      <w:r>
        <w:rPr>
          <w:rFonts w:ascii="Calibri" w:cs="Calibri" w:eastAsia="Calibri" w:hAnsi="Calibri"/>
          <w:sz w:val="21"/>
          <w:szCs w:val="21"/>
        </w:rPr>
        <w:t xml:space="preserve"> 2024 (Ig-seq de vacina influenza HA; grupo Georgiou/Ippolito).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850"/>
        <w:gridCol w:w="2200"/>
        <w:gridCol w:w="3950"/>
      </w:tblGrid>
      <w:tr>
        <w:trPr>
          <w:tblHeader/>
        </w:trPr>
        <w:tc>
          <w:tcPr>
            <w:tcW w:type="dxa" w:w="285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20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395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 (confirmado)</w:t>
            </w:r>
          </w:p>
        </w:tc>
      </w:tr>
      <w:tr>
        <w:tc>
          <w:tcPr>
            <w:tcW w:type="dxa" w:w="28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BCR-seq (candidatos)</w:t>
            </w:r>
          </w:p>
        </w:tc>
        <w:tc>
          <w:tcPr>
            <w:tcW w:type="dxa" w:w="22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NCBI PRJNA1023018</w:t>
            </w:r>
          </w:p>
        </w:tc>
        <w:tc>
          <w:tcPr>
            <w:tcW w:type="dxa" w:w="39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105 runs: 15 PacBio full-length (1/doador A1–5,B1–5,C1–5) + 90 Illumina MiSeq (amplicon VH/VL).</w:t>
            </w:r>
          </w:p>
        </w:tc>
      </w:tr>
      <w:tr>
        <w:tc>
          <w:tcPr>
            <w:tcW w:type="dxa" w:w="28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 de IgG sérico</w:t>
            </w:r>
          </w:p>
        </w:tc>
        <w:tc>
          <w:tcPr>
            <w:tcW w:type="dxa" w:w="22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PRIDE PXD046473</w:t>
            </w:r>
          </w:p>
        </w:tc>
        <w:tc>
          <w:tcPr>
            <w:tcW w:type="dxa" w:w="39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.raw + 32 tabelas de PSM (_psms.txt). IgG anti-HA (eluato/flow-through, dia 0/28).</w:t>
            </w:r>
          </w:p>
        </w:tc>
      </w:tr>
      <w:tr>
        <w:tc>
          <w:tcPr>
            <w:tcW w:type="dxa" w:w="28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Gabarito (mAbs)</w:t>
            </w:r>
          </w:p>
        </w:tc>
        <w:tc>
          <w:tcPr>
            <w:tcW w:type="dxa" w:w="22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GenBank; PDB 8UZC</w:t>
            </w:r>
          </w:p>
        </w:tc>
        <w:tc>
          <w:tcPr>
            <w:tcW w:type="dxa" w:w="39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Monoclonais validados (VH/VL) e estruturas — verdade-terreno.</w:t>
            </w:r>
          </w:p>
        </w:tc>
      </w:tr>
      <w:tr>
        <w:tc>
          <w:tcPr>
            <w:tcW w:type="dxa" w:w="28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Benchmark MS</w:t>
            </w:r>
          </w:p>
        </w:tc>
        <w:tc>
          <w:tcPr>
            <w:tcW w:type="dxa" w:w="22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PRIDE PXD055846</w:t>
            </w:r>
          </w:p>
        </w:tc>
        <w:tc>
          <w:tcPr>
            <w:tcW w:type="dxa" w:w="395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Chernigovskaya 2025: 6 mAbs de sequência conhecida, 4 proteases, de novo (Casanovo).</w:t>
            </w:r>
          </w:p>
        </w:tc>
      </w:tr>
    </w:tbl>
    <w:p>
      <w:pPr>
        <w:spacing w:after="130" w:before="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O dataset pareado é de influenza HA (padrão-ouro para desenvolver/validar o método); o mesmo método se aplica depois à amostra COVID original e a dados de arbovírus do guarda-chuva.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 Métodos — a integração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A integração (ferramenta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run_integration.py</w:t>
      </w:r>
      <w:r>
        <w:rPr>
          <w:rFonts w:ascii="Calibri" w:cs="Calibri" w:eastAsia="Calibri" w:hAnsi="Calibri"/>
          <w:sz w:val="21"/>
          <w:szCs w:val="21"/>
        </w:rPr>
        <w:t xml:space="preserve">) recebe um banco de candidatos VH/VL (do BCR-seq/TRUST4) e peptídeos de MS por protease, e produz duas saídas: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(1) Confirmação de expressão: </w:t>
      </w:r>
      <w:r>
        <w:rPr>
          <w:rFonts w:ascii="Calibri" w:cs="Calibri" w:eastAsia="Calibri" w:hAnsi="Calibri"/>
          <w:sz w:val="21"/>
          <w:szCs w:val="21"/>
        </w:rPr>
        <w:t xml:space="preserve">cada candidato é digerido in-silico (tripsina, quimotripsina, LysC, AspN, GluC); peptídeos de MS que casam um único candidato (discriminantes) e a corroboração da CDR3 por múltiplas proteases determinam se o candidato está expresso.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(2) Ancoramento: </w:t>
      </w:r>
      <w:r>
        <w:rPr>
          <w:rFonts w:ascii="Calibri" w:cs="Calibri" w:eastAsia="Calibri" w:hAnsi="Calibri"/>
          <w:sz w:val="21"/>
          <w:szCs w:val="21"/>
        </w:rPr>
        <w:t xml:space="preserve">as CDR3 recuperadas da MS (ruidosas) são ancoradas à CDR3 do candidato mais próximo, corrigindo erros de de novo.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 Resultados preliminares — prova de conceito in-silico (etapa b)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Com resposta conhecida: banco de 11 cadeias (5 candidatos do pipeline + F59 + 4 distratores reais); apenas 4 expressas no soro (par dominante assemble181/95 + F59). MS simulada com 3 proteases, cobertura 60%, erro de de novo 8%, em 12 sementes.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shd w:fill="2F5496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5400"/>
            <w:shd w:fill="C6EFCE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Classificação da expressão (precisão / recall / F1)</w:t>
            </w:r>
          </w:p>
        </w:tc>
        <w:tc>
          <w:tcPr>
            <w:tcW w:type="dxa" w:w="1800"/>
            <w:shd w:fill="C6EFCE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1,00 / 1,00 / 1,00</w:t>
            </w:r>
          </w:p>
        </w:tc>
        <w:tc>
          <w:tcPr>
            <w:tcW w:type="dxa" w:w="1800"/>
            <w:shd w:fill="C6EFCE" w:val="clear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idêntico nas 12 sementes</w:t>
            </w:r>
          </w:p>
        </w:tc>
      </w:tr>
      <w:tr>
        <w:tc>
          <w:tcPr>
            <w:tcW w:type="dxa" w:w="54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Identidade CDR3 — de novo puro</w:t>
            </w:r>
          </w:p>
        </w:tc>
        <w:tc>
          <w:tcPr>
            <w:tcW w:type="dxa" w:w="18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0,82</w:t>
            </w:r>
          </w:p>
        </w:tc>
        <w:tc>
          <w:tcPr>
            <w:tcW w:type="dxa" w:w="18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leitura crua</w:t>
            </w:r>
          </w:p>
        </w:tc>
      </w:tr>
      <w:tr>
        <w:tc>
          <w:tcPr>
            <w:tcW w:type="dxa" w:w="54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Identidade CDR3 — ancorado no banco</w:t>
            </w:r>
          </w:p>
        </w:tc>
        <w:tc>
          <w:tcPr>
            <w:tcW w:type="dxa" w:w="18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1,00</w:t>
            </w:r>
          </w:p>
        </w:tc>
        <w:tc>
          <w:tcPr>
            <w:tcW w:type="dxa" w:w="1800"/>
            <w:tcMar>
              <w:top w:type="dxa" w:w="46"/>
              <w:left w:type="dxa" w:w="76"/>
              <w:bottom w:type="dxa" w:w="46"/>
              <w:right w:type="dxa" w:w="7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ganho +0,18</w:t>
            </w:r>
          </w:p>
        </w:tc>
      </w:tr>
    </w:tbl>
    <w:p>
      <w:pPr>
        <w:spacing w:after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Interpretação: </w:t>
      </w:r>
      <w:r>
        <w:rPr>
          <w:rFonts w:ascii="Calibri" w:cs="Calibri" w:eastAsia="Calibri" w:hAnsi="Calibri"/>
          <w:sz w:val="21"/>
          <w:szCs w:val="21"/>
        </w:rPr>
        <w:t xml:space="preserve">a MS separa perfeitamente candidatos expressos de só-transcrito/distratores, e o banco de RNA-seq recupera a sequência exata da CDR3 degradada pela MS. As duas fragilidades do estudo original são resolvidas por construção.</w:t>
      </w:r>
    </w:p>
    <w:p>
      <w:pPr>
        <w:spacing w:after="130" w:before="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Limitação: é in-silico (MS simulada). O F59, por estar no banco com sua sequência exata, é controle fácil; o teste informativo são os candidatos de RNA-seq, corretamente confirmados/rejeitados.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 Preparação para a validação úmida (etapa ii)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Prepararam-se os metadados e o fluxo para rodar a mesma integração nos dados reais: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Manifests e listas de download</w:t>
      </w:r>
      <w:r>
        <w:rPr>
          <w:rFonts w:ascii="Calibri" w:cs="Calibri" w:eastAsia="Calibri" w:hAnsi="Calibri"/>
          <w:sz w:val="21"/>
          <w:szCs w:val="21"/>
        </w:rPr>
        <w:t xml:space="preserve"> do BCR-seq (105 runs) e da MS (PSM tables + FTP).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Conversores</w:t>
      </w:r>
      <w:r>
        <w:rPr>
          <w:rFonts w:ascii="Calibri" w:cs="Calibri" w:eastAsia="Calibri" w:hAnsi="Calibri"/>
          <w:sz w:val="21"/>
          <w:szCs w:val="21"/>
        </w:rPr>
        <w:t xml:space="preserve">: airr_to_candidates.py (AIRR→FASTA) e prep_ms_peptides.py (PSM→CSV).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Ferramenta de integração validada</w:t>
      </w:r>
      <w:r>
        <w:rPr>
          <w:rFonts w:ascii="Calibri" w:cs="Calibri" w:eastAsia="Calibri" w:hAnsi="Calibri"/>
          <w:sz w:val="21"/>
          <w:szCs w:val="21"/>
        </w:rPr>
        <w:t xml:space="preserve"> ponta a ponta na MS simulada da POC (4/4 expressos corretos, 7/7 rejeitados).</w:t>
      </w:r>
    </w:p>
    <w:p>
      <w:pPr>
        <w:shd w:fill="EAF1FB" w:val="clear"/>
        <w:spacing w:after="120" w:before="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python ingest/run_integration.py --candidates candidatos_A1.fasta --ms-dir ms_pep/A1 --out integ_A1.json</w:t>
      </w:r>
    </w:p>
    <w:p>
      <w:pPr>
        <w:spacing w:after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Validação prevista: </w:t>
      </w:r>
      <w:r>
        <w:rPr>
          <w:rFonts w:ascii="Calibri" w:cs="Calibri" w:eastAsia="Calibri" w:hAnsi="Calibri"/>
          <w:sz w:val="21"/>
          <w:szCs w:val="21"/>
        </w:rPr>
        <w:t xml:space="preserve">os monoclonais validados do estudo (GenBank) devem surgir como expressos com CDR3 correta (teste de acurácia direto); o benchmark PXD055846 calibra a sensibilidade do lado MS por protease.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 Síntese e contribuição ao TCC</w:t>
      </w:r>
    </w:p>
    <w:p>
      <w:pPr>
        <w:spacing w:after="130"/>
      </w:pPr>
      <w:r>
        <w:rPr>
          <w:rFonts w:ascii="Calibri" w:cs="Calibri" w:eastAsia="Calibri" w:hAnsi="Calibri"/>
          <w:sz w:val="21"/>
          <w:szCs w:val="21"/>
        </w:rPr>
        <w:t xml:space="preserve">O trabalho deixa de medir semelhança a um anticorpo não relacionado e passa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validar reconstrução por expressão proteica real</w:t>
      </w:r>
      <w:r>
        <w:rPr>
          <w:rFonts w:ascii="Calibri" w:cs="Calibri" w:eastAsia="Calibri" w:hAnsi="Calibri"/>
          <w:sz w:val="21"/>
          <w:szCs w:val="21"/>
        </w:rPr>
        <w:t xml:space="preserve">, posicionando o pipeline de RNA-seq como o braço transcriptômico de um fluxo proteogenômico integrado ao MAPS-ab. A prova de conceito demonstra o método com resposta conhecida; o dataset pareado público e as ferramentas de ingest permitem a validação em dados reais.</w:t>
      </w:r>
    </w:p>
    <w:p>
      <w:pPr>
        <w:spacing w:after="130" w:before="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Arquivos: MAPS-ab-proteogenomica/ (busca_datasets/, poc_insilico/, ingest/, dados/, docs/). Referências-chave: Park et al. Lancet Microbe 2024; Chernigovskaya et al. Cell Systems 2025; Bondt et al. Cell Systems 2021; Song et al. TRUST4, Nat Methods 2021.</w:t>
      </w:r>
    </w:p>
    <w:sectPr>
      <w:pgSz w:w="12240" w:h="15840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2026-10-02T12:19:53.903Z</dcterms:created>
  <dcterms:modified xsi:type="dcterms:W3CDTF">2026-10-02T12:19:53.903Z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