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60A28" w14:textId="77777777" w:rsidR="002E6E0F" w:rsidRDefault="00000000">
      <w:pPr>
        <w:pStyle w:val="Heading1"/>
      </w:pPr>
      <w:bookmarkStart w:id="0" w:name="_s8e3sbys8ek1" w:colFirst="0" w:colLast="0"/>
      <w:bookmarkEnd w:id="0"/>
      <w:r>
        <w:t>Introduction</w:t>
      </w:r>
    </w:p>
    <w:p w14:paraId="79F05FB1" w14:textId="777D0EEF" w:rsidR="002E6E0F" w:rsidRDefault="00000000">
      <w:pPr>
        <w:spacing w:line="360" w:lineRule="auto"/>
        <w:ind w:firstLine="720"/>
      </w:pPr>
      <w:r>
        <w:t xml:space="preserve">Environmental conditions have direct and indirect effects on pathogen transmission. Directly, abiotic factors such as temperature and humidity can influence transmission by altering persistence times outside of their host </w:t>
      </w:r>
      <w:r>
        <w:fldChar w:fldCharType="begin"/>
      </w:r>
      <w:r w:rsidR="000A46F0">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fldChar w:fldCharType="separate"/>
      </w:r>
      <w:r w:rsidR="000A46F0">
        <w:t>(Gray et al., 2009; Nazir et al., 2012)</w:t>
      </w:r>
      <w:r>
        <w:fldChar w:fldCharType="end"/>
      </w:r>
      <w:r>
        <w:t xml:space="preserve">. Indirectly, the environment can alter transmission by affecting host community composition, impacting host availability and suitability </w:t>
      </w:r>
      <w:r>
        <w:fldChar w:fldCharType="begin"/>
      </w:r>
      <w:r w:rsidR="000A46F0">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fldChar w:fldCharType="separate"/>
      </w:r>
      <w:r w:rsidR="000A46F0">
        <w:t>(Love et al., 2016)</w:t>
      </w:r>
      <w:r>
        <w:fldChar w:fldCharType="end"/>
      </w:r>
      <w:r>
        <w:t xml:space="preserve">. For example, temperature can affect host growth rates and population sizes, resulting in changes in the absolute abundance of susceptible hosts </w:t>
      </w:r>
      <w:r>
        <w:fldChar w:fldCharType="begin"/>
      </w:r>
      <w:r w:rsidR="000A46F0">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fldChar w:fldCharType="separate"/>
      </w:r>
      <w:r w:rsidR="000A46F0">
        <w:t>(Savage et al., 2004; Sibly &amp; Hone, 2002)</w:t>
      </w:r>
      <w:r>
        <w:fldChar w:fldCharType="end"/>
      </w:r>
      <w:r>
        <w:t xml:space="preserve"> and the relative abundance of different host species in a community </w:t>
      </w:r>
      <w:r>
        <w:fldChar w:fldCharType="begin"/>
      </w:r>
      <w:r w:rsidR="000A46F0">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fldChar w:fldCharType="separate"/>
      </w:r>
      <w:r w:rsidR="000A46F0">
        <w:t>(Altizer et al., 2013; Blaustein et al., 2010)</w:t>
      </w:r>
      <w:r>
        <w:fldChar w:fldCharType="end"/>
      </w:r>
      <w: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fldChar w:fldCharType="begin"/>
      </w:r>
      <w:r w:rsidR="000A46F0">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(P. T. J. Johnson et al., 2015; Rohr et al., 2019)</w:t>
      </w:r>
      <w:r>
        <w:fldChar w:fldCharType="end"/>
      </w:r>
      <w:r>
        <w:t xml:space="preserve"> while abiotic factors are more often considered at larger spatial scales </w:t>
      </w:r>
      <w:r>
        <w:fldChar w:fldCharType="begin"/>
      </w:r>
      <w:r w:rsidR="000A46F0">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Pr>
          <w:rFonts w:ascii="Cambria Math" w:hAnsi="Cambria Math" w:cs="Cambria Math"/>
        </w:rPr>
        <w:instrText>∼</w:instrText>
      </w:r>
      <w:r w:rsidR="000A46F0">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fldChar w:fldCharType="separate"/>
      </w:r>
      <w:r w:rsidR="000A46F0">
        <w:t>(Cohen et al., 2016)</w:t>
      </w:r>
      <w:r>
        <w:fldChar w:fldCharType="end"/>
      </w:r>
      <w:r>
        <w:t xml:space="preserve">. </w:t>
      </w:r>
    </w:p>
    <w:p w14:paraId="15940E3A" w14:textId="3F0D86AC" w:rsidR="002E6E0F" w:rsidRDefault="00000000">
      <w:pPr>
        <w:spacing w:line="360" w:lineRule="auto"/>
        <w:ind w:firstLine="720"/>
      </w:pPr>
      <w: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fldChar w:fldCharType="begin"/>
      </w:r>
      <w:r w:rsidR="000A46F0">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Pr>
          <w:rFonts w:ascii="Cambria Math" w:hAnsi="Cambria Math" w:cs="Cambria Math"/>
        </w:rPr>
        <w:instrText>‐</w:instrText>
      </w:r>
      <w:r w:rsidR="000A46F0">
        <w:instrText>dependent transmission at low host densities to density</w:instrText>
      </w:r>
      <w:r w:rsidR="000A46F0">
        <w:rPr>
          <w:rFonts w:ascii="Cambria Math" w:hAnsi="Cambria Math" w:cs="Cambria Math"/>
        </w:rPr>
        <w:instrText>‐</w:instrText>
      </w:r>
      <w:r w:rsidR="000A46F0">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Pr>
          <w:rFonts w:ascii="Cambria Math" w:hAnsi="Cambria Math" w:cs="Cambria Math"/>
        </w:rPr>
        <w:instrText>‐</w:instrText>
      </w:r>
      <w:r w:rsidR="000A46F0">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fldChar w:fldCharType="separate"/>
      </w:r>
      <w:r w:rsidR="000A46F0">
        <w:t>(Fenton et al., 2002; Hopkins et al., 2020; Patterson &amp; Ruckstuhl, 2013)</w:t>
      </w:r>
      <w:r>
        <w:fldChar w:fldCharType="end"/>
      </w:r>
      <w: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fldChar w:fldCharType="begin"/>
      </w:r>
      <w:r w:rsidR="000A46F0">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fldChar w:fldCharType="separate"/>
      </w:r>
      <w:r w:rsidR="000A46F0">
        <w:t>(Downs et al., 2019; P. T. J. Johnson et al., 2013; Martin et al., 2016)</w:t>
      </w:r>
      <w:r>
        <w:fldChar w:fldCharType="end"/>
      </w:r>
      <w: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fldChar w:fldCharType="begin"/>
      </w:r>
      <w:r w:rsidR="000A46F0">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fldChar w:fldCharType="separate"/>
      </w:r>
      <w:r w:rsidR="000A46F0">
        <w:t>(Rohani et al., 2009; Sooryanarain &amp; Elankumaran, 2015)</w:t>
      </w:r>
      <w:r>
        <w:fldChar w:fldCharType="end"/>
      </w:r>
      <w: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fldChar w:fldCharType="begin"/>
      </w:r>
      <w:r w:rsidR="000A46F0">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fldChar w:fldCharType="separate"/>
      </w:r>
      <w:r w:rsidR="000A46F0">
        <w:t>(Werner et al., 2007)</w:t>
      </w:r>
      <w:r>
        <w:fldChar w:fldCharType="end"/>
      </w:r>
      <w:r>
        <w:t xml:space="preserve">, and these changes in community structure can result in dramatic shifts in community competence </w:t>
      </w:r>
      <w:r>
        <w:fldChar w:fldCharType="begin"/>
      </w:r>
      <w:r w:rsidR="000A46F0">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fldChar w:fldCharType="separate"/>
      </w:r>
      <w:r w:rsidR="000A46F0">
        <w:t>(Streicker et al., 2013)</w:t>
      </w:r>
      <w:r>
        <w:fldChar w:fldCharType="end"/>
      </w:r>
      <w:r>
        <w:t xml:space="preserve">. Over seasonal timescales, species exhibit distinct </w:t>
      </w:r>
      <w:proofErr w:type="spellStart"/>
      <w:r>
        <w:t>phenologies</w:t>
      </w:r>
      <w:proofErr w:type="spellEnd"/>
      <w:r>
        <w:t xml:space="preserve"> and experience dynamic strengths of competition </w:t>
      </w:r>
      <w:r>
        <w:fldChar w:fldCharType="begin"/>
      </w:r>
      <w:r w:rsidR="000A46F0">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fldChar w:fldCharType="separate"/>
      </w:r>
      <w:r w:rsidR="000A46F0">
        <w:t>(Rudolf, 2019)</w:t>
      </w:r>
      <w:r>
        <w:fldChar w:fldCharType="end"/>
      </w:r>
      <w:r>
        <w:t xml:space="preserve">, which generates a relationship between community </w:t>
      </w:r>
      <w:r>
        <w:lastRenderedPageBreak/>
        <w:t xml:space="preserve">structure and size. Consequently, considering the separate and combined effects of these three factors can improve our understanding of how generalist pathogens invade and persist within variable host communities </w:t>
      </w:r>
      <w:r>
        <w:fldChar w:fldCharType="begin"/>
      </w:r>
      <w:r w:rsidR="000A46F0">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fldChar w:fldCharType="separate"/>
      </w:r>
      <w:r w:rsidR="000A46F0">
        <w:t>(Becker et al., 2012; A. F. Johnson &amp; Brunner, 2014; Nazir et al., 2012)</w:t>
      </w:r>
      <w:r>
        <w:fldChar w:fldCharType="end"/>
      </w:r>
      <w:r>
        <w:t xml:space="preserve"> and promises to generate mechanistic insight into diversity-disease studies that frequently rely only on patterns of host species richness and infection prevalence in communities </w:t>
      </w:r>
      <w:r>
        <w:fldChar w:fldCharType="begin"/>
      </w:r>
      <w:r w:rsidR="000A46F0">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(Rohr et al., 2019)</w:t>
      </w:r>
      <w:r>
        <w:fldChar w:fldCharType="end"/>
      </w:r>
      <w:r>
        <w:t xml:space="preserve">. </w:t>
      </w:r>
    </w:p>
    <w:p w14:paraId="6BF28EED" w14:textId="0666338F" w:rsidR="002E6E0F" w:rsidRDefault="00000000">
      <w:pPr>
        <w:spacing w:line="360" w:lineRule="auto"/>
        <w:ind w:firstLine="720"/>
      </w:pPr>
      <w:r>
        <w:t xml:space="preserve">We use </w:t>
      </w:r>
      <w:proofErr w:type="spellStart"/>
      <w:r>
        <w:t>ranavirus</w:t>
      </w:r>
      <w:proofErr w:type="spellEnd"/>
      <w:r>
        <w:t xml:space="preserve"> infection data in larval amphibian communities to illustrate that the joint influence of biotic and abiotic promoters </w:t>
      </w:r>
      <w:proofErr w:type="gramStart"/>
      <w:r>
        <w:t>are</w:t>
      </w:r>
      <w:proofErr w:type="gramEnd"/>
      <w:r>
        <w:t xml:space="preserve"> likely to be relevant in many disease systems. </w:t>
      </w:r>
      <w:proofErr w:type="spellStart"/>
      <w:r>
        <w:t>Ranaviruses</w:t>
      </w:r>
      <w:proofErr w:type="spellEnd"/>
      <w:r>
        <w:t xml:space="preserve"> represent a genus of viruses known to be associated with global amphibian declines and exhibit both contact and environmental transmission </w:t>
      </w:r>
      <w:r>
        <w:fldChar w:fldCharType="begin"/>
      </w:r>
      <w:r w:rsidR="000A46F0">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Pr>
          <w:rFonts w:ascii="Cambria Math" w:hAnsi="Cambria Math" w:cs="Cambria Math"/>
        </w:rPr>
        <w:instrText>‐</w:instrText>
      </w:r>
      <w:r w:rsidR="000A46F0">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fldChar w:fldCharType="separate"/>
      </w:r>
      <w:r w:rsidR="000A46F0">
        <w:t>(Brunner et al., 2017; Sage et al., 2019)</w:t>
      </w:r>
      <w:r>
        <w:fldChar w:fldCharType="end"/>
      </w:r>
      <w:r>
        <w:t xml:space="preserve">, with the latter known to depend on water temperature and pH </w:t>
      </w:r>
      <w:r>
        <w:fldChar w:fldCharType="begin"/>
      </w:r>
      <w:r w:rsidR="000A46F0">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fldChar w:fldCharType="separate"/>
      </w:r>
      <w:r w:rsidR="000A46F0">
        <w:t>(Brenes et al., 2014; Miller et al., 2011)</w:t>
      </w:r>
      <w:r>
        <w:fldChar w:fldCharType="end"/>
      </w:r>
      <w:r>
        <w:t xml:space="preserve">. Additionally, there is large variation in the competence of different host species for </w:t>
      </w:r>
      <w:proofErr w:type="spellStart"/>
      <w:r>
        <w:t>ranavirus</w:t>
      </w:r>
      <w:proofErr w:type="spellEnd"/>
      <w:r>
        <w:t xml:space="preserve">, and the composition and abundance of host communities changes over space and time, allowing for analysis of the effects of host community composition on transmission potential </w:t>
      </w:r>
      <w:r>
        <w:fldChar w:fldCharType="begin"/>
      </w:r>
      <w:r w:rsidR="000A46F0">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fldChar w:fldCharType="separate"/>
      </w:r>
      <w:r w:rsidR="000A46F0">
        <w:t>(Love et al., 2016; Snyder et al., 2023)</w:t>
      </w:r>
      <w:r>
        <w:fldChar w:fldCharType="end"/>
      </w:r>
      <w:r>
        <w:t xml:space="preserve">. The data span 20 wetlands sampled monthly over 6 months in </w:t>
      </w:r>
      <w:proofErr w:type="gramStart"/>
      <w:r>
        <w:t>2016, and</w:t>
      </w:r>
      <w:proofErr w:type="gramEnd"/>
      <w:r>
        <w:t xml:space="preserve"> include estimates of host abundance and community composition as well as infection status and viral load concentration for a subset of individuals from each sampling event.</w:t>
      </w:r>
    </w:p>
    <w:p w14:paraId="5361FB5B" w14:textId="3E1CB4E8" w:rsidR="002E6E0F" w:rsidRDefault="00000000">
      <w:pPr>
        <w:spacing w:line="360" w:lineRule="auto"/>
        <w:ind w:firstLine="720"/>
      </w:pPr>
      <w:r>
        <w:t xml:space="preserve">To establish how biotic and abiotic factors jointly influence transmission, we developed a mechanistic model that incorporates direct effects of the environment on the pathogen, specifically the environmental persistence time, as well as changes in both abundance and community composition. While important theoretical developments have described transmission in multi-host communities </w:t>
      </w:r>
      <w:r>
        <w:fldChar w:fldCharType="begin"/>
      </w:r>
      <w:r w:rsidR="000A46F0">
        <w:instrText xml:space="preserve"> ADDIN ZOTERO_ITEM CSL_CITATION {"citationID":"Un92OqXE","properties":{"formattedCitation":"(Dobson, 2004; Fountain\\uc0\\u8208{}Jones et al., 2018; Holt et al., 2003; Roche et al., 2012)","plainCitation":"(Dobson, 2004; Fountain</w:instrText>
      </w:r>
      <w:r w:rsidR="000A46F0">
        <w:rPr>
          <w:rFonts w:ascii="Cambria Math" w:hAnsi="Cambria Math" w:cs="Cambria Math"/>
        </w:rPr>
        <w:instrText>‐</w:instrText>
      </w:r>
      <w:r w:rsidR="000A46F0">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Pr>
          <w:rFonts w:ascii="Cambria Math" w:hAnsi="Cambria Math" w:cs="Cambria Math"/>
        </w:rPr>
        <w:instrText>‐</w:instrText>
      </w:r>
      <w:r w:rsidR="000A46F0">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Pr>
          <w:rFonts w:ascii="Cambria Math" w:hAnsi="Cambria Math" w:cs="Cambria Math"/>
        </w:rPr>
        <w:instrText>‐</w:instrText>
      </w:r>
      <w:r w:rsidR="000A46F0">
        <w:instrText>phylogenetic framework for infectious disease ecology","volume":"93","author":[{"family":"Fountain</w:instrText>
      </w:r>
      <w:r w:rsidR="000A46F0">
        <w:rPr>
          <w:rFonts w:ascii="Cambria Math" w:hAnsi="Cambria Math" w:cs="Cambria Math"/>
        </w:rPr>
        <w:instrText>‐</w:instrText>
      </w:r>
      <w:r w:rsidR="000A46F0">
        <w:instrText>Jones","given":"Nicholas M."},{"family":"Pearse","given":"William D."},{"family":"Escobar","given":"Luis E."},{"family":"Alba</w:instrText>
      </w:r>
      <w:r w:rsidR="000A46F0">
        <w:rPr>
          <w:rFonts w:ascii="Cambria Math" w:hAnsi="Cambria Math" w:cs="Cambria Math"/>
        </w:rPr>
        <w:instrText>‐</w:instrText>
      </w:r>
      <w:r w:rsidR="000A46F0">
        <w:instrText>Casals","given":"Ana"},{"family":"Carver","given":"Scott"},{"family":"Davies","given":"T. Jonathan"},{"family":"Kraberger","given":"Simona"},{"family":"Papeş","given":"Monica"},{"family":"Vandegrift","given":"Kurt"},{"family":"Worsley</w:instrText>
      </w:r>
      <w:r w:rsidR="000A46F0">
        <w:rPr>
          <w:rFonts w:ascii="Cambria Math" w:hAnsi="Cambria Math" w:cs="Cambria Math"/>
        </w:rPr>
        <w:instrText>‐</w:instrText>
      </w:r>
      <w:r w:rsidR="000A46F0">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Pr>
          <w:rFonts w:ascii="Cambria Math" w:hAnsi="Cambria Math" w:cs="Cambria Math"/>
        </w:rPr>
        <w:instrText>‐</w:instrText>
      </w:r>
      <w:r w:rsidR="000A46F0">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Pr>
          <w:rFonts w:ascii="Cambria Math" w:hAnsi="Cambria Math" w:cs="Cambria Math"/>
        </w:rPr>
        <w:instrText>‐</w:instrText>
      </w:r>
      <w:r w:rsidR="000A46F0">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fldChar w:fldCharType="separate"/>
      </w:r>
      <w:r w:rsidR="000A46F0" w:rsidRPr="000A46F0">
        <w:rPr>
          <w:rFonts w:ascii="Times New Roman" w:hAnsi="Times New Roman" w:cs="Times New Roman"/>
        </w:rPr>
        <w:t>(Dobson, 2004; Fountain‐Jones et al., 2018; Holt et al., 2003; Roche et al., 2012)</w:t>
      </w:r>
      <w:r>
        <w:fldChar w:fldCharType="end"/>
      </w:r>
      <w:r>
        <w:t xml:space="preserve">, and via multiple transmission modes </w:t>
      </w:r>
      <w:r>
        <w:fldChar w:fldCharType="begin"/>
      </w:r>
      <w:r w:rsidR="000A46F0">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fldChar w:fldCharType="separate"/>
      </w:r>
      <w:r w:rsidR="000A46F0">
        <w:t>(Eisenberg et al., 2013; Majewska et al., 2019; Rohani et al., 2009)</w:t>
      </w:r>
      <w:r>
        <w:fldChar w:fldCharType="end"/>
      </w:r>
      <w:r>
        <w:t xml:space="preserve">, their joint consideration in models is underdeveloped. Accordingly, we develop such a model and assess the effects of host abundance, community composition, and environmental persistence on </w:t>
      </w:r>
      <w:r>
        <w:rPr>
          <w:i/>
        </w:rPr>
        <w:t>R</w:t>
      </w:r>
      <w:r>
        <w:rPr>
          <w:vertAlign w:val="subscript"/>
        </w:rPr>
        <w:t>0</w:t>
      </w:r>
      <w: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w:t>
      </w:r>
      <w:r>
        <w:lastRenderedPageBreak/>
        <w:t xml:space="preserve">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fldChar w:fldCharType="begin"/>
      </w:r>
      <w:r w:rsidR="000A46F0">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Pr>
          <w:rFonts w:ascii="Cambria Math" w:hAnsi="Cambria Math" w:cs="Cambria Math"/>
        </w:rPr>
        <w:instrText>‐</w:instrText>
      </w:r>
      <w:r w:rsidR="000A46F0">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Pr>
          <w:rFonts w:ascii="Cambria Math" w:hAnsi="Cambria Math" w:cs="Cambria Math"/>
        </w:rPr>
        <w:instrText>‐</w:instrText>
      </w:r>
      <w:r w:rsidR="000A46F0">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fldChar w:fldCharType="separate"/>
      </w:r>
      <w:r w:rsidR="000A46F0" w:rsidRPr="000A46F0">
        <w:t>(Bienentreu &amp; Lesbarrères, 2020; Dillon &amp; Meentemeyer, 2019; Youker-Smith et al., 2018)</w:t>
      </w:r>
      <w:r>
        <w:fldChar w:fldCharType="end"/>
      </w:r>
      <w:r>
        <w:t>.</w:t>
      </w:r>
      <w:r>
        <w:br w:type="page"/>
      </w:r>
    </w:p>
    <w:p w14:paraId="70F4A30E" w14:textId="77777777" w:rsidR="002E6E0F" w:rsidRDefault="00000000">
      <w:pPr>
        <w:pStyle w:val="Heading1"/>
        <w:spacing w:line="360" w:lineRule="auto"/>
      </w:pPr>
      <w:bookmarkStart w:id="1" w:name="_q6ewyiq839bw" w:colFirst="0" w:colLast="0"/>
      <w:bookmarkEnd w:id="1"/>
      <w:r>
        <w:lastRenderedPageBreak/>
        <w:t>Methods</w:t>
      </w:r>
    </w:p>
    <w:p w14:paraId="7420377C" w14:textId="77777777" w:rsidR="002E6E0F" w:rsidRDefault="00000000">
      <w:pPr>
        <w:pStyle w:val="Heading2"/>
        <w:keepNext w:val="0"/>
        <w:keepLines w:val="0"/>
        <w:spacing w:line="360" w:lineRule="auto"/>
      </w:pPr>
      <w:bookmarkStart w:id="2" w:name="_10hhj36k5piz" w:colFirst="0" w:colLast="0"/>
      <w:bookmarkEnd w:id="2"/>
      <w:r>
        <w:t>Data Collection</w:t>
      </w:r>
    </w:p>
    <w:p w14:paraId="12FD835D" w14:textId="4031456C" w:rsidR="002E6E0F" w:rsidRDefault="00000000">
      <w:pPr>
        <w:spacing w:line="360" w:lineRule="auto"/>
        <w:ind w:firstLine="720"/>
      </w:pPr>
      <w:r>
        <w:t xml:space="preserve">Data were previously collected </w:t>
      </w:r>
      <w:r>
        <w:fldChar w:fldCharType="begin"/>
      </w:r>
      <w:r w:rsidR="000A46F0">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fldChar w:fldCharType="separate"/>
      </w:r>
      <w:r w:rsidR="000A46F0">
        <w:t>(Coleman, 2018)</w:t>
      </w:r>
      <w:r>
        <w:fldChar w:fldCharType="end"/>
      </w:r>
      <w:r>
        <w:t xml:space="preserve"> at the Savannah River Site (South Carolina, USA). 20 wetlands were sampled monthly for 6 months from February to July in 2016 at the Savannah River Site. Of the 120 sampling events, 96 produced data, with the others being discounted due to wetlands being dry at the time of sampling. Each sampling event included an estimate of larval amphibian abundance ascertained from minnow traps and dip-net sweeps around the perimeter and center of the wetland. In addition to abundance, a single individual per species was collected per dip-net sweep or minnow trap. These individuals were tested for </w:t>
      </w:r>
      <w:proofErr w:type="spellStart"/>
      <w:r>
        <w:t>ranavirus</w:t>
      </w:r>
      <w:proofErr w:type="spellEnd"/>
      <w:r>
        <w:t xml:space="preserve"> load using qPCR in triplicate, with values averaged to determine the viral load for an individual. At the species-level, all individuals that were analyzed for viral load were then averaged to provide a species level estimate of viral load, a proxy for competence. </w:t>
      </w:r>
    </w:p>
    <w:p w14:paraId="22A54F3E" w14:textId="77777777" w:rsidR="002E6E0F" w:rsidRDefault="00000000">
      <w:pPr>
        <w:pStyle w:val="Heading2"/>
        <w:spacing w:line="360" w:lineRule="auto"/>
      </w:pPr>
      <w:bookmarkStart w:id="3" w:name="_9sjte9cjuout" w:colFirst="0" w:colLast="0"/>
      <w:bookmarkEnd w:id="3"/>
      <w:r>
        <w:t>Calculation of community competence and prevalence ratio</w:t>
      </w:r>
    </w:p>
    <w:p w14:paraId="3ADDC9CD" w14:textId="2700336C" w:rsidR="002E6E0F" w:rsidRDefault="00000000">
      <w:pPr>
        <w:spacing w:line="360" w:lineRule="auto"/>
        <w:ind w:firstLine="720"/>
      </w:pPr>
      <w:r>
        <w:t xml:space="preserve">Using species-level competence, we calculated community competence as the weighted average of each species’ competence, with weights given by the relative abundance of each species </w:t>
      </w:r>
      <w:r>
        <w:fldChar w:fldCharType="begin"/>
      </w:r>
      <w:r w:rsidR="000A46F0">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fldChar w:fldCharType="separate"/>
      </w:r>
      <w:r w:rsidR="000A46F0">
        <w:t>(P. T. J. Johnson et al., 2013)</w:t>
      </w:r>
      <w:r>
        <w:fldChar w:fldCharType="end"/>
      </w:r>
      <w:r>
        <w:t xml:space="preserve">. Each site-month combination was treated as a distinct community in these calculations. We designed a metric that summarized </w:t>
      </w:r>
      <w:proofErr w:type="spellStart"/>
      <w:r>
        <w:t>ranavirus</w:t>
      </w:r>
      <w:proofErr w:type="spellEnd"/>
      <w:r>
        <w:t xml:space="preserve"> transmission, hereafter referred to as the prevalence ratio, to test whether community competence, host abundance, and mean water temperature at each site-month were correlated with </w:t>
      </w:r>
      <w:proofErr w:type="spellStart"/>
      <w:r>
        <w:t>ranavirus</w:t>
      </w:r>
      <w:proofErr w:type="spellEnd"/>
      <w:r>
        <w:t xml:space="preserve"> transmission as the epizootics unfolded between February and July. The prevalence ratio was calculated as the percentage increase (before peak prevalence) or decrease (after peak prevalence) in prevalence relative to the potential change in prevalence reached in any site over the study period. Consequently, if prevalence was increasing towards the maximum prevalence (i.e., prevalence had not yet peaked), then the prevalence ratio is the quotient of the difference between next month’s prevalence and the current month’s prevalence divided by the maximum prevalence. If prevalence was decreasing away from the maximum prevalence (</w:t>
      </w:r>
      <w:proofErr w:type="gramStart"/>
      <w:r>
        <w:t>i.e.</w:t>
      </w:r>
      <w:proofErr w:type="gramEnd"/>
      <w:r>
        <w:t xml:space="preserve"> prevalence has already peaked), then the prevalence ratio is one minus the quotient of the difference in the previous month’s prevalence and the next month’s prevalence divided by the maximum prevalence. The advantage of the prevalence ratio is that it allows us to detect whether conditions were favorable or unfavorable for the pathogen along the entire </w:t>
      </w:r>
      <w:r>
        <w:lastRenderedPageBreak/>
        <w:t xml:space="preserve">epizootic (both before and after the peak, which was typically in April-May). Before the peak, conditions are deemed favorable for the pathogen (higher prevalence ratio value) if prevalence increases rapidly. After the peak, conditions are favorable for the pathogen if prevalence decreases slowly. Using prevalence ratio as a response variable, we tested to see if community competence, host abundance, and mean water temperature were significantly correlated with a Spearman Rank correlation test and a Holm-Bonferroni correction for multiple comparisons. </w:t>
      </w:r>
    </w:p>
    <w:p w14:paraId="699393DD" w14:textId="77777777" w:rsidR="002E6E0F" w:rsidRDefault="002E6E0F">
      <w:pPr>
        <w:spacing w:line="360" w:lineRule="auto"/>
        <w:ind w:firstLine="720"/>
      </w:pPr>
    </w:p>
    <w:p w14:paraId="5D9C6FAF" w14:textId="77777777" w:rsidR="002E6E0F" w:rsidRDefault="00000000">
      <w:pPr>
        <w:spacing w:line="360" w:lineRule="auto"/>
      </w:pPr>
      <w:r>
        <w:rPr>
          <w:noProof/>
        </w:rPr>
        <w:drawing>
          <wp:inline distT="114300" distB="114300" distL="114300" distR="114300" wp14:anchorId="22081449" wp14:editId="2AFEFA5B">
            <wp:extent cx="4538663" cy="217477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4538663" cy="2174776"/>
                    </a:xfrm>
                    <a:prstGeom prst="rect">
                      <a:avLst/>
                    </a:prstGeom>
                    <a:ln/>
                  </pic:spPr>
                </pic:pic>
              </a:graphicData>
            </a:graphic>
          </wp:inline>
        </w:drawing>
      </w:r>
    </w:p>
    <w:p w14:paraId="557563B7" w14:textId="77777777" w:rsidR="002E6E0F" w:rsidRDefault="00000000">
      <w:pPr>
        <w:pStyle w:val="Heading2"/>
        <w:spacing w:line="360" w:lineRule="auto"/>
      </w:pPr>
      <w:bookmarkStart w:id="4" w:name="_eooihxbffjma" w:colFirst="0" w:colLast="0"/>
      <w:bookmarkEnd w:id="4"/>
      <w:r>
        <w:t>Transmission model</w:t>
      </w:r>
    </w:p>
    <w:p w14:paraId="137F46D7" w14:textId="0F8BA722" w:rsidR="002E6E0F" w:rsidRDefault="00000000">
      <w:pPr>
        <w:spacing w:line="360" w:lineRule="auto"/>
        <w:ind w:firstLine="720"/>
      </w:pPr>
      <w:proofErr w:type="spellStart"/>
      <w:r>
        <w:t>Ranaviruses</w:t>
      </w:r>
      <w:proofErr w:type="spellEnd"/>
      <w:r>
        <w:t xml:space="preserve"> can infect a wide range of amphibian hosts and infectious periods can range from a few days up to weeks</w:t>
      </w:r>
      <w:r>
        <w:rPr>
          <w:color w:val="008080"/>
        </w:rPr>
        <w:t xml:space="preserve"> </w:t>
      </w:r>
      <w:r>
        <w:fldChar w:fldCharType="begin"/>
      </w:r>
      <w:r w:rsidR="000A46F0">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fldChar w:fldCharType="separate"/>
      </w:r>
      <w:r w:rsidR="000A46F0">
        <w:t>(Gray et al., 2009)</w:t>
      </w:r>
      <w:r>
        <w:fldChar w:fldCharType="end"/>
      </w:r>
      <w:r>
        <w:t xml:space="preserve">. Transmission can occur both directly and indirectly, and exposure appears to induce an adaptive immune response in surviving hosts.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fldChar w:fldCharType="begin"/>
      </w:r>
      <w:r w:rsidR="000A46F0">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fldChar w:fldCharType="separate"/>
      </w:r>
      <w:r w:rsidR="000A46F0">
        <w:t>(Gray et al., 2009)</w:t>
      </w:r>
      <w:r>
        <w:fldChar w:fldCharType="end"/>
      </w:r>
      <w:r>
        <w:t xml:space="preserve">.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w:t>
      </w:r>
      <w:r>
        <w:lastRenderedPageBreak/>
        <w:t>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5C06D239" w:rsidR="002E6E0F" w:rsidRDefault="00000000">
      <w:pPr>
        <w:spacing w:line="360" w:lineRule="auto"/>
        <w:ind w:firstLine="720"/>
      </w:pPr>
      <w:r>
        <w:t xml:space="preserve">Using the next-generation matrix method </w:t>
      </w:r>
      <w:r>
        <w:fldChar w:fldCharType="begin"/>
      </w:r>
      <w:r w:rsidR="000A46F0">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Pr>
          <w:rFonts w:ascii="Cambria Math" w:hAnsi="Cambria Math" w:cs="Cambria Math"/>
        </w:rPr>
        <w:instrText>ℛ</w:instrText>
      </w:r>
      <w:r w:rsidR="000A46F0">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fldChar w:fldCharType="separate"/>
      </w:r>
      <w:r w:rsidR="000A46F0">
        <w:t>(Diekmann et al., 2009)</w:t>
      </w:r>
      <w:r>
        <w:fldChar w:fldCharType="end"/>
      </w:r>
      <w:r>
        <w:t xml:space="preserve">, we calculated the community basic reproductive number </w:t>
      </w:r>
      <w:r>
        <w:fldChar w:fldCharType="begin"/>
      </w:r>
      <w:r w:rsidR="000A46F0">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Pr>
          <w:rFonts w:ascii="Cambria Math" w:hAnsi="Cambria Math" w:cs="Cambria Math"/>
        </w:rPr>
        <w:instrText>‐</w:instrText>
      </w:r>
      <w:r w:rsidR="000A46F0">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fldChar w:fldCharType="separate"/>
      </w:r>
      <w:r w:rsidR="000A46F0">
        <w:t>(Dobson, 2004)</w:t>
      </w:r>
      <w:r>
        <w:fldChar w:fldCharType="end"/>
      </w:r>
      <w:r>
        <w:t xml:space="preserve">, hereafter referred to as </w:t>
      </w:r>
      <w:r>
        <w:rPr>
          <w:i/>
        </w:rPr>
        <w:t>R</w:t>
      </w:r>
      <w:r>
        <w:rPr>
          <w:vertAlign w:val="subscript"/>
        </w:rPr>
        <w:t>0</w:t>
      </w:r>
      <w:r>
        <w:t>, for our community of hosts to determine the conditions necessary for pathogen invasion (</w:t>
      </w:r>
      <w:r>
        <w:rPr>
          <w:i/>
        </w:rPr>
        <w:t>R</w:t>
      </w:r>
      <w:r>
        <w:rPr>
          <w:vertAlign w:val="subscript"/>
        </w:rPr>
        <w:t>0</w:t>
      </w:r>
      <w:r>
        <w:t xml:space="preserve">&gt;1). Consequently, we determined how the boundary </w:t>
      </w:r>
      <w:r>
        <w:rPr>
          <w:i/>
        </w:rPr>
        <w:t>R</w:t>
      </w:r>
      <w:r>
        <w:rPr>
          <w:vertAlign w:val="subscript"/>
        </w:rPr>
        <w:t>0</w:t>
      </w:r>
      <w: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individuals, and a viral half-life of 1.35 days. Viral half-life was calculated as </w:t>
      </w:r>
      <w:proofErr w:type="gramStart"/>
      <w:r>
        <w:t>ln(</w:t>
      </w:r>
      <w:proofErr w:type="gramEnd"/>
      <w:r>
        <w:t>2)/degradation rate [WRITE OUT MORE FORMALLY]. Then (</w:t>
      </w:r>
      <w:proofErr w:type="spellStart"/>
      <w:r>
        <w:t>i</w:t>
      </w:r>
      <w:proofErr w:type="spellEnd"/>
      <w: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Pr>
          <w:i/>
        </w:rPr>
        <w:t>R</w:t>
      </w:r>
      <w:r>
        <w:rPr>
          <w:vertAlign w:val="subscript"/>
        </w:rPr>
        <w:t>0</w:t>
      </w:r>
      <w: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Pr>
          <w:i/>
        </w:rPr>
        <w:t>R</w:t>
      </w:r>
      <w:r>
        <w:rPr>
          <w:vertAlign w:val="subscript"/>
        </w:rPr>
        <w:t>0</w:t>
      </w:r>
      <w:r>
        <w:t xml:space="preserve">&lt;1). In addition, we observed the dynamics of these systems by numerically solving them over time </w:t>
      </w:r>
      <w:proofErr w:type="gramStart"/>
      <w:r>
        <w:t>in order to</w:t>
      </w:r>
      <w:proofErr w:type="gramEnd"/>
      <w:r>
        <w:t xml:space="preserve"> identify when peaks occurred and how high incidence was at those peaks.</w:t>
      </w:r>
    </w:p>
    <w:p w14:paraId="241DC45F" w14:textId="77777777" w:rsidR="002E6E0F" w:rsidRDefault="00000000">
      <w:pPr>
        <w:pStyle w:val="Heading2"/>
        <w:spacing w:line="360" w:lineRule="auto"/>
      </w:pPr>
      <w:bookmarkStart w:id="5" w:name="_hlg486u4ytv" w:colFirst="0" w:colLast="0"/>
      <w:bookmarkEnd w:id="5"/>
      <w:r>
        <w:t>Community competence, host abundance, and water temperature</w:t>
      </w:r>
    </w:p>
    <w:p w14:paraId="250347F4" w14:textId="1AD18A41" w:rsidR="002E6E0F" w:rsidRDefault="00000000">
      <w:pPr>
        <w:spacing w:line="360" w:lineRule="auto"/>
        <w:ind w:firstLine="720"/>
      </w:pPr>
      <w: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proofErr w:type="gramStart"/>
      <w:r>
        <w:t>in order to</w:t>
      </w:r>
      <w:proofErr w:type="gramEnd"/>
      <w:r>
        <w:t xml:space="preserve"> understand which hosts may be driving transmission, we ordered sites according to community competence values and examined which host species made up these communities. We also recorded phylogenetic distances between species to characterize how </w:t>
      </w:r>
      <w:r>
        <w:lastRenderedPageBreak/>
        <w:t xml:space="preserve">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fldChar w:fldCharType="begin"/>
      </w:r>
      <w:r w:rsidR="000A46F0">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fldChar w:fldCharType="separate"/>
      </w:r>
      <w:r w:rsidR="000A46F0">
        <w:t>(Webb et al., 2002; Weinstein et al., 2017)</w:t>
      </w:r>
      <w:r>
        <w:fldChar w:fldCharType="end"/>
      </w:r>
      <w:r>
        <w:t>. In contrast, if phylogenetic distance is high between host species, then this may indicate that they are ecologically distinct 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09EC3482" w14:textId="77777777" w:rsidR="002E6E0F" w:rsidRDefault="00000000">
      <w:r>
        <w:br w:type="page"/>
      </w:r>
    </w:p>
    <w:p w14:paraId="45A72309" w14:textId="77777777" w:rsidR="002E6E0F" w:rsidRDefault="00000000">
      <w:pPr>
        <w:pStyle w:val="Heading1"/>
        <w:spacing w:line="360" w:lineRule="auto"/>
      </w:pPr>
      <w:bookmarkStart w:id="6" w:name="_duqqz2ezm5dj" w:colFirst="0" w:colLast="0"/>
      <w:bookmarkEnd w:id="6"/>
      <w:r>
        <w:lastRenderedPageBreak/>
        <w:t>Results</w:t>
      </w:r>
    </w:p>
    <w:p w14:paraId="37F7F8DF" w14:textId="77777777" w:rsidR="002E6E0F" w:rsidRDefault="00000000">
      <w:pPr>
        <w:pStyle w:val="Heading2"/>
        <w:spacing w:line="360" w:lineRule="auto"/>
      </w:pPr>
      <w:bookmarkStart w:id="7" w:name="_d6c6k1e98qe6" w:colFirst="0" w:colLast="0"/>
      <w:bookmarkEnd w:id="7"/>
      <w:r>
        <w:t xml:space="preserve">Effects of composition, abundance, and temperature on </w:t>
      </w:r>
      <w:proofErr w:type="spellStart"/>
      <w:r>
        <w:t>ranavirus</w:t>
      </w:r>
      <w:proofErr w:type="spellEnd"/>
      <w:r>
        <w:t xml:space="preserve"> transmission</w:t>
      </w:r>
    </w:p>
    <w:p w14:paraId="3F134C5E" w14:textId="77777777" w:rsidR="002E6E0F" w:rsidRDefault="00000000">
      <w:pPr>
        <w:spacing w:line="360" w:lineRule="auto"/>
        <w:ind w:firstLine="720"/>
      </w:pPr>
      <w:r>
        <w:t>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w:t>
      </w:r>
      <w:proofErr w:type="gramStart"/>
      <w:r>
        <w:t>), and</w:t>
      </w:r>
      <w:proofErr w:type="gramEnd"/>
      <w:r>
        <w:t xml:space="preserve"> suggest that certain times and locations may exhibit ‘perfect storms’ in which separate factors that promote transmission (high community competence, high abundance, and lower water temperature resulting in lower rates of viral degradation) co-occur.</w:t>
      </w:r>
    </w:p>
    <w:p w14:paraId="62658551" w14:textId="77777777" w:rsidR="002E6E0F" w:rsidRDefault="00000000">
      <w:pPr>
        <w:spacing w:line="360" w:lineRule="auto"/>
      </w:pPr>
      <w:r>
        <w:rPr>
          <w:noProof/>
        </w:rPr>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670300"/>
                    </a:xfrm>
                    <a:prstGeom prst="rect">
                      <a:avLst/>
                    </a:prstGeom>
                    <a:ln/>
                  </pic:spPr>
                </pic:pic>
              </a:graphicData>
            </a:graphic>
          </wp:inline>
        </w:drawing>
      </w:r>
    </w:p>
    <w:p w14:paraId="38C38369" w14:textId="77777777" w:rsidR="002E6E0F" w:rsidRDefault="00000000">
      <w:r>
        <w:rPr>
          <w:b/>
        </w:rPr>
        <w:t>Figure 1:</w:t>
      </w:r>
      <w:r>
        <w:t xml:space="preserve"> </w:t>
      </w:r>
      <w:r>
        <w:rPr>
          <w:b/>
        </w:rPr>
        <w:t xml:space="preserve">Relationship between Community Competence of sites ranked according to Principal Component 1 </w:t>
      </w:r>
      <w:proofErr w:type="gramStart"/>
      <w:r>
        <w:rPr>
          <w:b/>
        </w:rPr>
        <w:t>Scores</w:t>
      </w:r>
      <w:proofErr w:type="gramEnd"/>
      <w:r>
        <w:rPr>
          <w:b/>
        </w:rPr>
        <w:t xml:space="preserve">. </w:t>
      </w:r>
      <w:r>
        <w:t xml:space="preserve">Similar community compositions result in similar values of community competence. Sampling months are represented by color and wetland IDs are represented by symbols. The size of each community is shown by the relative size of each point. </w:t>
      </w:r>
      <w:r>
        <w:rPr>
          <w:b/>
        </w:rPr>
        <w:t xml:space="preserve">Inset: </w:t>
      </w:r>
      <w:r>
        <w:t>Boxplot of community competence values binned according to month. Community competence varies over time and is lowest during later months (May, June, July)</w:t>
      </w:r>
    </w:p>
    <w:p w14:paraId="3F95178E" w14:textId="77777777" w:rsidR="002E6E0F" w:rsidRDefault="002E6E0F">
      <w:pPr>
        <w:spacing w:line="360" w:lineRule="auto"/>
      </w:pPr>
    </w:p>
    <w:p w14:paraId="55B57634" w14:textId="77777777" w:rsidR="002E6E0F" w:rsidRDefault="002E6E0F">
      <w:pPr>
        <w:spacing w:line="360" w:lineRule="auto"/>
      </w:pPr>
    </w:p>
    <w:p w14:paraId="2D849E01" w14:textId="77777777" w:rsidR="002E6E0F" w:rsidRDefault="00000000">
      <w:pPr>
        <w:spacing w:line="360" w:lineRule="auto"/>
        <w:ind w:firstLine="720"/>
      </w:pPr>
      <w:r>
        <w:t xml:space="preserve">When analyzing the relationship between these factors and relative changes in infection prevalence (prevalence ratio), community competence and host abundance both exhibit significant positive relationships with the prevalence ratio (Figure 2, Spearman </w:t>
      </w:r>
      <w:proofErr w:type="spellStart"/>
      <w:proofErr w:type="gramStart"/>
      <w:r>
        <w:t>correlations:community</w:t>
      </w:r>
      <w:proofErr w:type="spellEnd"/>
      <w:proofErr w:type="gramEnd"/>
      <w:r>
        <w:t xml:space="preserve"> competence P&lt;0.01, host abundance P&lt;0.001). The direction of the relationship between prevalence and mean water temperature aligns with predictions but is not significant (Figure 2, Spearman correlation P=0.1). </w:t>
      </w:r>
    </w:p>
    <w:p w14:paraId="53AE6288" w14:textId="77777777" w:rsidR="002E6E0F" w:rsidRDefault="00000000">
      <w:pPr>
        <w:spacing w:line="360" w:lineRule="auto"/>
      </w:pPr>
      <w:r>
        <w:rPr>
          <w:noProof/>
        </w:rPr>
        <w:drawing>
          <wp:inline distT="114300" distB="114300" distL="114300" distR="114300" wp14:anchorId="259CBD43" wp14:editId="09156C4A">
            <wp:extent cx="5943600" cy="3670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670300"/>
                    </a:xfrm>
                    <a:prstGeom prst="rect">
                      <a:avLst/>
                    </a:prstGeom>
                    <a:ln/>
                  </pic:spPr>
                </pic:pic>
              </a:graphicData>
            </a:graphic>
          </wp:inline>
        </w:drawing>
      </w:r>
    </w:p>
    <w:p w14:paraId="6406D0E6" w14:textId="77777777" w:rsidR="002E6E0F" w:rsidRDefault="00000000">
      <w:r>
        <w:rPr>
          <w:b/>
        </w:rPr>
        <w:t xml:space="preserve">Figure 2: Correlations between prevalence ratio and community competence, community size, and mean water temperature. </w:t>
      </w:r>
      <w:r>
        <w:t>Community competence and community size correlated positively with prevalence ratio while mean water temperature did not have a significant relationship. Each point represents a single month-site combination.</w:t>
      </w:r>
    </w:p>
    <w:p w14:paraId="7488EB0E" w14:textId="77777777" w:rsidR="002E6E0F" w:rsidRDefault="002E6E0F">
      <w:pPr>
        <w:spacing w:line="360" w:lineRule="auto"/>
      </w:pPr>
    </w:p>
    <w:p w14:paraId="43AE80AE" w14:textId="77777777" w:rsidR="002E6E0F" w:rsidRDefault="00000000">
      <w:pPr>
        <w:pStyle w:val="Heading3"/>
        <w:spacing w:line="360" w:lineRule="auto"/>
      </w:pPr>
      <w:bookmarkStart w:id="8" w:name="_o9a017k11u38" w:colFirst="0" w:colLast="0"/>
      <w:bookmarkEnd w:id="8"/>
      <w:r>
        <w:t>Multi-species multimodal transmission model</w:t>
      </w:r>
    </w:p>
    <w:p w14:paraId="188B7226" w14:textId="77777777" w:rsidR="002E6E0F" w:rsidRDefault="00000000">
      <w:pPr>
        <w:spacing w:line="360" w:lineRule="auto"/>
        <w:ind w:firstLine="720"/>
      </w:pPr>
      <w:r>
        <w:t xml:space="preserve">In the transmission model, community composition, host abundance, and viral half-life are all important promoters of </w:t>
      </w:r>
      <w:proofErr w:type="gramStart"/>
      <w:r>
        <w:t>transmission</w:t>
      </w:r>
      <w:proofErr w:type="gramEnd"/>
      <w:r>
        <w:t xml:space="preserve"> and their effects are enhanced when combined. Manipulating each factor in favor of transmission (composition, abundance, and half-life) increases the set of transmission rates that allow pathogen invasion of the host community. </w:t>
      </w:r>
      <w:r>
        <w:lastRenderedPageBreak/>
        <w:t>However, the effect of each factor varies in the extent to which it permits invasion via lowered environmental versus contact transmission (Figure 3).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4).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p>
    <w:p w14:paraId="38A6D49A" w14:textId="77777777" w:rsidR="002E6E0F" w:rsidRDefault="002E6E0F">
      <w:pPr>
        <w:spacing w:line="360" w:lineRule="auto"/>
      </w:pPr>
    </w:p>
    <w:p w14:paraId="7336E5A5" w14:textId="13805A81" w:rsidR="002E6E0F" w:rsidRDefault="002E6E0F">
      <w:pPr>
        <w:spacing w:line="360" w:lineRule="auto"/>
      </w:pPr>
    </w:p>
    <w:p w14:paraId="1C14D2A5" w14:textId="1A3744B3" w:rsidR="002E6E0F" w:rsidRDefault="00BA751B">
      <w:pPr>
        <w:spacing w:line="360" w:lineRule="auto"/>
      </w:pPr>
      <w:r>
        <w:rPr>
          <w:noProof/>
        </w:rPr>
        <w:drawing>
          <wp:inline distT="0" distB="0" distL="0" distR="0" wp14:anchorId="55535554" wp14:editId="2C55D4D4">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77777777" w:rsidR="002E6E0F" w:rsidRDefault="002E6E0F">
      <w:pPr>
        <w:spacing w:line="360" w:lineRule="auto"/>
      </w:pPr>
    </w:p>
    <w:p w14:paraId="21853BAE" w14:textId="77777777" w:rsidR="002E6E0F" w:rsidRDefault="00000000">
      <w:r>
        <w:rPr>
          <w:b/>
        </w:rPr>
        <w:t xml:space="preserve">Figure 3: Threshold of invasion under different conditions. </w:t>
      </w:r>
      <w:r>
        <w:t xml:space="preserve">The parameter space in which R0&gt;1 can be increased through changes in community composition, total host abundance, and viral half-life. The gray line in each plot represents a reference community that is the same </w:t>
      </w:r>
      <w:r>
        <w:lastRenderedPageBreak/>
        <w:t xml:space="preserve">throughout each. The colored lines represent manipulated communities. Plot D includes all manipulations and each of the other plots include only one manipulation (composition = community composition, abundance = host abundance, half-life = viral half-life, all = all manipulations combined). </w:t>
      </w:r>
    </w:p>
    <w:p w14:paraId="0F4F4905" w14:textId="35694716" w:rsidR="002E6E0F" w:rsidRDefault="002E6E0F">
      <w:pPr>
        <w:spacing w:line="360" w:lineRule="auto"/>
      </w:pPr>
    </w:p>
    <w:p w14:paraId="6FB1113E" w14:textId="77777777" w:rsidR="002E6E0F" w:rsidRDefault="00000000">
      <w:r>
        <w:rPr>
          <w:b/>
        </w:rPr>
        <w:t xml:space="preserve">Figure 4: Transmission dynamics of either species </w:t>
      </w:r>
      <w:proofErr w:type="gramStart"/>
      <w:r>
        <w:rPr>
          <w:b/>
        </w:rPr>
        <w:t>and</w:t>
      </w:r>
      <w:proofErr w:type="gramEnd"/>
      <w:r>
        <w:rPr>
          <w:b/>
        </w:rPr>
        <w:t xml:space="preserve"> both species combined. </w:t>
      </w:r>
      <w:r>
        <w:t>Using the same initial conditions from the manipulated communities in Figure 3 and parameter values that would ensure R0 is greater than 1, the simulated dynamics of the system show peaks with varying amplitude and timing. This model formulation does not include demography.</w:t>
      </w:r>
    </w:p>
    <w:p w14:paraId="76EF5BD9" w14:textId="77777777" w:rsidR="002E6E0F" w:rsidRDefault="00000000">
      <w:pPr>
        <w:pStyle w:val="Heading3"/>
        <w:spacing w:line="360" w:lineRule="auto"/>
      </w:pPr>
      <w:bookmarkStart w:id="9" w:name="_o72aamdfl5uk" w:colFirst="0" w:colLast="0"/>
      <w:bookmarkEnd w:id="9"/>
      <w:r>
        <w:t>Patterns of community competence, host abundance, and temperature in ephemeral wetlands</w:t>
      </w:r>
    </w:p>
    <w:p w14:paraId="271AA861" w14:textId="35BF7E10" w:rsidR="002E6E0F" w:rsidRDefault="00000000" w:rsidP="00E034ED">
      <w:pPr>
        <w:spacing w:line="360" w:lineRule="auto"/>
        <w:ind w:firstLine="720"/>
      </w:pPr>
      <w:r>
        <w:t xml:space="preserve">Throughout the study period, community competence, host abundance, and mean water temperature varied over time and space, and it was not uncommon for these conditions to combine in ways that favor </w:t>
      </w:r>
      <w:proofErr w:type="spellStart"/>
      <w:r>
        <w:t>ranavirus</w:t>
      </w:r>
      <w:proofErr w:type="spellEnd"/>
      <w:r>
        <w:t xml:space="preserve"> transmission. When community competence was high, it was mostly due to the dominance of certain high competence species (Figure 5). These species are known for being common and in high abundance in the study region </w:t>
      </w:r>
      <w:r>
        <w:fldChar w:fldCharType="begin"/>
      </w:r>
      <w:r w:rsidR="000A46F0">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fldChar w:fldCharType="separate"/>
      </w:r>
      <w:r w:rsidR="000A46F0">
        <w:t>(Love et al., 2016)</w:t>
      </w:r>
      <w:r>
        <w:fldChar w:fldCharType="end"/>
      </w:r>
      <w:r>
        <w:t xml:space="preserve">. Further, several high competence host species were observed to occur and even co-dominate communities (Figure 5 middle panel). The phylogenetic relationships between these species suggest that they may be dissimilar enough to avert strong interspecific competition, resulting in high relative and absolute abundance of competent hosts in these communities (Figure 6). </w:t>
      </w:r>
    </w:p>
    <w:p w14:paraId="4C7A80B0" w14:textId="25795628" w:rsidR="002E6E0F" w:rsidRDefault="00E034ED">
      <w:pPr>
        <w:spacing w:line="360" w:lineRule="auto"/>
      </w:pPr>
      <w:r>
        <w:rPr>
          <w:noProof/>
        </w:rPr>
        <w:lastRenderedPageBreak/>
        <mc:AlternateContent>
          <mc:Choice Requires="wpg">
            <w:drawing>
              <wp:inline distT="0" distB="0" distL="0" distR="0" wp14:anchorId="4185368A" wp14:editId="3AEAF9E6">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8"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9"/>
                          <a:srcRect/>
                          <a:stretch>
                            <a:fillRect/>
                          </a:stretch>
                        </pic:blipFill>
                        <pic:spPr>
                          <a:xfrm>
                            <a:off x="4512039" y="0"/>
                            <a:ext cx="2148840" cy="1631950"/>
                          </a:xfrm>
                          <a:prstGeom prst="rect">
                            <a:avLst/>
                          </a:prstGeom>
                          <a:ln/>
                        </pic:spPr>
                      </pic:pic>
                    </wpg:wgp>
                  </a:graphicData>
                </a:graphic>
              </wp:inline>
            </w:drawing>
          </mc:Choice>
          <mc:Fallback>
            <w:pict>
              <v:group w14:anchorId="7247B836"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0"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1" o:title=""/>
                </v:shape>
                <w10:anchorlock/>
              </v:group>
            </w:pict>
          </mc:Fallback>
        </mc:AlternateContent>
      </w:r>
    </w:p>
    <w:p w14:paraId="12A7AC5E" w14:textId="77777777" w:rsidR="002E6E0F" w:rsidRDefault="00000000">
      <w:r>
        <w:rPr>
          <w:b/>
        </w:rPr>
        <w:t xml:space="preserve">Figure 5: Relative abundance of high competence species ordered in descending community competence, and phylogeny of amphibians with values of viral load (proxy for competence). </w:t>
      </w:r>
      <w:r>
        <w:t>Sites with higher community competence are dominated by species of higher competence and high competence species tend to dominate communities when present. The phylogeny shows that high competence species are moderately dispersed, suggesting that these species may not be excluded by limiting similarity in these communities.</w:t>
      </w:r>
    </w:p>
    <w:p w14:paraId="458C501D" w14:textId="77777777" w:rsidR="002E6E0F" w:rsidRDefault="002E6E0F">
      <w:pPr>
        <w:spacing w:line="360" w:lineRule="auto"/>
      </w:pPr>
    </w:p>
    <w:p w14:paraId="32EA4AB1" w14:textId="77777777" w:rsidR="002E6E0F" w:rsidRDefault="00000000">
      <w:r>
        <w:rPr>
          <w:b/>
        </w:rPr>
        <w:t xml:space="preserve">Figure 6: Relative abundance of host species correlated against the phylogenetic distance of their closest neighbor. </w:t>
      </w:r>
      <w: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61404031" w14:textId="77777777" w:rsidR="002E6E0F" w:rsidRDefault="002E6E0F">
      <w:pPr>
        <w:spacing w:line="360" w:lineRule="auto"/>
      </w:pPr>
    </w:p>
    <w:p w14:paraId="78EB741C" w14:textId="77777777" w:rsidR="002E6E0F" w:rsidRDefault="00000000">
      <w:pPr>
        <w:spacing w:line="360" w:lineRule="auto"/>
        <w:ind w:firstLine="720"/>
      </w:pPr>
      <w:r>
        <w:t xml:space="preserve">Finally, correlations between both host abundance and mean water temperature with community competence show that there are significant correlations between these variables (Supplementary Figure 4,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w:t>
      </w:r>
      <w:r>
        <w:lastRenderedPageBreak/>
        <w:t>suggests that sites of high community competence may occur when water temperatures are low, again resulting in favorable conditions for pathogen transmission.</w:t>
      </w:r>
    </w:p>
    <w:p w14:paraId="7BD24DFB" w14:textId="77777777" w:rsidR="002E6E0F" w:rsidRDefault="002E6E0F">
      <w:pPr>
        <w:spacing w:line="360" w:lineRule="auto"/>
        <w:ind w:firstLine="720"/>
      </w:pPr>
    </w:p>
    <w:p w14:paraId="4E06811B" w14:textId="77777777" w:rsidR="002E6E0F" w:rsidRDefault="00000000">
      <w:pPr>
        <w:pStyle w:val="Heading1"/>
      </w:pPr>
      <w:bookmarkStart w:id="10" w:name="_3l8x3jxer0u4" w:colFirst="0" w:colLast="0"/>
      <w:bookmarkEnd w:id="10"/>
      <w:r>
        <w:br w:type="page"/>
      </w:r>
    </w:p>
    <w:p w14:paraId="6A93CA70" w14:textId="77777777" w:rsidR="002E6E0F" w:rsidRDefault="00000000">
      <w:pPr>
        <w:pStyle w:val="Heading1"/>
      </w:pPr>
      <w:bookmarkStart w:id="11" w:name="_l3iijzz0pprb" w:colFirst="0" w:colLast="0"/>
      <w:bookmarkEnd w:id="11"/>
      <w:r>
        <w:lastRenderedPageBreak/>
        <w:t>Discussion</w:t>
      </w:r>
    </w:p>
    <w:p w14:paraId="42CA1E87" w14:textId="14049C62" w:rsidR="002E6E0F" w:rsidRDefault="00000000">
      <w:pPr>
        <w:spacing w:line="360" w:lineRule="auto"/>
        <w:ind w:firstLine="720"/>
      </w:pPr>
      <w: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t>ranavirus</w:t>
      </w:r>
      <w:proofErr w:type="spellEnd"/>
      <w: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fldChar w:fldCharType="begin"/>
      </w:r>
      <w:r w:rsidR="000A46F0">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Pr>
          <w:rFonts w:ascii="Cambria Math" w:hAnsi="Cambria Math" w:cs="Cambria Math"/>
        </w:rPr>
        <w:instrText>‐</w:instrText>
      </w:r>
      <w:r w:rsidR="000A46F0">
        <w:instrText xml:space="preserve">emphasizing mechanism in the community ecology of disease","volume":"35","author":[{"family":"Shaw","given":"Kelsey E."},{"family":"Civitello","given":"David J."}],"issued":{"date-parts":[["2021",11]]}}}],"schema":"https://github.com/citation-style-language/schema/raw/master/csl-citation.json"} </w:instrText>
      </w:r>
      <w:r>
        <w:fldChar w:fldCharType="separate"/>
      </w:r>
      <w:r w:rsidR="000A46F0">
        <w:t>(Shaw &amp; Civitello, 2021)</w:t>
      </w:r>
      <w:r>
        <w:fldChar w:fldCharType="end"/>
      </w:r>
      <w:r>
        <w:t xml:space="preserve">. </w:t>
      </w:r>
    </w:p>
    <w:p w14:paraId="5F01F3D6" w14:textId="18B744F4" w:rsidR="002E6E0F" w:rsidRDefault="00000000">
      <w:pPr>
        <w:spacing w:line="360" w:lineRule="auto"/>
        <w:ind w:firstLine="720"/>
      </w:pPr>
      <w:r>
        <w:t xml:space="preserve">Diversity-disease research is often studied as a scale-dependent relationship that focuses on the effects of environmental gradients at larger spatial scales, and the effects of host richness at local and regional scales </w:t>
      </w:r>
      <w:r>
        <w:fldChar w:fldCharType="begin"/>
      </w:r>
      <w:r w:rsidR="000A46F0">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(Rohr et al., 2019)</w:t>
      </w:r>
      <w:r>
        <w:fldChar w:fldCharType="end"/>
      </w:r>
      <w:r>
        <w:t xml:space="preserve">. At the intermediate spatial scale of our study, host richness, per se, is not as informative as host evenness, because it fails to capture the relative abundance of host species that contributes to the weighted average of species-level competence </w:t>
      </w:r>
      <w:r>
        <w:fldChar w:fldCharType="begin"/>
      </w:r>
      <w:r w:rsidR="000A46F0">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fldChar w:fldCharType="separate"/>
      </w:r>
      <w:r w:rsidR="000A46F0">
        <w:t>(P. T. J. Johnson et al., 2013)</w:t>
      </w:r>
      <w:r>
        <w:fldChar w:fldCharType="end"/>
      </w:r>
      <w: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t>ranavirus</w:t>
      </w:r>
      <w:proofErr w:type="spellEnd"/>
      <w:r>
        <w:t xml:space="preserve"> transmission includes contact based and environmental 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w:t>
      </w:r>
      <w:r>
        <w:lastRenderedPageBreak/>
        <w:t xml:space="preserve">environmentally viable stage, such as </w:t>
      </w:r>
      <w:proofErr w:type="spellStart"/>
      <w:r>
        <w:t>ranavirus</w:t>
      </w:r>
      <w:proofErr w:type="spellEnd"/>
      <w: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fldChar w:fldCharType="begin"/>
      </w:r>
      <w:r w:rsidR="000A46F0">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fldChar w:fldCharType="separate"/>
      </w:r>
      <w:r w:rsidR="000A46F0">
        <w:t>(Antonovics et al., 2017)</w:t>
      </w:r>
      <w:r>
        <w:fldChar w:fldCharType="end"/>
      </w:r>
      <w:r>
        <w:t>. The pathogen may evolve to have stronger contact transmission, and the result of this adaptation may result in shorter but more severe epidemics when host densities are at their peak.</w:t>
      </w:r>
    </w:p>
    <w:p w14:paraId="68F44DEE" w14:textId="7C4181C3" w:rsidR="002E6E0F" w:rsidRDefault="00000000">
      <w:pPr>
        <w:spacing w:line="360" w:lineRule="auto"/>
        <w:ind w:firstLine="720"/>
      </w:pPr>
      <w:r>
        <w:t xml:space="preserve">Host competence is a complex multifactorial trait and is essential for understanding the transmission of generalist pathogens in </w:t>
      </w:r>
      <w:proofErr w:type="spellStart"/>
      <w:r>
        <w:t>multihost</w:t>
      </w:r>
      <w:proofErr w:type="spellEnd"/>
      <w:r>
        <w:t xml:space="preserve"> communities </w:t>
      </w:r>
      <w:r>
        <w:fldChar w:fldCharType="begin"/>
      </w:r>
      <w:r w:rsidR="000A46F0">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fldChar w:fldCharType="separate"/>
      </w:r>
      <w:r w:rsidR="000A46F0">
        <w:t>(Martin et al., 2016)</w:t>
      </w:r>
      <w:r>
        <w:fldChar w:fldCharType="end"/>
      </w:r>
      <w: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fldChar w:fldCharType="begin"/>
      </w:r>
      <w:r w:rsidR="000A46F0">
        <w:instrText xml:space="preserve"> ADDIN ZOTERO_ITEM CSL_CITATION {"citationID":"hrxlPyxq","properties":{"formattedCitation":"(Downs et al., 2019; Valenzuela\\uc0\\u8208{}S\\uc0\\u225{}nchez et al., 2021)","plainCitation":"(Downs et al., 2019; Valenzuela</w:instrText>
      </w:r>
      <w:r w:rsidR="000A46F0">
        <w:rPr>
          <w:rFonts w:ascii="Cambria Math" w:hAnsi="Cambria Math" w:cs="Cambria Math"/>
        </w:rPr>
        <w:instrText>‐</w:instrText>
      </w:r>
      <w:r w:rsidR="000A46F0">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Pr>
          <w:rFonts w:ascii="Cambria Math" w:hAnsi="Cambria Math" w:cs="Cambria Math"/>
        </w:rPr>
        <w:instrText>‐</w:instrText>
      </w:r>
      <w:r w:rsidR="000A46F0">
        <w:instrText>parasite interaction to inform management decisions. However, it is becoming increasingly clear that the life</w:instrText>
      </w:r>
      <w:r w:rsidR="000A46F0">
        <w:rPr>
          <w:rFonts w:ascii="Cambria Math" w:hAnsi="Cambria Math" w:cs="Cambria Math"/>
        </w:rPr>
        <w:instrText>‐</w:instrText>
      </w:r>
      <w:r w:rsidR="000A46F0">
        <w:instrText>history strategies of host species can be predictive of individual</w:instrText>
      </w:r>
      <w:r w:rsidR="000A46F0">
        <w:rPr>
          <w:rFonts w:ascii="Cambria Math" w:hAnsi="Cambria Math" w:cs="Cambria Math"/>
        </w:rPr>
        <w:instrText>‐</w:instrText>
      </w:r>
      <w:r w:rsidR="000A46F0">
        <w:instrText xml:space="preserve"> and population</w:instrText>
      </w:r>
      <w:r w:rsidR="000A46F0">
        <w:rPr>
          <w:rFonts w:ascii="Cambria Math" w:hAnsi="Cambria Math" w:cs="Cambria Math"/>
        </w:rPr>
        <w:instrText>‐</w:instrText>
      </w:r>
      <w:r w:rsidR="000A46F0">
        <w:instrText>level responses to infectious disease, even without detailed knowledge on the specifics of the host</w:instrText>
      </w:r>
      <w:r w:rsidR="000A46F0">
        <w:rPr>
          <w:rFonts w:ascii="Cambria Math" w:hAnsi="Cambria Math" w:cs="Cambria Math"/>
        </w:rPr>
        <w:instrText>‐</w:instrText>
      </w:r>
      <w:r w:rsidR="000A46F0">
        <w:instrText>parasite interaction. Here, we argue that a deeper integration of life</w:instrText>
      </w:r>
      <w:r w:rsidR="000A46F0">
        <w:rPr>
          <w:rFonts w:ascii="Cambria Math" w:hAnsi="Cambria Math" w:cs="Cambria Math"/>
        </w:rPr>
        <w:instrText>‐</w:instrText>
      </w:r>
      <w:r w:rsidR="000A46F0">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Pr>
          <w:rFonts w:ascii="Cambria Math" w:hAnsi="Cambria Math" w:cs="Cambria Math"/>
        </w:rPr>
        <w:instrText>‐</w:instrText>
      </w:r>
      <w:r w:rsidR="000A46F0">
        <w:instrText>history characteristics influence host responses to parasitism at different levels of organisation, from individuals to communities. We also highlight knowledge gaps and future directions for the study of life</w:instrText>
      </w:r>
      <w:r w:rsidR="000A46F0">
        <w:rPr>
          <w:rFonts w:ascii="Cambria Math" w:hAnsi="Cambria Math" w:cs="Cambria Math"/>
        </w:rPr>
        <w:instrText>‐</w:instrText>
      </w:r>
      <w:r w:rsidR="000A46F0">
        <w:instrText>history and host responses to parasitism. We conclude by illustrating how this theoretical insight can inform the monitoring and control of infectious diseases in wildlife. We present a novel synthesis on the intersection of life</w:instrText>
      </w:r>
      <w:r w:rsidR="000A46F0">
        <w:rPr>
          <w:rFonts w:ascii="Cambria Math" w:hAnsi="Cambria Math" w:cs="Cambria Math"/>
        </w:rPr>
        <w:instrText>‐</w:instrText>
      </w:r>
      <w:r w:rsidR="000A46F0">
        <w:instrText>history and host responses to parasitism, to demonstrate that a deeper integration of life</w:instrText>
      </w:r>
      <w:r w:rsidR="000A46F0">
        <w:rPr>
          <w:rFonts w:ascii="Cambria Math" w:hAnsi="Cambria Math" w:cs="Cambria Math"/>
        </w:rPr>
        <w:instrText>‐</w:instrText>
      </w:r>
      <w:r w:rsidR="000A46F0">
        <w:instrText>history theory into disease ecology is a fruitful avenue of research to advance the understanding and mitigation of wildlife infectious diseases. This synthesis highlights that life</w:instrText>
      </w:r>
      <w:r w:rsidR="000A46F0">
        <w:rPr>
          <w:rFonts w:ascii="Cambria Math" w:hAnsi="Cambria Math" w:cs="Cambria Math"/>
        </w:rPr>
        <w:instrText>‐</w:instrText>
      </w:r>
      <w:r w:rsidR="000A46F0">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Pr>
          <w:rFonts w:ascii="Cambria Math" w:hAnsi="Cambria Math" w:cs="Cambria Math"/>
        </w:rPr>
        <w:instrText>‐</w:instrText>
      </w:r>
      <w:r w:rsidR="000A46F0">
        <w:instrText>host parasite systems.","container-title":"Ecology letters","DOI":"10.1111/ele.13681","issue":"4","note":"ISBN: 1461-023X\nPMID: 33492776","page":"876-890","title":"Why disease ecology needs life</w:instrText>
      </w:r>
      <w:r w:rsidR="000A46F0">
        <w:rPr>
          <w:rFonts w:ascii="Cambria Math" w:hAnsi="Cambria Math" w:cs="Cambria Math"/>
        </w:rPr>
        <w:instrText>‐</w:instrText>
      </w:r>
      <w:r w:rsidR="000A46F0">
        <w:instrText>history theory: a host perspective","volume":"24","author":[{"family":"Valenzuela</w:instrText>
      </w:r>
      <w:r w:rsidR="000A46F0">
        <w:rPr>
          <w:rFonts w:ascii="Cambria Math" w:hAnsi="Cambria Math" w:cs="Cambria Math"/>
        </w:rPr>
        <w:instrText>‐</w:instrText>
      </w:r>
      <w:r w:rsidR="000A46F0">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fldChar w:fldCharType="separate"/>
      </w:r>
      <w:r w:rsidR="000A46F0" w:rsidRPr="000A46F0">
        <w:rPr>
          <w:rFonts w:ascii="Times New Roman" w:hAnsi="Times New Roman" w:cs="Times New Roman"/>
        </w:rPr>
        <w:t>(Downs et al., 2019; Valenzuela‐Sánchez et al., 2021)</w:t>
      </w:r>
      <w:r>
        <w:fldChar w:fldCharType="end"/>
      </w:r>
      <w: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2B9823D9" w:rsidR="002E6E0F" w:rsidRDefault="00000000">
      <w:pPr>
        <w:spacing w:line="360" w:lineRule="auto"/>
        <w:ind w:firstLine="720"/>
      </w:pPr>
      <w:r>
        <w:t xml:space="preserve">The </w:t>
      </w:r>
      <w:proofErr w:type="spellStart"/>
      <w:r>
        <w:t>ranavirus</w:t>
      </w:r>
      <w:proofErr w:type="spellEnd"/>
      <w: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fldChar w:fldCharType="begin"/>
      </w:r>
      <w:r w:rsidR="000A46F0">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Pr>
          <w:rFonts w:ascii="Cambria Math" w:hAnsi="Cambria Math" w:cs="Cambria Math"/>
        </w:rPr>
        <w:instrText>‐</w:instrText>
      </w:r>
      <w:r w:rsidR="000A46F0">
        <w:instrText xml:space="preserve">Galles","given":"Travis"},{"family":"Rohr","given":"Jason R."},{"family":"Hoverman","given":"Jason T."}],"issued":{"date-parts":[["2018",7]]}}}],"schema":"https://github.com/citation-style-language/schema/raw/master/csl-citation.json"} </w:instrText>
      </w:r>
      <w:r>
        <w:fldChar w:fldCharType="separate"/>
      </w:r>
      <w:r w:rsidR="000A46F0" w:rsidRPr="000A46F0">
        <w:rPr>
          <w:rFonts w:ascii="Times New Roman" w:hAnsi="Times New Roman" w:cs="Times New Roman"/>
        </w:rPr>
        <w:t>(Bienentreu &amp; Lesbarrères, 2020; Lesbarrères et al., 2012; Tornabene et al., 2018)</w:t>
      </w:r>
      <w:r>
        <w:fldChar w:fldCharType="end"/>
      </w:r>
      <w: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fldChar w:fldCharType="begin"/>
      </w:r>
      <w:r w:rsidR="000A46F0">
        <w:instrText xml:space="preserve"> ADDIN ZOTERO_ITEM CSL_CITATION {"citationID":"P1uKQa82","properties":{"formattedCitation":"(Ostfeld et al., 2010, 2014; Valenzuela\\uc0\\u8208{}S\\uc0\\u225{}nchez et al., 2021)","plainCitation":"(Ostfeld et al., 2010, 2014; Valenzuela</w:instrText>
      </w:r>
      <w:r w:rsidR="000A46F0">
        <w:rPr>
          <w:rFonts w:ascii="Cambria Math" w:hAnsi="Cambria Math" w:cs="Cambria Math"/>
        </w:rPr>
        <w:instrText>‐</w:instrText>
      </w:r>
      <w:r w:rsidR="000A46F0">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Pr>
          <w:rFonts w:ascii="Cambria Math" w:hAnsi="Cambria Math" w:cs="Cambria Math"/>
        </w:rPr>
        <w:instrText>‐</w:instrText>
      </w:r>
      <w:r w:rsidR="000A46F0">
        <w:instrText>parasite interaction to inform management decisions. However, it is becoming increasingly clear that the life</w:instrText>
      </w:r>
      <w:r w:rsidR="000A46F0">
        <w:rPr>
          <w:rFonts w:ascii="Cambria Math" w:hAnsi="Cambria Math" w:cs="Cambria Math"/>
        </w:rPr>
        <w:instrText>‐</w:instrText>
      </w:r>
      <w:r w:rsidR="000A46F0">
        <w:instrText>history strategies of host species can be predictive of individual</w:instrText>
      </w:r>
      <w:r w:rsidR="000A46F0">
        <w:rPr>
          <w:rFonts w:ascii="Cambria Math" w:hAnsi="Cambria Math" w:cs="Cambria Math"/>
        </w:rPr>
        <w:instrText>‐</w:instrText>
      </w:r>
      <w:r w:rsidR="000A46F0">
        <w:instrText xml:space="preserve"> and population</w:instrText>
      </w:r>
      <w:r w:rsidR="000A46F0">
        <w:rPr>
          <w:rFonts w:ascii="Cambria Math" w:hAnsi="Cambria Math" w:cs="Cambria Math"/>
        </w:rPr>
        <w:instrText>‐</w:instrText>
      </w:r>
      <w:r w:rsidR="000A46F0">
        <w:instrText>level responses to infectious disease, even without detailed knowledge on the specifics of the host</w:instrText>
      </w:r>
      <w:r w:rsidR="000A46F0">
        <w:rPr>
          <w:rFonts w:ascii="Cambria Math" w:hAnsi="Cambria Math" w:cs="Cambria Math"/>
        </w:rPr>
        <w:instrText>‐</w:instrText>
      </w:r>
      <w:r w:rsidR="000A46F0">
        <w:instrText>parasite interaction. Here, we argue that a deeper integration of life</w:instrText>
      </w:r>
      <w:r w:rsidR="000A46F0">
        <w:rPr>
          <w:rFonts w:ascii="Cambria Math" w:hAnsi="Cambria Math" w:cs="Cambria Math"/>
        </w:rPr>
        <w:instrText>‐</w:instrText>
      </w:r>
      <w:r w:rsidR="000A46F0">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Pr>
          <w:rFonts w:ascii="Cambria Math" w:hAnsi="Cambria Math" w:cs="Cambria Math"/>
        </w:rPr>
        <w:instrText>‐</w:instrText>
      </w:r>
      <w:r w:rsidR="000A46F0">
        <w:instrText>history characteristics influence host responses to parasitism at different levels of organisation, from individuals to communities. We also highlight knowledge gaps and future directions for the study of life</w:instrText>
      </w:r>
      <w:r w:rsidR="000A46F0">
        <w:rPr>
          <w:rFonts w:ascii="Cambria Math" w:hAnsi="Cambria Math" w:cs="Cambria Math"/>
        </w:rPr>
        <w:instrText>‐</w:instrText>
      </w:r>
      <w:r w:rsidR="000A46F0">
        <w:instrText>history and host responses to parasitism. We conclude by illustrating how this theoretical insight can inform the monitoring and control of infectious diseases in wildlife. We present a novel synthesis on the intersection of life</w:instrText>
      </w:r>
      <w:r w:rsidR="000A46F0">
        <w:rPr>
          <w:rFonts w:ascii="Cambria Math" w:hAnsi="Cambria Math" w:cs="Cambria Math"/>
        </w:rPr>
        <w:instrText>‐</w:instrText>
      </w:r>
      <w:r w:rsidR="000A46F0">
        <w:instrText>history and host responses to parasitism, to demonstrate that a deeper integration of life</w:instrText>
      </w:r>
      <w:r w:rsidR="000A46F0">
        <w:rPr>
          <w:rFonts w:ascii="Cambria Math" w:hAnsi="Cambria Math" w:cs="Cambria Math"/>
        </w:rPr>
        <w:instrText>‐</w:instrText>
      </w:r>
      <w:r w:rsidR="000A46F0">
        <w:instrText>history theory into disease ecology is a fruitful avenue of research to advance the understanding and mitigation of wildlife infectious diseases. This synthesis highlights that life</w:instrText>
      </w:r>
      <w:r w:rsidR="000A46F0">
        <w:rPr>
          <w:rFonts w:ascii="Cambria Math" w:hAnsi="Cambria Math" w:cs="Cambria Math"/>
        </w:rPr>
        <w:instrText>‐</w:instrText>
      </w:r>
      <w:r w:rsidR="000A46F0">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Pr>
          <w:rFonts w:ascii="Cambria Math" w:hAnsi="Cambria Math" w:cs="Cambria Math"/>
        </w:rPr>
        <w:instrText>‐</w:instrText>
      </w:r>
      <w:r w:rsidR="000A46F0">
        <w:instrText>host parasite systems.","container-title":"Ecology letters","DOI":"10.1111/ele.13681","issue":"4","note":"ISBN: 1461-023X\nPMID: 33492776","page":"876-890","title":"Why disease ecology needs life</w:instrText>
      </w:r>
      <w:r w:rsidR="000A46F0">
        <w:rPr>
          <w:rFonts w:ascii="Cambria Math" w:hAnsi="Cambria Math" w:cs="Cambria Math"/>
        </w:rPr>
        <w:instrText>‐</w:instrText>
      </w:r>
      <w:r w:rsidR="000A46F0">
        <w:instrText>history theory: a host perspective","volume":"24","author":[{"family":"Valenzuela</w:instrText>
      </w:r>
      <w:r w:rsidR="000A46F0">
        <w:rPr>
          <w:rFonts w:ascii="Cambria Math" w:hAnsi="Cambria Math" w:cs="Cambria Math"/>
        </w:rPr>
        <w:instrText>‐</w:instrText>
      </w:r>
      <w:r w:rsidR="000A46F0">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fldChar w:fldCharType="separate"/>
      </w:r>
      <w:r w:rsidR="000A46F0" w:rsidRPr="000A46F0">
        <w:rPr>
          <w:rFonts w:ascii="Times New Roman" w:hAnsi="Times New Roman" w:cs="Times New Roman"/>
        </w:rPr>
        <w:t>(Ostfeld et al., 2010, 2014; Valenzuela‐Sánchez et al., 2021)</w:t>
      </w:r>
      <w:r>
        <w:fldChar w:fldCharType="end"/>
      </w:r>
      <w:r>
        <w:t xml:space="preserve"> suggests the potential for the ideas presented here to occur more generally. In the </w:t>
      </w:r>
      <w:proofErr w:type="spellStart"/>
      <w:r>
        <w:t>ranavirus</w:t>
      </w:r>
      <w:proofErr w:type="spellEnd"/>
      <w: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w:t>
      </w:r>
      <w:r>
        <w:lastRenderedPageBreak/>
        <w:t xml:space="preserve">temperature ranges for optimal host and pathogen growth rates may not overlap </w:t>
      </w:r>
      <w:r>
        <w:fldChar w:fldCharType="begin"/>
      </w:r>
      <w:r w:rsidR="000A46F0">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fldChar w:fldCharType="separate"/>
      </w:r>
      <w:r w:rsidR="000A46F0">
        <w:t>(Gehman et al., 2018)</w:t>
      </w:r>
      <w:r>
        <w:fldChar w:fldCharType="end"/>
      </w:r>
      <w:r>
        <w:t xml:space="preserve">. </w:t>
      </w:r>
    </w:p>
    <w:p w14:paraId="67783EF4" w14:textId="44D39725" w:rsidR="002E6E0F" w:rsidRDefault="00000000">
      <w:pPr>
        <w:spacing w:line="360" w:lineRule="auto"/>
        <w:ind w:firstLine="720"/>
      </w:pPr>
      <w:r>
        <w:t xml:space="preserve">Our analysis was constrained by certain deliberate but important limitations. First, while the focus of our study was on the transmission potential of </w:t>
      </w:r>
      <w:proofErr w:type="spellStart"/>
      <w:r>
        <w:t>ranavirus</w:t>
      </w:r>
      <w:proofErr w:type="spellEnd"/>
      <w:r>
        <w:t xml:space="preserve"> in larval amphibian communities characterized through the basic reproductive number (</w:t>
      </w:r>
      <w:r>
        <w:rPr>
          <w:i/>
        </w:rPr>
        <w:t>R</w:t>
      </w:r>
      <w:r>
        <w:rPr>
          <w:vertAlign w:val="subscript"/>
        </w:rPr>
        <w:t>0</w:t>
      </w:r>
      <w:r>
        <w:t xml:space="preserve">) and observations of </w:t>
      </w:r>
      <w:proofErr w:type="spellStart"/>
      <w:r>
        <w:t>ranavirus</w:t>
      </w:r>
      <w:proofErr w:type="spellEnd"/>
      <w:r>
        <w:t xml:space="preserve"> epizootics, other features of the system such as disease severity </w:t>
      </w:r>
      <w:r>
        <w:fldChar w:fldCharType="begin"/>
      </w:r>
      <w:r w:rsidR="000A46F0">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fldChar w:fldCharType="separate"/>
      </w:r>
      <w:r w:rsidR="000A46F0">
        <w:t>(Price et al., 2019)</w:t>
      </w:r>
      <w:r>
        <w:fldChar w:fldCharType="end"/>
      </w:r>
      <w:r>
        <w:t xml:space="preserve">, and persistence of pathogens through multiple seasons </w:t>
      </w:r>
      <w:r>
        <w:fldChar w:fldCharType="begin"/>
      </w:r>
      <w:r w:rsidR="000A46F0">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fldChar w:fldCharType="separate"/>
      </w:r>
      <w:r w:rsidR="000A46F0">
        <w:t>(Hall et al., 2018)</w:t>
      </w:r>
      <w:r>
        <w:fldChar w:fldCharType="end"/>
      </w:r>
      <w:r>
        <w:t xml:space="preserve"> may provide insight into the joint effects of both biotic and abiotic factors on the transmission of generalist pathogens, with suitable data. Second, we use 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 specific phenomenon that will depend on individual-level host traits, pathogen genotype, and the environmental conditions of the interaction </w:t>
      </w:r>
      <w:r>
        <w:fldChar w:fldCharType="begin"/>
      </w:r>
      <w:r w:rsidR="000A46F0">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fldChar w:fldCharType="separate"/>
      </w:r>
      <w:r w:rsidR="000A46F0">
        <w:t>(Merrill &amp; Johnson, 2020)</w:t>
      </w:r>
      <w:r>
        <w:fldChar w:fldCharType="end"/>
      </w:r>
      <w: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77777777" w:rsidR="002E6E0F" w:rsidRDefault="00000000">
      <w:pPr>
        <w:spacing w:line="360" w:lineRule="auto"/>
        <w:ind w:firstLine="720"/>
      </w:pPr>
      <w:r>
        <w:t xml:space="preserve">The community ecology of generalist infectious diseases is inherently complex. By focusing on either biotic or abiotic variables, the field has identified important patterns </w:t>
      </w:r>
      <w:proofErr w:type="gramStart"/>
      <w:r>
        <w:t>relating  the</w:t>
      </w:r>
      <w:proofErr w:type="gramEnd"/>
      <w: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br w:type="page"/>
      </w:r>
    </w:p>
    <w:p w14:paraId="187E9F07" w14:textId="77777777" w:rsidR="002E6E0F" w:rsidRDefault="002E6E0F">
      <w:pPr>
        <w:spacing w:line="360" w:lineRule="auto"/>
      </w:pPr>
    </w:p>
    <w:p w14:paraId="51F3574A" w14:textId="77777777" w:rsidR="000A46F0" w:rsidRPr="000A46F0" w:rsidRDefault="00000000" w:rsidP="000A46F0">
      <w:pPr>
        <w:pStyle w:val="Bibliography"/>
      </w:pPr>
      <w:r>
        <w:fldChar w:fldCharType="begin"/>
      </w:r>
      <w:r w:rsidR="000A46F0">
        <w:instrText xml:space="preserve"> ADDIN ZOTERO_BIBL {"uncited":[],"omitted":[],"custom":[]} CSL_BIBLIOGRAPHY </w:instrText>
      </w:r>
      <w:r>
        <w:fldChar w:fldCharType="separate"/>
      </w:r>
      <w:r w:rsidR="000A46F0" w:rsidRPr="000A46F0">
        <w:t xml:space="preserve">Altizer, S., Ostfeld, R. S., Johnson, P. T. J., Kutz, S., &amp; Harvell, C. D. (2013). Climate Change and Infectious Diseases: From Evidence to a Predictive Framework. </w:t>
      </w:r>
      <w:r w:rsidR="000A46F0" w:rsidRPr="000A46F0">
        <w:rPr>
          <w:i/>
          <w:iCs/>
        </w:rPr>
        <w:t>Science (American Association for the Advancement of Science)</w:t>
      </w:r>
      <w:r w:rsidR="000A46F0" w:rsidRPr="000A46F0">
        <w:t xml:space="preserve">, </w:t>
      </w:r>
      <w:r w:rsidR="000A46F0" w:rsidRPr="000A46F0">
        <w:rPr>
          <w:i/>
          <w:iCs/>
        </w:rPr>
        <w:t>341</w:t>
      </w:r>
      <w:r w:rsidR="000A46F0" w:rsidRPr="000A46F0">
        <w:t>(6145), 514–519. https://doi.org/10.1126/science.1239401</w:t>
      </w:r>
    </w:p>
    <w:p w14:paraId="7F688533" w14:textId="77777777" w:rsidR="000A46F0" w:rsidRPr="000A46F0" w:rsidRDefault="000A46F0" w:rsidP="000A46F0">
      <w:pPr>
        <w:pStyle w:val="Bibliography"/>
      </w:pPr>
      <w:r w:rsidRPr="000A46F0">
        <w:t xml:space="preserve">Antonovics, J., Wilson, A. J., Forbes, M. R., Hauffe, H. C., Kallio, E. R., Leggett, H. C., Longdon, B., Okamura, B., Sait, S. M., &amp; Webster, J. P. (2017). The evolution of transmission mode. </w:t>
      </w:r>
      <w:r w:rsidRPr="000A46F0">
        <w:rPr>
          <w:i/>
          <w:iCs/>
        </w:rPr>
        <w:t>Philosophical Transactions of the Royal Society B: Biological Sciences</w:t>
      </w:r>
      <w:r w:rsidRPr="000A46F0">
        <w:t xml:space="preserve">, </w:t>
      </w:r>
      <w:r w:rsidRPr="000A46F0">
        <w:rPr>
          <w:i/>
          <w:iCs/>
        </w:rPr>
        <w:t>372</w:t>
      </w:r>
      <w:r w:rsidRPr="000A46F0">
        <w:t>(1719), 20160083. https://doi.org/10.1098/rstb.2016.0083</w:t>
      </w:r>
    </w:p>
    <w:p w14:paraId="67CAF521" w14:textId="77777777" w:rsidR="000A46F0" w:rsidRPr="000A46F0" w:rsidRDefault="000A46F0" w:rsidP="000A46F0">
      <w:pPr>
        <w:pStyle w:val="Bibliography"/>
      </w:pPr>
      <w:r w:rsidRPr="000A46F0">
        <w:t xml:space="preserve">Becker, C. G., Rodriguez, D., Longo, A. V., Talaba, A. L., &amp; Zamudio, K. R. (2012). Disease Risk in Temperate Amphibian Populations Is Higher at Closed-Canopy Sites. </w:t>
      </w:r>
      <w:r w:rsidRPr="000A46F0">
        <w:rPr>
          <w:i/>
          <w:iCs/>
        </w:rPr>
        <w:t>PloS One</w:t>
      </w:r>
      <w:r w:rsidRPr="000A46F0">
        <w:t xml:space="preserve">, </w:t>
      </w:r>
      <w:r w:rsidRPr="000A46F0">
        <w:rPr>
          <w:i/>
          <w:iCs/>
        </w:rPr>
        <w:t>7</w:t>
      </w:r>
      <w:r w:rsidRPr="000A46F0">
        <w:t>(10), e48205. https://doi.org/10.1371/journal.pone.0048205</w:t>
      </w:r>
    </w:p>
    <w:p w14:paraId="702AD9B6" w14:textId="77777777" w:rsidR="000A46F0" w:rsidRPr="000A46F0" w:rsidRDefault="000A46F0" w:rsidP="000A46F0">
      <w:pPr>
        <w:pStyle w:val="Bibliography"/>
      </w:pPr>
      <w:r w:rsidRPr="000A46F0">
        <w:t xml:space="preserve">Bienentreu, J.-F., &amp; Lesbarrères, D. (2020). Amphibian Disease Ecology: Are We Just Scratching the Surface? </w:t>
      </w:r>
      <w:r w:rsidRPr="000A46F0">
        <w:rPr>
          <w:i/>
          <w:iCs/>
        </w:rPr>
        <w:t>Herpetologica</w:t>
      </w:r>
      <w:r w:rsidRPr="000A46F0">
        <w:t xml:space="preserve">, </w:t>
      </w:r>
      <w:r w:rsidRPr="000A46F0">
        <w:rPr>
          <w:i/>
          <w:iCs/>
        </w:rPr>
        <w:t>76</w:t>
      </w:r>
      <w:r w:rsidRPr="000A46F0">
        <w:t>(2), 153. https://doi.org/10.1655/0018-0831-76.2.153</w:t>
      </w:r>
    </w:p>
    <w:p w14:paraId="36EF1C72" w14:textId="77777777" w:rsidR="000A46F0" w:rsidRPr="000A46F0" w:rsidRDefault="000A46F0" w:rsidP="000A46F0">
      <w:pPr>
        <w:pStyle w:val="Bibliography"/>
      </w:pPr>
      <w:r w:rsidRPr="000A46F0">
        <w:t xml:space="preserve">Blaustein, A. R., Walls, S. C., Bancroft, B. A., Lawler, J. J., Searle, C. L., &amp; Gervasi, S. S. (2010). Direct and Indirect Effects of Climate Change on Amphibian Populations. </w:t>
      </w:r>
      <w:r w:rsidRPr="000A46F0">
        <w:rPr>
          <w:i/>
          <w:iCs/>
        </w:rPr>
        <w:t>Diversity</w:t>
      </w:r>
      <w:r w:rsidRPr="000A46F0">
        <w:t xml:space="preserve">, </w:t>
      </w:r>
      <w:r w:rsidRPr="000A46F0">
        <w:rPr>
          <w:i/>
          <w:iCs/>
        </w:rPr>
        <w:t>2</w:t>
      </w:r>
      <w:r w:rsidRPr="000A46F0">
        <w:t>(2), 281–313. https://doi.org/10.3390/d2020281</w:t>
      </w:r>
    </w:p>
    <w:p w14:paraId="0E230886" w14:textId="77777777" w:rsidR="000A46F0" w:rsidRPr="000A46F0" w:rsidRDefault="000A46F0" w:rsidP="000A46F0">
      <w:pPr>
        <w:pStyle w:val="Bibliography"/>
      </w:pPr>
      <w:r w:rsidRPr="000A46F0">
        <w:t xml:space="preserve">Brenes, R., Gray, M. J., Waltzek, T. B., Wilkes, R. P., &amp; Miller, D. L. (2014). Transmission of ranavirus between ectothermic vertebrate hosts. </w:t>
      </w:r>
      <w:r w:rsidRPr="000A46F0">
        <w:rPr>
          <w:i/>
          <w:iCs/>
        </w:rPr>
        <w:t>PLoS ONE</w:t>
      </w:r>
      <w:r w:rsidRPr="000A46F0">
        <w:t>. https://doi.org/10.1371/journal.pone.0092476</w:t>
      </w:r>
    </w:p>
    <w:p w14:paraId="710ABE9D" w14:textId="77777777" w:rsidR="000A46F0" w:rsidRPr="000A46F0" w:rsidRDefault="000A46F0" w:rsidP="000A46F0">
      <w:pPr>
        <w:pStyle w:val="Bibliography"/>
      </w:pPr>
      <w:r w:rsidRPr="000A46F0">
        <w:t xml:space="preserve">Brunner, J. L., Beaty, L., Guitard, A., &amp; Russell, D. (2017). Heterogeneities in the infection process drive ranavirus transmission. </w:t>
      </w:r>
      <w:r w:rsidRPr="000A46F0">
        <w:rPr>
          <w:i/>
          <w:iCs/>
        </w:rPr>
        <w:t>Ecology</w:t>
      </w:r>
      <w:r w:rsidRPr="000A46F0">
        <w:t xml:space="preserve">, </w:t>
      </w:r>
      <w:r w:rsidRPr="000A46F0">
        <w:rPr>
          <w:i/>
          <w:iCs/>
        </w:rPr>
        <w:t>98</w:t>
      </w:r>
      <w:r w:rsidRPr="000A46F0">
        <w:t>(2), 576–582. https://doi.org/10.1002/ecy.1644</w:t>
      </w:r>
    </w:p>
    <w:p w14:paraId="443F873E" w14:textId="77777777" w:rsidR="000A46F0" w:rsidRPr="000A46F0" w:rsidRDefault="000A46F0" w:rsidP="000A46F0">
      <w:pPr>
        <w:pStyle w:val="Bibliography"/>
      </w:pPr>
      <w:r w:rsidRPr="000A46F0">
        <w:t xml:space="preserve">Cohen, J. M., Civitello, D. J., Brace, A. J., Feichtinger, E. M., Ortega, C. N., Richardson, J. C., Sauer, E. L., Liu, X., &amp; Rohr, J. R. (2016). Spatial scale modulates the strength of </w:t>
      </w:r>
      <w:r w:rsidRPr="000A46F0">
        <w:lastRenderedPageBreak/>
        <w:t xml:space="preserve">ecological processes driving disease distributions. </w:t>
      </w:r>
      <w:r w:rsidRPr="000A46F0">
        <w:rPr>
          <w:i/>
          <w:iCs/>
        </w:rPr>
        <w:t>Proceedings of the National Academy of Sciences</w:t>
      </w:r>
      <w:r w:rsidRPr="000A46F0">
        <w:t xml:space="preserve">, </w:t>
      </w:r>
      <w:r w:rsidRPr="000A46F0">
        <w:rPr>
          <w:i/>
          <w:iCs/>
        </w:rPr>
        <w:t>113</w:t>
      </w:r>
      <w:r w:rsidRPr="000A46F0">
        <w:t>(24), E3359–E3364. https://doi.org/10.1073/pnas.1521657113</w:t>
      </w:r>
    </w:p>
    <w:p w14:paraId="54343941" w14:textId="77777777" w:rsidR="000A46F0" w:rsidRPr="000A46F0" w:rsidRDefault="000A46F0" w:rsidP="000A46F0">
      <w:pPr>
        <w:pStyle w:val="Bibliography"/>
      </w:pPr>
      <w:r w:rsidRPr="000A46F0">
        <w:t xml:space="preserve">Coleman, A. L. (2018). </w:t>
      </w:r>
      <w:r w:rsidRPr="000A46F0">
        <w:rPr>
          <w:i/>
          <w:iCs/>
        </w:rPr>
        <w:t>Incorporating environmental factors into discussions of diversity-disease relationships</w:t>
      </w:r>
      <w:r w:rsidRPr="000A46F0">
        <w:t>. University of Georgia.</w:t>
      </w:r>
    </w:p>
    <w:p w14:paraId="72854362" w14:textId="77777777" w:rsidR="000A46F0" w:rsidRPr="000A46F0" w:rsidRDefault="000A46F0" w:rsidP="000A46F0">
      <w:pPr>
        <w:pStyle w:val="Bibliography"/>
      </w:pPr>
      <w:r w:rsidRPr="000A46F0">
        <w:t xml:space="preserve">Diekmann, O., Heesterbeek, J. A. P., &amp; Roberts, M. G. (2009). The construction of next-generation matrices for compartmental epidemic models. </w:t>
      </w:r>
      <w:r w:rsidRPr="000A46F0">
        <w:rPr>
          <w:i/>
          <w:iCs/>
        </w:rPr>
        <w:t>Journal of the Royal Society Interface</w:t>
      </w:r>
      <w:r w:rsidRPr="000A46F0">
        <w:t xml:space="preserve">, </w:t>
      </w:r>
      <w:r w:rsidRPr="000A46F0">
        <w:rPr>
          <w:i/>
          <w:iCs/>
        </w:rPr>
        <w:t>7</w:t>
      </w:r>
      <w:r w:rsidRPr="000A46F0">
        <w:t>(47), 873–885. https://doi.org/10.1098/rsif.2009.0386</w:t>
      </w:r>
    </w:p>
    <w:p w14:paraId="7D76FF75" w14:textId="77777777" w:rsidR="000A46F0" w:rsidRPr="000A46F0" w:rsidRDefault="000A46F0" w:rsidP="000A46F0">
      <w:pPr>
        <w:pStyle w:val="Bibliography"/>
      </w:pPr>
      <w:r w:rsidRPr="000A46F0">
        <w:t xml:space="preserve">Dillon, W. W., &amp; Meentemeyer, R. K. (2019). Direct and indirect effects of forest microclimate on pathogen spillover. </w:t>
      </w:r>
      <w:r w:rsidRPr="000A46F0">
        <w:rPr>
          <w:i/>
          <w:iCs/>
        </w:rPr>
        <w:t>Ecology (Durham)</w:t>
      </w:r>
      <w:r w:rsidRPr="000A46F0">
        <w:t xml:space="preserve">, </w:t>
      </w:r>
      <w:r w:rsidRPr="000A46F0">
        <w:rPr>
          <w:i/>
          <w:iCs/>
        </w:rPr>
        <w:t>100</w:t>
      </w:r>
      <w:r w:rsidRPr="000A46F0">
        <w:t>(5), e02686-n/a. https://doi.org/10.1002/ecy.2686</w:t>
      </w:r>
    </w:p>
    <w:p w14:paraId="59332B41" w14:textId="77777777" w:rsidR="000A46F0" w:rsidRPr="000A46F0" w:rsidRDefault="000A46F0" w:rsidP="000A46F0">
      <w:pPr>
        <w:pStyle w:val="Bibliography"/>
      </w:pPr>
      <w:r w:rsidRPr="000A46F0">
        <w:t xml:space="preserve">Dobson, A. (2004). Population Dynamics of Pathogens with Multiple Host Species. </w:t>
      </w:r>
      <w:r w:rsidRPr="000A46F0">
        <w:rPr>
          <w:i/>
          <w:iCs/>
        </w:rPr>
        <w:t>The American Naturalist</w:t>
      </w:r>
      <w:r w:rsidRPr="000A46F0">
        <w:t xml:space="preserve">, </w:t>
      </w:r>
      <w:r w:rsidRPr="000A46F0">
        <w:rPr>
          <w:i/>
          <w:iCs/>
        </w:rPr>
        <w:t>164</w:t>
      </w:r>
      <w:r w:rsidRPr="000A46F0">
        <w:t>(S5), S64–S78. https://doi.org/10.1086/424681</w:t>
      </w:r>
    </w:p>
    <w:p w14:paraId="1B0F5147" w14:textId="77777777" w:rsidR="000A46F0" w:rsidRPr="000A46F0" w:rsidRDefault="000A46F0" w:rsidP="000A46F0">
      <w:pPr>
        <w:pStyle w:val="Bibliography"/>
      </w:pPr>
      <w:r w:rsidRPr="000A46F0">
        <w:t xml:space="preserve">Downs, C. J., Schoenle, L. A., Han, B. A., Harrison, J. F., &amp; Martin, L. B. (2019). Scaling of Host Competence. </w:t>
      </w:r>
      <w:r w:rsidRPr="000A46F0">
        <w:rPr>
          <w:i/>
          <w:iCs/>
        </w:rPr>
        <w:t>Trends in Parasitology</w:t>
      </w:r>
      <w:r w:rsidRPr="000A46F0">
        <w:t xml:space="preserve">, </w:t>
      </w:r>
      <w:r w:rsidRPr="000A46F0">
        <w:rPr>
          <w:i/>
          <w:iCs/>
        </w:rPr>
        <w:t>35</w:t>
      </w:r>
      <w:r w:rsidRPr="000A46F0">
        <w:t>(3), 182–192. https://doi.org/10.1016/j.pt.2018.12.002</w:t>
      </w:r>
    </w:p>
    <w:p w14:paraId="35ADE384" w14:textId="77777777" w:rsidR="000A46F0" w:rsidRPr="000A46F0" w:rsidRDefault="000A46F0" w:rsidP="000A46F0">
      <w:pPr>
        <w:pStyle w:val="Bibliography"/>
      </w:pPr>
      <w:r w:rsidRPr="000A46F0">
        <w:t xml:space="preserve">Eisenberg, M. C., Robertson, S. L., &amp; Tien, J. H. (2013). Identifiability and estimation of multiple transmission pathways in cholera and waterborne disease. </w:t>
      </w:r>
      <w:r w:rsidRPr="000A46F0">
        <w:rPr>
          <w:i/>
          <w:iCs/>
        </w:rPr>
        <w:t>Journal of Theoretical Biology</w:t>
      </w:r>
      <w:r w:rsidRPr="000A46F0">
        <w:t xml:space="preserve">, </w:t>
      </w:r>
      <w:r w:rsidRPr="000A46F0">
        <w:rPr>
          <w:i/>
          <w:iCs/>
        </w:rPr>
        <w:t>324</w:t>
      </w:r>
      <w:r w:rsidRPr="000A46F0">
        <w:t>, 84–102. https://doi.org/10.1016/j.jtbi.2012.12.021</w:t>
      </w:r>
    </w:p>
    <w:p w14:paraId="6AFE06CF" w14:textId="77777777" w:rsidR="000A46F0" w:rsidRPr="000A46F0" w:rsidRDefault="000A46F0" w:rsidP="000A46F0">
      <w:pPr>
        <w:pStyle w:val="Bibliography"/>
      </w:pPr>
      <w:r w:rsidRPr="000A46F0">
        <w:t xml:space="preserve">Fenton, A., Fairbairn, J. P., Norman, R., &amp; Hudson, P. J. (2002). Parasite transmission: Reconciling theory and reality. </w:t>
      </w:r>
      <w:r w:rsidRPr="000A46F0">
        <w:rPr>
          <w:i/>
          <w:iCs/>
        </w:rPr>
        <w:t>Journal of Animal Ecology</w:t>
      </w:r>
      <w:r w:rsidRPr="000A46F0">
        <w:t xml:space="preserve">, </w:t>
      </w:r>
      <w:r w:rsidRPr="000A46F0">
        <w:rPr>
          <w:i/>
          <w:iCs/>
        </w:rPr>
        <w:t>71</w:t>
      </w:r>
      <w:r w:rsidRPr="000A46F0">
        <w:t>(5), 893–905. https://doi.org/10.1046/j.1365-2656.2002.00656.x</w:t>
      </w:r>
    </w:p>
    <w:p w14:paraId="2E581475" w14:textId="77777777" w:rsidR="000A46F0" w:rsidRPr="000A46F0" w:rsidRDefault="000A46F0" w:rsidP="000A46F0">
      <w:pPr>
        <w:pStyle w:val="Bibliography"/>
      </w:pPr>
      <w:r w:rsidRPr="000A46F0">
        <w:t>Fountain</w:t>
      </w:r>
      <w:r w:rsidRPr="000A46F0">
        <w:rPr>
          <w:rFonts w:ascii="Cambria Math" w:hAnsi="Cambria Math" w:cs="Cambria Math"/>
        </w:rPr>
        <w:t>‐</w:t>
      </w:r>
      <w:r w:rsidRPr="000A46F0">
        <w:t>Jones, N. M., Pearse, W. D., Escobar, L. E., Alba</w:t>
      </w:r>
      <w:r w:rsidRPr="000A46F0">
        <w:rPr>
          <w:rFonts w:ascii="Cambria Math" w:hAnsi="Cambria Math" w:cs="Cambria Math"/>
        </w:rPr>
        <w:t>‐</w:t>
      </w:r>
      <w:r w:rsidRPr="000A46F0">
        <w:t>Casals, A., Carver, S., Davies, T. J., Kraberger, S., Papeş, M., Vandegrift, K., Worsley</w:t>
      </w:r>
      <w:r w:rsidRPr="000A46F0">
        <w:rPr>
          <w:rFonts w:ascii="Cambria Math" w:hAnsi="Cambria Math" w:cs="Cambria Math"/>
        </w:rPr>
        <w:t>‐</w:t>
      </w:r>
      <w:r w:rsidRPr="000A46F0">
        <w:t>Tonks, K., &amp; Craft, M. E. (2018). Towards an eco</w:t>
      </w:r>
      <w:r w:rsidRPr="000A46F0">
        <w:rPr>
          <w:rFonts w:ascii="Cambria Math" w:hAnsi="Cambria Math" w:cs="Cambria Math"/>
        </w:rPr>
        <w:t>‐</w:t>
      </w:r>
      <w:r w:rsidRPr="000A46F0">
        <w:t xml:space="preserve">phylogenetic framework for infectious disease ecology. </w:t>
      </w:r>
      <w:r w:rsidRPr="000A46F0">
        <w:rPr>
          <w:i/>
          <w:iCs/>
        </w:rPr>
        <w:t>Biological Reviews</w:t>
      </w:r>
      <w:r w:rsidRPr="000A46F0">
        <w:t xml:space="preserve">, </w:t>
      </w:r>
      <w:r w:rsidRPr="000A46F0">
        <w:rPr>
          <w:i/>
          <w:iCs/>
        </w:rPr>
        <w:t>93</w:t>
      </w:r>
      <w:r w:rsidRPr="000A46F0">
        <w:t>(2), 950–970. https://doi.org/10.1111/brv.12380</w:t>
      </w:r>
    </w:p>
    <w:p w14:paraId="04159D81" w14:textId="77777777" w:rsidR="000A46F0" w:rsidRPr="000A46F0" w:rsidRDefault="000A46F0" w:rsidP="000A46F0">
      <w:pPr>
        <w:pStyle w:val="Bibliography"/>
      </w:pPr>
      <w:r w:rsidRPr="000A46F0">
        <w:lastRenderedPageBreak/>
        <w:t xml:space="preserve">Gehman, A.-L. M., Hall, R. J., &amp; Byers, J. E. (2018). Host and parasite thermal ecology jointly determine the effect of climate warming on epidemic dynamics. </w:t>
      </w:r>
      <w:r w:rsidRPr="000A46F0">
        <w:rPr>
          <w:i/>
          <w:iCs/>
        </w:rPr>
        <w:t>Proceedings of the National Academy of Sciences</w:t>
      </w:r>
      <w:r w:rsidRPr="000A46F0">
        <w:t xml:space="preserve">, </w:t>
      </w:r>
      <w:r w:rsidRPr="000A46F0">
        <w:rPr>
          <w:i/>
          <w:iCs/>
        </w:rPr>
        <w:t>115</w:t>
      </w:r>
      <w:r w:rsidRPr="000A46F0">
        <w:t>(4), 744–749. https://doi.org/10.1073/pnas.1705067115</w:t>
      </w:r>
    </w:p>
    <w:p w14:paraId="4C481EE7" w14:textId="77777777" w:rsidR="000A46F0" w:rsidRPr="000A46F0" w:rsidRDefault="000A46F0" w:rsidP="000A46F0">
      <w:pPr>
        <w:pStyle w:val="Bibliography"/>
      </w:pPr>
      <w:r w:rsidRPr="000A46F0">
        <w:t xml:space="preserve">Gray, M. J., Miller, D. L., &amp; Hoverman, J. T. (2009). Ecology and pathology of amphibian ranaviruses. </w:t>
      </w:r>
      <w:r w:rsidRPr="000A46F0">
        <w:rPr>
          <w:i/>
          <w:iCs/>
        </w:rPr>
        <w:t>Diseases of Aquatic Organisms</w:t>
      </w:r>
      <w:r w:rsidRPr="000A46F0">
        <w:t xml:space="preserve">, </w:t>
      </w:r>
      <w:r w:rsidRPr="000A46F0">
        <w:rPr>
          <w:i/>
          <w:iCs/>
        </w:rPr>
        <w:t>87</w:t>
      </w:r>
      <w:r w:rsidRPr="000A46F0">
        <w:t>(3), 243–266. https://doi.org/10.3354/dao02138</w:t>
      </w:r>
    </w:p>
    <w:p w14:paraId="05D650E0" w14:textId="77777777" w:rsidR="000A46F0" w:rsidRPr="000A46F0" w:rsidRDefault="000A46F0" w:rsidP="000A46F0">
      <w:pPr>
        <w:pStyle w:val="Bibliography"/>
      </w:pPr>
      <w:r w:rsidRPr="000A46F0">
        <w:t xml:space="preserve">Hall, E. M., Goldberg, C. S., Brunner, J. L., &amp; Crespi, E. J. (2018). Seasonal dynamics and potential drivers of ranavirus epidemics in wood frog populations. </w:t>
      </w:r>
      <w:r w:rsidRPr="000A46F0">
        <w:rPr>
          <w:i/>
          <w:iCs/>
        </w:rPr>
        <w:t>Oecologia</w:t>
      </w:r>
      <w:r w:rsidRPr="000A46F0">
        <w:t xml:space="preserve">, </w:t>
      </w:r>
      <w:r w:rsidRPr="000A46F0">
        <w:rPr>
          <w:i/>
          <w:iCs/>
        </w:rPr>
        <w:t>188</w:t>
      </w:r>
      <w:r w:rsidRPr="000A46F0">
        <w:t>(4), 1253–1262. https://doi.org/10.1007/s00442-018-4274-4</w:t>
      </w:r>
    </w:p>
    <w:p w14:paraId="09E94365" w14:textId="77777777" w:rsidR="000A46F0" w:rsidRPr="000A46F0" w:rsidRDefault="000A46F0" w:rsidP="000A46F0">
      <w:pPr>
        <w:pStyle w:val="Bibliography"/>
      </w:pPr>
      <w:r w:rsidRPr="000A46F0">
        <w:t xml:space="preserve">Holt, R. D., Dobson, A. P., Begon, M., Bowers, R. G., &amp; Schauber, E. M. (2003). Parasite establishment in host communities. </w:t>
      </w:r>
      <w:r w:rsidRPr="000A46F0">
        <w:rPr>
          <w:i/>
          <w:iCs/>
        </w:rPr>
        <w:t>Ecology Letters</w:t>
      </w:r>
      <w:r w:rsidRPr="000A46F0">
        <w:t xml:space="preserve">, </w:t>
      </w:r>
      <w:r w:rsidRPr="000A46F0">
        <w:rPr>
          <w:i/>
          <w:iCs/>
        </w:rPr>
        <w:t>6</w:t>
      </w:r>
      <w:r w:rsidRPr="000A46F0">
        <w:t>(9), 837–842. https://doi.org/10.1046/j.1461-0248.2003.00501.x</w:t>
      </w:r>
    </w:p>
    <w:p w14:paraId="54CB3F00" w14:textId="77777777" w:rsidR="000A46F0" w:rsidRPr="000A46F0" w:rsidRDefault="000A46F0" w:rsidP="000A46F0">
      <w:pPr>
        <w:pStyle w:val="Bibliography"/>
      </w:pPr>
      <w:r w:rsidRPr="000A46F0">
        <w:t>Hopkins, S. R., Fleming</w:t>
      </w:r>
      <w:r w:rsidRPr="000A46F0">
        <w:rPr>
          <w:rFonts w:ascii="Cambria Math" w:hAnsi="Cambria Math" w:cs="Cambria Math"/>
        </w:rPr>
        <w:t>‐</w:t>
      </w:r>
      <w:r w:rsidRPr="000A46F0">
        <w:t xml:space="preserve">Davies, A. E., Belden, L. K., Wojdak, J. M., &amp; Golding, N. (2020). Systematic review of modelling assumptions and empirical evidence: Does parasite transmission increase nonlinearly with host density? </w:t>
      </w:r>
      <w:r w:rsidRPr="000A46F0">
        <w:rPr>
          <w:i/>
          <w:iCs/>
        </w:rPr>
        <w:t>Methods in Ecology and Evolution</w:t>
      </w:r>
      <w:r w:rsidRPr="000A46F0">
        <w:t xml:space="preserve">, </w:t>
      </w:r>
      <w:r w:rsidRPr="000A46F0">
        <w:rPr>
          <w:i/>
          <w:iCs/>
        </w:rPr>
        <w:t>11</w:t>
      </w:r>
      <w:r w:rsidRPr="000A46F0">
        <w:t>(4), 476–486. https://doi.org/10.1111/2041-210X.13361</w:t>
      </w:r>
    </w:p>
    <w:p w14:paraId="143CBD84" w14:textId="77777777" w:rsidR="000A46F0" w:rsidRPr="000A46F0" w:rsidRDefault="000A46F0" w:rsidP="000A46F0">
      <w:pPr>
        <w:pStyle w:val="Bibliography"/>
      </w:pPr>
      <w:r w:rsidRPr="000A46F0">
        <w:t xml:space="preserve">Johnson, A. F., &amp; Brunner, J. L. (2014). Persistence of an amphibian ranavirus in aquatic communities. </w:t>
      </w:r>
      <w:r w:rsidRPr="000A46F0">
        <w:rPr>
          <w:i/>
          <w:iCs/>
        </w:rPr>
        <w:t>Diseases of Aquatic Organisms</w:t>
      </w:r>
      <w:r w:rsidRPr="000A46F0">
        <w:t xml:space="preserve">, </w:t>
      </w:r>
      <w:r w:rsidRPr="000A46F0">
        <w:rPr>
          <w:i/>
          <w:iCs/>
        </w:rPr>
        <w:t>111</w:t>
      </w:r>
      <w:r w:rsidRPr="000A46F0">
        <w:t>(2), 129–138. https://doi.org/10.3354/dao02774</w:t>
      </w:r>
    </w:p>
    <w:p w14:paraId="793F349C" w14:textId="77777777" w:rsidR="000A46F0" w:rsidRPr="000A46F0" w:rsidRDefault="000A46F0" w:rsidP="000A46F0">
      <w:pPr>
        <w:pStyle w:val="Bibliography"/>
      </w:pPr>
      <w:r w:rsidRPr="000A46F0">
        <w:t xml:space="preserve">Johnson, P. T. J., Ostfeld, R. S., &amp; Keesing, F. (2015). Frontiers in research on biodiversity and disease. </w:t>
      </w:r>
      <w:r w:rsidRPr="000A46F0">
        <w:rPr>
          <w:i/>
          <w:iCs/>
        </w:rPr>
        <w:t>Ecology Letters</w:t>
      </w:r>
      <w:r w:rsidRPr="000A46F0">
        <w:t>. https://doi.org/10.1111/ele.12479</w:t>
      </w:r>
    </w:p>
    <w:p w14:paraId="08D245B4" w14:textId="77777777" w:rsidR="000A46F0" w:rsidRPr="000A46F0" w:rsidRDefault="000A46F0" w:rsidP="000A46F0">
      <w:pPr>
        <w:pStyle w:val="Bibliography"/>
      </w:pPr>
      <w:r w:rsidRPr="000A46F0">
        <w:t xml:space="preserve">Johnson, P. T. J., Preston, D. L., Hoverman, J. T., &amp; Richgels, K. L. D. (2013). Biodiversity decreases disease through predictable changes in host community competence. </w:t>
      </w:r>
      <w:r w:rsidRPr="000A46F0">
        <w:rPr>
          <w:i/>
          <w:iCs/>
        </w:rPr>
        <w:t>Nature</w:t>
      </w:r>
      <w:r w:rsidRPr="000A46F0">
        <w:t>. https://doi.org/10.1038/nature11883</w:t>
      </w:r>
    </w:p>
    <w:p w14:paraId="05C8B5A1" w14:textId="77777777" w:rsidR="000A46F0" w:rsidRPr="000A46F0" w:rsidRDefault="000A46F0" w:rsidP="000A46F0">
      <w:pPr>
        <w:pStyle w:val="Bibliography"/>
      </w:pPr>
      <w:r w:rsidRPr="000A46F0">
        <w:lastRenderedPageBreak/>
        <w:t xml:space="preserve">Lesbarrères, D., Balseiro, A., Brunner, J., Chinchar, V. G., Duffus, A., Kerby, J., Miller, D. L., Robert, J., Schock, D. M., Waltzek, T., &amp; Gray, M. J. (2012). Ranavirus: Past, present and future. </w:t>
      </w:r>
      <w:r w:rsidRPr="000A46F0">
        <w:rPr>
          <w:i/>
          <w:iCs/>
        </w:rPr>
        <w:t>Biology Letters</w:t>
      </w:r>
      <w:r w:rsidRPr="000A46F0">
        <w:t xml:space="preserve">, </w:t>
      </w:r>
      <w:r w:rsidRPr="000A46F0">
        <w:rPr>
          <w:i/>
          <w:iCs/>
        </w:rPr>
        <w:t>8</w:t>
      </w:r>
      <w:r w:rsidRPr="000A46F0">
        <w:t>(4), 481–483. https://doi.org/10.1098/rsbl.2011.0951</w:t>
      </w:r>
    </w:p>
    <w:p w14:paraId="7FEC8D8B" w14:textId="77777777" w:rsidR="000A46F0" w:rsidRPr="000A46F0" w:rsidRDefault="000A46F0" w:rsidP="000A46F0">
      <w:pPr>
        <w:pStyle w:val="Bibliography"/>
      </w:pPr>
      <w:r w:rsidRPr="000A46F0">
        <w:t xml:space="preserve">Love, C., Winzeler, M., Beasley, R., Scott, D., Nunziata, S., &amp; Lance, S. (2016). Patterns of amphibian infection prevalence across wetlands on the Savannah River Site, South Carolina, USA. </w:t>
      </w:r>
      <w:r w:rsidRPr="000A46F0">
        <w:rPr>
          <w:i/>
          <w:iCs/>
        </w:rPr>
        <w:t>Diseases of Aquatic Organisms</w:t>
      </w:r>
      <w:r w:rsidRPr="000A46F0">
        <w:t xml:space="preserve">, </w:t>
      </w:r>
      <w:r w:rsidRPr="000A46F0">
        <w:rPr>
          <w:i/>
          <w:iCs/>
        </w:rPr>
        <w:t>121</w:t>
      </w:r>
      <w:r w:rsidRPr="000A46F0">
        <w:t>(1), 1–14. https://doi.org/10.3354/dao03039</w:t>
      </w:r>
    </w:p>
    <w:p w14:paraId="30FF0635" w14:textId="77777777" w:rsidR="000A46F0" w:rsidRPr="000A46F0" w:rsidRDefault="000A46F0" w:rsidP="000A46F0">
      <w:pPr>
        <w:pStyle w:val="Bibliography"/>
      </w:pPr>
      <w:r w:rsidRPr="000A46F0">
        <w:t xml:space="preserve">Majewska, A. A., Sims, S., Schneider, A., Altizer, S., &amp; Hall, R. J. (2019). Multiple transmission routes sustain high prevalence of a virulent parasite in a butterfly host. </w:t>
      </w:r>
      <w:r w:rsidRPr="000A46F0">
        <w:rPr>
          <w:i/>
          <w:iCs/>
        </w:rPr>
        <w:t>Proceedings of the Royal Society B: Biological Sciences</w:t>
      </w:r>
      <w:r w:rsidRPr="000A46F0">
        <w:t xml:space="preserve">, </w:t>
      </w:r>
      <w:r w:rsidRPr="000A46F0">
        <w:rPr>
          <w:i/>
          <w:iCs/>
        </w:rPr>
        <w:t>286</w:t>
      </w:r>
      <w:r w:rsidRPr="000A46F0">
        <w:t>(1910), 20191630. https://doi.org/10.1098/rspb.2019.1630</w:t>
      </w:r>
    </w:p>
    <w:p w14:paraId="429DEAB5" w14:textId="77777777" w:rsidR="000A46F0" w:rsidRPr="000A46F0" w:rsidRDefault="000A46F0" w:rsidP="000A46F0">
      <w:pPr>
        <w:pStyle w:val="Bibliography"/>
      </w:pPr>
      <w:r w:rsidRPr="000A46F0">
        <w:t xml:space="preserve">Martin, L. B., Burgan, S. C., Adelman, J. S., &amp; Gervasi, S. S. (2016). Host Competence: An Organismal Trait to Integrate Immunology and Epidemiology. </w:t>
      </w:r>
      <w:r w:rsidRPr="000A46F0">
        <w:rPr>
          <w:i/>
          <w:iCs/>
        </w:rPr>
        <w:t>Integrative and Comparative Biology</w:t>
      </w:r>
      <w:r w:rsidRPr="000A46F0">
        <w:t xml:space="preserve">, </w:t>
      </w:r>
      <w:r w:rsidRPr="000A46F0">
        <w:rPr>
          <w:i/>
          <w:iCs/>
        </w:rPr>
        <w:t>56</w:t>
      </w:r>
      <w:r w:rsidRPr="000A46F0">
        <w:t>(6), 1225–1237. https://doi.org/10.1093/icb/icw064</w:t>
      </w:r>
    </w:p>
    <w:p w14:paraId="3F41F839" w14:textId="77777777" w:rsidR="000A46F0" w:rsidRPr="000A46F0" w:rsidRDefault="000A46F0" w:rsidP="000A46F0">
      <w:pPr>
        <w:pStyle w:val="Bibliography"/>
      </w:pPr>
      <w:r w:rsidRPr="000A46F0">
        <w:t xml:space="preserve">Merrill, T. E. S., &amp; Johnson, P. T. J. (2020). Towards a mechanistic understanding of competence: A missing link in diversity-disease research. </w:t>
      </w:r>
      <w:r w:rsidRPr="000A46F0">
        <w:rPr>
          <w:i/>
          <w:iCs/>
        </w:rPr>
        <w:t>Review</w:t>
      </w:r>
      <w:r w:rsidRPr="000A46F0">
        <w:t>.</w:t>
      </w:r>
    </w:p>
    <w:p w14:paraId="60DC6DB5" w14:textId="77777777" w:rsidR="000A46F0" w:rsidRPr="000A46F0" w:rsidRDefault="000A46F0" w:rsidP="000A46F0">
      <w:pPr>
        <w:pStyle w:val="Bibliography"/>
      </w:pPr>
      <w:r w:rsidRPr="000A46F0">
        <w:t xml:space="preserve">Miller, D., Gray, M., &amp; Storfer, A. (2011). Ecopathology of Ranaviruses Infecting Amphibians. </w:t>
      </w:r>
      <w:r w:rsidRPr="000A46F0">
        <w:rPr>
          <w:i/>
          <w:iCs/>
        </w:rPr>
        <w:t>Viruses</w:t>
      </w:r>
      <w:r w:rsidRPr="000A46F0">
        <w:t xml:space="preserve">, </w:t>
      </w:r>
      <w:r w:rsidRPr="000A46F0">
        <w:rPr>
          <w:i/>
          <w:iCs/>
        </w:rPr>
        <w:t>3</w:t>
      </w:r>
      <w:r w:rsidRPr="000A46F0">
        <w:t>(11), 2351–2373. https://doi.org/10.3390/v3112351</w:t>
      </w:r>
    </w:p>
    <w:p w14:paraId="0369B224" w14:textId="77777777" w:rsidR="000A46F0" w:rsidRPr="000A46F0" w:rsidRDefault="000A46F0" w:rsidP="000A46F0">
      <w:pPr>
        <w:pStyle w:val="Bibliography"/>
      </w:pPr>
      <w:r w:rsidRPr="000A46F0">
        <w:t xml:space="preserve">Nazir, J., Spengler, M., &amp; Marschang, R. E. (2012). Environmental persistence of amphibian and reptilian ranaviruses. </w:t>
      </w:r>
      <w:r w:rsidRPr="000A46F0">
        <w:rPr>
          <w:i/>
          <w:iCs/>
        </w:rPr>
        <w:t>Diseases of Aquatic Organisms</w:t>
      </w:r>
      <w:r w:rsidRPr="000A46F0">
        <w:t xml:space="preserve">, </w:t>
      </w:r>
      <w:r w:rsidRPr="000A46F0">
        <w:rPr>
          <w:i/>
          <w:iCs/>
        </w:rPr>
        <w:t>98</w:t>
      </w:r>
      <w:r w:rsidRPr="000A46F0">
        <w:t>(3), 177–184. https://doi.org/10.3354/dao02443</w:t>
      </w:r>
    </w:p>
    <w:p w14:paraId="08E3CC73" w14:textId="77777777" w:rsidR="000A46F0" w:rsidRPr="000A46F0" w:rsidRDefault="000A46F0" w:rsidP="000A46F0">
      <w:pPr>
        <w:pStyle w:val="Bibliography"/>
      </w:pPr>
      <w:r w:rsidRPr="000A46F0">
        <w:t xml:space="preserve">Ostfeld, R. S., Levi, T., Jolles, A. E., Martin, L. B., Hosseini, P. R., &amp; Keesing, F. (2014). Life History and Demographic Drivers of Reservoir Competence for Three Tick-Borne Zoonotic Pathogens. </w:t>
      </w:r>
      <w:r w:rsidRPr="000A46F0">
        <w:rPr>
          <w:i/>
          <w:iCs/>
        </w:rPr>
        <w:t>PLoS ONE</w:t>
      </w:r>
      <w:r w:rsidRPr="000A46F0">
        <w:t xml:space="preserve">, </w:t>
      </w:r>
      <w:r w:rsidRPr="000A46F0">
        <w:rPr>
          <w:i/>
          <w:iCs/>
        </w:rPr>
        <w:t>9</w:t>
      </w:r>
      <w:r w:rsidRPr="000A46F0">
        <w:t>(9), e107387. https://doi.org/10.1371/journal.pone.0107387</w:t>
      </w:r>
    </w:p>
    <w:p w14:paraId="26270230" w14:textId="77777777" w:rsidR="000A46F0" w:rsidRPr="000A46F0" w:rsidRDefault="000A46F0" w:rsidP="000A46F0">
      <w:pPr>
        <w:pStyle w:val="Bibliography"/>
      </w:pPr>
      <w:r w:rsidRPr="000A46F0">
        <w:lastRenderedPageBreak/>
        <w:t xml:space="preserve">Ostfeld, R. S., Myers, S. S., Jolles, A., Holt, R. D., Jones, K. E., Hudson, P., Dobson, A., Harvell, C. D., Keesing, F., Belden, L. K., Bogich, T., Daszak, P., &amp; Mitchell, C. E. (2010). Impacts of biodiversity on the emergence and transmission of infectious diseases. </w:t>
      </w:r>
      <w:r w:rsidRPr="000A46F0">
        <w:rPr>
          <w:i/>
          <w:iCs/>
        </w:rPr>
        <w:t>Nature (London)</w:t>
      </w:r>
      <w:r w:rsidRPr="000A46F0">
        <w:t xml:space="preserve">, </w:t>
      </w:r>
      <w:r w:rsidRPr="000A46F0">
        <w:rPr>
          <w:i/>
          <w:iCs/>
        </w:rPr>
        <w:t>468</w:t>
      </w:r>
      <w:r w:rsidRPr="000A46F0">
        <w:t>(7324), 647–652. https://doi.org/10.1038/nature09575</w:t>
      </w:r>
    </w:p>
    <w:p w14:paraId="418BBDEF" w14:textId="77777777" w:rsidR="000A46F0" w:rsidRPr="000A46F0" w:rsidRDefault="000A46F0" w:rsidP="000A46F0">
      <w:pPr>
        <w:pStyle w:val="Bibliography"/>
      </w:pPr>
      <w:r w:rsidRPr="000A46F0">
        <w:t xml:space="preserve">Patterson, J. E. H., &amp; Ruckstuhl, K. E. (2013). Parasite infection and host group size: A meta-analytical review. </w:t>
      </w:r>
      <w:r w:rsidRPr="000A46F0">
        <w:rPr>
          <w:i/>
          <w:iCs/>
        </w:rPr>
        <w:t>Parasitology</w:t>
      </w:r>
      <w:r w:rsidRPr="000A46F0">
        <w:t xml:space="preserve">, </w:t>
      </w:r>
      <w:r w:rsidRPr="000A46F0">
        <w:rPr>
          <w:i/>
          <w:iCs/>
        </w:rPr>
        <w:t>140</w:t>
      </w:r>
      <w:r w:rsidRPr="000A46F0">
        <w:t>(7), 803–813.</w:t>
      </w:r>
    </w:p>
    <w:p w14:paraId="29025324" w14:textId="77777777" w:rsidR="000A46F0" w:rsidRPr="000A46F0" w:rsidRDefault="000A46F0" w:rsidP="000A46F0">
      <w:pPr>
        <w:pStyle w:val="Bibliography"/>
      </w:pPr>
      <w:r w:rsidRPr="000A46F0">
        <w:t xml:space="preserve">Price, S. J., Leung, W. T. M., Owen, C. J., Puschendorf, R., Sergeant, C., Cunningham, A. A., Balloux, F., Garner, T. W. J., &amp; Nichols, R. A. (2019). Effects of historic and projected climate change on the range and impacts of an emerging wildlife disease. </w:t>
      </w:r>
      <w:r w:rsidRPr="000A46F0">
        <w:rPr>
          <w:i/>
          <w:iCs/>
        </w:rPr>
        <w:t>Global Change Biology</w:t>
      </w:r>
      <w:r w:rsidRPr="000A46F0">
        <w:t xml:space="preserve">, </w:t>
      </w:r>
      <w:r w:rsidRPr="000A46F0">
        <w:rPr>
          <w:i/>
          <w:iCs/>
        </w:rPr>
        <w:t>25</w:t>
      </w:r>
      <w:r w:rsidRPr="000A46F0">
        <w:t>(8), 2648–2660. https://doi.org/10.1111/gcb.14651</w:t>
      </w:r>
    </w:p>
    <w:p w14:paraId="593C5355" w14:textId="77777777" w:rsidR="000A46F0" w:rsidRPr="000A46F0" w:rsidRDefault="000A46F0" w:rsidP="000A46F0">
      <w:pPr>
        <w:pStyle w:val="Bibliography"/>
      </w:pPr>
      <w:r w:rsidRPr="000A46F0">
        <w:t xml:space="preserve">Roche, B., Dobson, A. P., Guégan, J.-F., &amp; Rohani, P. (2012). Linking community and disease ecology: The impact of biodiversity on pathogen transmission. </w:t>
      </w:r>
      <w:r w:rsidRPr="000A46F0">
        <w:rPr>
          <w:i/>
          <w:iCs/>
        </w:rPr>
        <w:t>Philosophical Transactions of the Royal Society B: Biological Sciences</w:t>
      </w:r>
      <w:r w:rsidRPr="000A46F0">
        <w:t xml:space="preserve">, </w:t>
      </w:r>
      <w:r w:rsidRPr="000A46F0">
        <w:rPr>
          <w:i/>
          <w:iCs/>
        </w:rPr>
        <w:t>367</w:t>
      </w:r>
      <w:r w:rsidRPr="000A46F0">
        <w:t>(1604), 2807–2813. https://doi.org/10.1098/rstb.2011.0364</w:t>
      </w:r>
    </w:p>
    <w:p w14:paraId="7A55DA1D" w14:textId="77777777" w:rsidR="000A46F0" w:rsidRPr="000A46F0" w:rsidRDefault="000A46F0" w:rsidP="000A46F0">
      <w:pPr>
        <w:pStyle w:val="Bibliography"/>
      </w:pPr>
      <w:r w:rsidRPr="000A46F0">
        <w:t xml:space="preserve">Rohani, P., Breban, R., Stallknecht, D. E., &amp; Drake, J. M. (2009). Environmental transmission of low pathogenicity avian influenza viruses and its implications for pathogen invasion. </w:t>
      </w:r>
      <w:r w:rsidRPr="000A46F0">
        <w:rPr>
          <w:i/>
          <w:iCs/>
        </w:rPr>
        <w:t>Proceedings of the National Academy of Sciences of the United States of America</w:t>
      </w:r>
      <w:r w:rsidRPr="000A46F0">
        <w:t>. https://doi.org/10.1073/pnas.0809026106</w:t>
      </w:r>
    </w:p>
    <w:p w14:paraId="4A9D7C80" w14:textId="77777777" w:rsidR="000A46F0" w:rsidRPr="000A46F0" w:rsidRDefault="000A46F0" w:rsidP="000A46F0">
      <w:pPr>
        <w:pStyle w:val="Bibliography"/>
      </w:pPr>
      <w:r w:rsidRPr="000A46F0">
        <w:t xml:space="preserve">Rohr, J. R., Civitello, D. J., Halliday, F. W., Hudson, P. J., Lafferty, K. D., Wood, C. L., &amp; Mordecai, E. A. (2019). Towards common ground in the biodiversity–disease debate. </w:t>
      </w:r>
      <w:r w:rsidRPr="000A46F0">
        <w:rPr>
          <w:i/>
          <w:iCs/>
        </w:rPr>
        <w:t>Nature Ecology &amp; Evolution</w:t>
      </w:r>
      <w:r w:rsidRPr="000A46F0">
        <w:t xml:space="preserve">, </w:t>
      </w:r>
      <w:r w:rsidRPr="000A46F0">
        <w:rPr>
          <w:i/>
          <w:iCs/>
        </w:rPr>
        <w:t>4</w:t>
      </w:r>
      <w:r w:rsidRPr="000A46F0">
        <w:t>(1), 24–33. https://doi.org/10.1038/s41559-019-1060-6</w:t>
      </w:r>
    </w:p>
    <w:p w14:paraId="16BE1EFB" w14:textId="77777777" w:rsidR="000A46F0" w:rsidRPr="000A46F0" w:rsidRDefault="000A46F0" w:rsidP="000A46F0">
      <w:pPr>
        <w:pStyle w:val="Bibliography"/>
      </w:pPr>
      <w:r w:rsidRPr="000A46F0">
        <w:t xml:space="preserve">Rudolf, V. H. W. (2019). The role of seasonal timing and phenological shifts for species coexistence. </w:t>
      </w:r>
      <w:r w:rsidRPr="000A46F0">
        <w:rPr>
          <w:i/>
          <w:iCs/>
        </w:rPr>
        <w:t>Ecology Letters</w:t>
      </w:r>
      <w:r w:rsidRPr="000A46F0">
        <w:t>, ele.13277. https://doi.org/10.1111/ele.13277</w:t>
      </w:r>
    </w:p>
    <w:p w14:paraId="16B74CEA" w14:textId="77777777" w:rsidR="000A46F0" w:rsidRPr="000A46F0" w:rsidRDefault="000A46F0" w:rsidP="000A46F0">
      <w:pPr>
        <w:pStyle w:val="Bibliography"/>
      </w:pPr>
      <w:r w:rsidRPr="000A46F0">
        <w:t xml:space="preserve">Sage, M. J. L., Towey, B. D., Brunner, J. L., &amp; Hawley, D. (2019). Do scavengers prevent or promote disease transmission? The effect of invertebrate scavenging on Ranavirus </w:t>
      </w:r>
      <w:r w:rsidRPr="000A46F0">
        <w:lastRenderedPageBreak/>
        <w:t xml:space="preserve">transmission. </w:t>
      </w:r>
      <w:r w:rsidRPr="000A46F0">
        <w:rPr>
          <w:i/>
          <w:iCs/>
        </w:rPr>
        <w:t>Functional Ecology</w:t>
      </w:r>
      <w:r w:rsidRPr="000A46F0">
        <w:t xml:space="preserve">, </w:t>
      </w:r>
      <w:r w:rsidRPr="000A46F0">
        <w:rPr>
          <w:i/>
          <w:iCs/>
        </w:rPr>
        <w:t>33</w:t>
      </w:r>
      <w:r w:rsidRPr="000A46F0">
        <w:t>(7), 1342–1350. https://doi.org/10.1111/1365-2435.13335</w:t>
      </w:r>
    </w:p>
    <w:p w14:paraId="110E7CA9" w14:textId="77777777" w:rsidR="000A46F0" w:rsidRPr="000A46F0" w:rsidRDefault="000A46F0" w:rsidP="000A46F0">
      <w:pPr>
        <w:pStyle w:val="Bibliography"/>
      </w:pPr>
      <w:r w:rsidRPr="000A46F0">
        <w:t xml:space="preserve">Savage, V. M., Gillooly, J. F., Brown, J. H., West, G. B., &amp; Charnov, E. L. (2004). Effects of Body Size and Temperature on Population Growth. </w:t>
      </w:r>
      <w:r w:rsidRPr="000A46F0">
        <w:rPr>
          <w:i/>
          <w:iCs/>
        </w:rPr>
        <w:t>The American Naturalist</w:t>
      </w:r>
      <w:r w:rsidRPr="000A46F0">
        <w:t xml:space="preserve">, </w:t>
      </w:r>
      <w:r w:rsidRPr="000A46F0">
        <w:rPr>
          <w:i/>
          <w:iCs/>
        </w:rPr>
        <w:t>163</w:t>
      </w:r>
      <w:r w:rsidRPr="000A46F0">
        <w:t>(3), 429–441. https://doi.org/10.1086/381872</w:t>
      </w:r>
    </w:p>
    <w:p w14:paraId="73D11617" w14:textId="77777777" w:rsidR="000A46F0" w:rsidRPr="000A46F0" w:rsidRDefault="000A46F0" w:rsidP="000A46F0">
      <w:pPr>
        <w:pStyle w:val="Bibliography"/>
      </w:pPr>
      <w:r w:rsidRPr="000A46F0">
        <w:t>Shaw, K. E., &amp; Civitello, D. J. (2021). Re</w:t>
      </w:r>
      <w:r w:rsidRPr="000A46F0">
        <w:rPr>
          <w:rFonts w:ascii="Cambria Math" w:hAnsi="Cambria Math" w:cs="Cambria Math"/>
        </w:rPr>
        <w:t>‐</w:t>
      </w:r>
      <w:r w:rsidRPr="000A46F0">
        <w:t xml:space="preserve">emphasizing mechanism in the community ecology of disease. </w:t>
      </w:r>
      <w:r w:rsidRPr="000A46F0">
        <w:rPr>
          <w:i/>
          <w:iCs/>
        </w:rPr>
        <w:t>Functional Ecology</w:t>
      </w:r>
      <w:r w:rsidRPr="000A46F0">
        <w:t xml:space="preserve">, </w:t>
      </w:r>
      <w:r w:rsidRPr="000A46F0">
        <w:rPr>
          <w:i/>
          <w:iCs/>
        </w:rPr>
        <w:t>35</w:t>
      </w:r>
      <w:r w:rsidRPr="000A46F0">
        <w:t>(11), 2376–2386. https://doi.org/10.1111/1365-2435.13892</w:t>
      </w:r>
    </w:p>
    <w:p w14:paraId="37496120" w14:textId="77777777" w:rsidR="000A46F0" w:rsidRPr="000A46F0" w:rsidRDefault="000A46F0" w:rsidP="000A46F0">
      <w:pPr>
        <w:pStyle w:val="Bibliography"/>
      </w:pPr>
      <w:r w:rsidRPr="000A46F0">
        <w:t xml:space="preserve">Sibly, R. M., &amp; Hone, J. (2002). Population growth rate and its determinants: An overview. </w:t>
      </w:r>
      <w:r w:rsidRPr="000A46F0">
        <w:rPr>
          <w:i/>
          <w:iCs/>
        </w:rPr>
        <w:t>Philosophical Transactions of the Royal Society of London. Series B: Biological Sciences</w:t>
      </w:r>
      <w:r w:rsidRPr="000A46F0">
        <w:t xml:space="preserve">, </w:t>
      </w:r>
      <w:r w:rsidRPr="000A46F0">
        <w:rPr>
          <w:i/>
          <w:iCs/>
        </w:rPr>
        <w:t>357</w:t>
      </w:r>
      <w:r w:rsidRPr="000A46F0">
        <w:t>(1425), 1153–1170. https://doi.org/10.1098/rstb.2002.1117</w:t>
      </w:r>
    </w:p>
    <w:p w14:paraId="151FCA57" w14:textId="77777777" w:rsidR="000A46F0" w:rsidRPr="000A46F0" w:rsidRDefault="000A46F0" w:rsidP="000A46F0">
      <w:pPr>
        <w:pStyle w:val="Bibliography"/>
      </w:pPr>
      <w:r w:rsidRPr="000A46F0">
        <w:t xml:space="preserve">Snyder, P. W., Ramsay, C. T., Harjoe, C. C., Khazan, E. S., Briggs, C. J., Hoverman, J. T., Johnson, P. T. J., Preston, D., Rohr, J. R., &amp; Blaustein, A. R. (2023). Experimental evidence that host species composition alters host–pathogen dynamics in a ranavirus–amphibian assemblage. </w:t>
      </w:r>
      <w:r w:rsidRPr="000A46F0">
        <w:rPr>
          <w:i/>
          <w:iCs/>
        </w:rPr>
        <w:t>Ecology</w:t>
      </w:r>
      <w:r w:rsidRPr="000A46F0">
        <w:t xml:space="preserve">, </w:t>
      </w:r>
      <w:r w:rsidRPr="000A46F0">
        <w:rPr>
          <w:i/>
          <w:iCs/>
        </w:rPr>
        <w:t>104</w:t>
      </w:r>
      <w:r w:rsidRPr="000A46F0">
        <w:t>(2). https://doi.org/10.1002/ecy.3885</w:t>
      </w:r>
    </w:p>
    <w:p w14:paraId="7FA22A8B" w14:textId="77777777" w:rsidR="000A46F0" w:rsidRPr="000A46F0" w:rsidRDefault="000A46F0" w:rsidP="000A46F0">
      <w:pPr>
        <w:pStyle w:val="Bibliography"/>
      </w:pPr>
      <w:r w:rsidRPr="000A46F0">
        <w:t xml:space="preserve">Sooryanarain, H., &amp; Elankumaran, S. (2015). Environmental Role in Influenza Virus Outbreaks. </w:t>
      </w:r>
      <w:r w:rsidRPr="000A46F0">
        <w:rPr>
          <w:i/>
          <w:iCs/>
        </w:rPr>
        <w:t>Annual Review of Animal Biosciences</w:t>
      </w:r>
      <w:r w:rsidRPr="000A46F0">
        <w:t xml:space="preserve">, </w:t>
      </w:r>
      <w:r w:rsidRPr="000A46F0">
        <w:rPr>
          <w:i/>
          <w:iCs/>
        </w:rPr>
        <w:t>3</w:t>
      </w:r>
      <w:r w:rsidRPr="000A46F0">
        <w:t>(1), 347–373. https://doi.org/10.1146/annurev-animal-022114-111017</w:t>
      </w:r>
    </w:p>
    <w:p w14:paraId="0B470684" w14:textId="77777777" w:rsidR="000A46F0" w:rsidRPr="000A46F0" w:rsidRDefault="000A46F0" w:rsidP="000A46F0">
      <w:pPr>
        <w:pStyle w:val="Bibliography"/>
      </w:pPr>
      <w:r w:rsidRPr="000A46F0">
        <w:t xml:space="preserve">Streicker, D. G., Fenton, A., &amp; Pedersen, A. B. (2013). Differential sources of host species heterogeneity influence the transmission and control of multihost parasites. </w:t>
      </w:r>
      <w:r w:rsidRPr="000A46F0">
        <w:rPr>
          <w:i/>
          <w:iCs/>
        </w:rPr>
        <w:t>Ecology Letters</w:t>
      </w:r>
      <w:r w:rsidRPr="000A46F0">
        <w:t xml:space="preserve">, </w:t>
      </w:r>
      <w:r w:rsidRPr="000A46F0">
        <w:rPr>
          <w:i/>
          <w:iCs/>
        </w:rPr>
        <w:t>16</w:t>
      </w:r>
      <w:r w:rsidRPr="000A46F0">
        <w:t>(8), 975–984. https://doi.org/10.1111/ele.12122</w:t>
      </w:r>
    </w:p>
    <w:p w14:paraId="3ED1BEB5" w14:textId="77777777" w:rsidR="000A46F0" w:rsidRPr="000A46F0" w:rsidRDefault="000A46F0" w:rsidP="000A46F0">
      <w:pPr>
        <w:pStyle w:val="Bibliography"/>
      </w:pPr>
      <w:r w:rsidRPr="000A46F0">
        <w:t>Tornabene, B. J., Blaustein, A. R., Briggs, C. J., Calhoun, D. M., Johnson, P. T. J., McDevitt</w:t>
      </w:r>
      <w:r w:rsidRPr="000A46F0">
        <w:rPr>
          <w:rFonts w:ascii="Cambria Math" w:hAnsi="Cambria Math" w:cs="Cambria Math"/>
        </w:rPr>
        <w:t>‐</w:t>
      </w:r>
      <w:r w:rsidRPr="000A46F0">
        <w:t xml:space="preserve">Galles, T., Rohr, J. R., &amp; Hoverman, J. T. (2018). The influence of landscape and environmental factors on ranavirus epidemiology in a California amphibian assemblage. </w:t>
      </w:r>
      <w:r w:rsidRPr="000A46F0">
        <w:rPr>
          <w:i/>
          <w:iCs/>
        </w:rPr>
        <w:t>Freshwater Biology</w:t>
      </w:r>
      <w:r w:rsidRPr="000A46F0">
        <w:t xml:space="preserve">, </w:t>
      </w:r>
      <w:r w:rsidRPr="000A46F0">
        <w:rPr>
          <w:i/>
          <w:iCs/>
        </w:rPr>
        <w:t>63</w:t>
      </w:r>
      <w:r w:rsidRPr="000A46F0">
        <w:t>(7), 639–651. https://doi.org/10.1111/fwb.13100</w:t>
      </w:r>
    </w:p>
    <w:p w14:paraId="0F8E0DE8" w14:textId="77777777" w:rsidR="000A46F0" w:rsidRPr="000A46F0" w:rsidRDefault="000A46F0" w:rsidP="000A46F0">
      <w:pPr>
        <w:pStyle w:val="Bibliography"/>
      </w:pPr>
      <w:r w:rsidRPr="000A46F0">
        <w:lastRenderedPageBreak/>
        <w:t>Valenzuela</w:t>
      </w:r>
      <w:r w:rsidRPr="000A46F0">
        <w:rPr>
          <w:rFonts w:ascii="Cambria Math" w:hAnsi="Cambria Math" w:cs="Cambria Math"/>
        </w:rPr>
        <w:t>‐</w:t>
      </w:r>
      <w:r w:rsidRPr="000A46F0">
        <w:t>Sánchez, A., Wilber, M. Q., Canessa, S., Bacigalupe, L. D., Muths, E., Schmidt, B. R., Cunningham, A. A., Ozgul, A., Johnson, P. T. J., Cayuela, H., &amp; Hodgson, D. (2021). Why disease ecology needs life</w:t>
      </w:r>
      <w:r w:rsidRPr="000A46F0">
        <w:rPr>
          <w:rFonts w:ascii="Cambria Math" w:hAnsi="Cambria Math" w:cs="Cambria Math"/>
        </w:rPr>
        <w:t>‐</w:t>
      </w:r>
      <w:r w:rsidRPr="000A46F0">
        <w:t xml:space="preserve">history theory: A host perspective. </w:t>
      </w:r>
      <w:r w:rsidRPr="000A46F0">
        <w:rPr>
          <w:i/>
          <w:iCs/>
        </w:rPr>
        <w:t>Ecology Letters</w:t>
      </w:r>
      <w:r w:rsidRPr="000A46F0">
        <w:t xml:space="preserve">, </w:t>
      </w:r>
      <w:r w:rsidRPr="000A46F0">
        <w:rPr>
          <w:i/>
          <w:iCs/>
        </w:rPr>
        <w:t>24</w:t>
      </w:r>
      <w:r w:rsidRPr="000A46F0">
        <w:t>(4), 876–890. https://doi.org/10.1111/ele.13681</w:t>
      </w:r>
    </w:p>
    <w:p w14:paraId="57B84330" w14:textId="77777777" w:rsidR="000A46F0" w:rsidRPr="000A46F0" w:rsidRDefault="000A46F0" w:rsidP="000A46F0">
      <w:pPr>
        <w:pStyle w:val="Bibliography"/>
      </w:pPr>
      <w:r w:rsidRPr="000A46F0">
        <w:t xml:space="preserve">Webb, C. O., Ackerly, D. D., McPeek, M. A., &amp; Donoghue, M. J. (2002). PHYLOGENIES AND COMMUNITY ECOLOGY. </w:t>
      </w:r>
      <w:r w:rsidRPr="000A46F0">
        <w:rPr>
          <w:i/>
          <w:iCs/>
        </w:rPr>
        <w:t>Annual Review of Ecology and Systematics</w:t>
      </w:r>
      <w:r w:rsidRPr="000A46F0">
        <w:t xml:space="preserve">, </w:t>
      </w:r>
      <w:r w:rsidRPr="000A46F0">
        <w:rPr>
          <w:i/>
          <w:iCs/>
        </w:rPr>
        <w:t>33</w:t>
      </w:r>
      <w:r w:rsidRPr="000A46F0">
        <w:t>(1), 475–505. https://doi.org/10.1146/annurev.ecolsys.33.010802.150448</w:t>
      </w:r>
    </w:p>
    <w:p w14:paraId="52F67455" w14:textId="77777777" w:rsidR="000A46F0" w:rsidRPr="000A46F0" w:rsidRDefault="000A46F0" w:rsidP="000A46F0">
      <w:pPr>
        <w:pStyle w:val="Bibliography"/>
      </w:pPr>
      <w:r w:rsidRPr="000A46F0">
        <w:t xml:space="preserve">Weinstein, B. G., Graham, C. H., &amp; Parra, J. L. (2017). The role of environment, dispersal and competition in explaining reduced co-occurrence among related species. </w:t>
      </w:r>
      <w:r w:rsidRPr="000A46F0">
        <w:rPr>
          <w:i/>
          <w:iCs/>
        </w:rPr>
        <w:t>PloS One</w:t>
      </w:r>
      <w:r w:rsidRPr="000A46F0">
        <w:t xml:space="preserve">, </w:t>
      </w:r>
      <w:r w:rsidRPr="000A46F0">
        <w:rPr>
          <w:i/>
          <w:iCs/>
        </w:rPr>
        <w:t>12</w:t>
      </w:r>
      <w:r w:rsidRPr="000A46F0">
        <w:t>(11), e0185493. https://doi.org/10.1371/journal.pone.0185493</w:t>
      </w:r>
    </w:p>
    <w:p w14:paraId="53D9D04C" w14:textId="77777777" w:rsidR="000A46F0" w:rsidRPr="000A46F0" w:rsidRDefault="000A46F0" w:rsidP="000A46F0">
      <w:pPr>
        <w:pStyle w:val="Bibliography"/>
      </w:pPr>
      <w:r w:rsidRPr="000A46F0">
        <w:t xml:space="preserve">Werner, E. E., Skelly, D. K., Relyea, R. A., &amp; Yurewicz, K. L. (2007). Amphibian species richness across environmental gradients. </w:t>
      </w:r>
      <w:r w:rsidRPr="000A46F0">
        <w:rPr>
          <w:i/>
          <w:iCs/>
        </w:rPr>
        <w:t>Oikos</w:t>
      </w:r>
      <w:r w:rsidRPr="000A46F0">
        <w:t xml:space="preserve">, </w:t>
      </w:r>
      <w:r w:rsidRPr="000A46F0">
        <w:rPr>
          <w:i/>
          <w:iCs/>
        </w:rPr>
        <w:t>116</w:t>
      </w:r>
      <w:r w:rsidRPr="000A46F0">
        <w:t>(10), 1697–1712. https://doi.org/10.1111/j.0030-1299.2007.15935.x</w:t>
      </w:r>
    </w:p>
    <w:p w14:paraId="6618D145" w14:textId="77777777" w:rsidR="000A46F0" w:rsidRPr="000A46F0" w:rsidRDefault="000A46F0" w:rsidP="000A46F0">
      <w:pPr>
        <w:pStyle w:val="Bibliography"/>
      </w:pPr>
      <w:r w:rsidRPr="000A46F0">
        <w:t xml:space="preserve">Youker-Smith, T., Boersch-Supan, P., Whipps, C., &amp; Ryan, S. (2018). Environmental Drivers of Ranavirus in Free-Living Amphibians in Constructed Ponds. </w:t>
      </w:r>
      <w:r w:rsidRPr="000A46F0">
        <w:rPr>
          <w:i/>
          <w:iCs/>
        </w:rPr>
        <w:t>EcoHealth</w:t>
      </w:r>
      <w:r w:rsidRPr="000A46F0">
        <w:t xml:space="preserve">, </w:t>
      </w:r>
      <w:r w:rsidRPr="000A46F0">
        <w:rPr>
          <w:i/>
          <w:iCs/>
        </w:rPr>
        <w:t>15</w:t>
      </w:r>
      <w:r w:rsidRPr="000A46F0">
        <w:t>(3), 608–618. https://doi.org/10.1007/s10393-018-1350-5</w:t>
      </w:r>
    </w:p>
    <w:p w14:paraId="4CA799CC" w14:textId="4ECFDB97" w:rsidR="002E6E0F" w:rsidRDefault="00000000">
      <w:pPr>
        <w:widowControl w:val="0"/>
        <w:pBdr>
          <w:top w:val="nil"/>
          <w:left w:val="nil"/>
          <w:bottom w:val="nil"/>
          <w:right w:val="nil"/>
          <w:between w:val="nil"/>
        </w:pBdr>
        <w:spacing w:line="480" w:lineRule="auto"/>
        <w:ind w:left="720" w:hanging="720"/>
      </w:pPr>
      <w:r>
        <w:fldChar w:fldCharType="end"/>
      </w:r>
    </w:p>
    <w:p w14:paraId="54C4012C" w14:textId="77777777" w:rsidR="002E6E0F" w:rsidRDefault="002E6E0F"/>
    <w:p w14:paraId="7E6DDB8F" w14:textId="77777777" w:rsidR="002E6E0F" w:rsidRDefault="002E6E0F"/>
    <w:p w14:paraId="578CF056" w14:textId="77777777" w:rsidR="002E6E0F" w:rsidRDefault="002E6E0F"/>
    <w:p w14:paraId="54ED08F4" w14:textId="77777777" w:rsidR="002E6E0F" w:rsidRDefault="002E6E0F"/>
    <w:p w14:paraId="247D6032" w14:textId="77777777" w:rsidR="002E6E0F" w:rsidRDefault="002E6E0F"/>
    <w:p w14:paraId="78E012B0" w14:textId="77777777" w:rsidR="002E6E0F" w:rsidRDefault="002E6E0F"/>
    <w:p w14:paraId="4739D070" w14:textId="77777777" w:rsidR="002E6E0F" w:rsidRDefault="002E6E0F"/>
    <w:p w14:paraId="0FFE451D" w14:textId="77777777" w:rsidR="002E6E0F" w:rsidRDefault="002E6E0F"/>
    <w:p w14:paraId="28AE16A5" w14:textId="77777777" w:rsidR="002E6E0F" w:rsidRDefault="002E6E0F"/>
    <w:p w14:paraId="39A778C1" w14:textId="77777777" w:rsidR="002E6E0F" w:rsidRDefault="002E6E0F"/>
    <w:p w14:paraId="68D06285" w14:textId="77777777" w:rsidR="002E6E0F" w:rsidRDefault="002E6E0F"/>
    <w:p w14:paraId="1D60836D" w14:textId="77777777" w:rsidR="002E6E0F" w:rsidRDefault="002E6E0F"/>
    <w:p w14:paraId="1A9EB0C9" w14:textId="77777777" w:rsidR="002E6E0F" w:rsidRDefault="002E6E0F"/>
    <w:p w14:paraId="54F0CDBC" w14:textId="77777777" w:rsidR="002E6E0F" w:rsidRDefault="002E6E0F"/>
    <w:p w14:paraId="35118069" w14:textId="77777777" w:rsidR="002E6E0F" w:rsidRDefault="00000000">
      <w:r>
        <w:rPr>
          <w:noProof/>
        </w:rPr>
        <w:lastRenderedPageBreak/>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991100" cy="5772150"/>
                    </a:xfrm>
                    <a:prstGeom prst="rect">
                      <a:avLst/>
                    </a:prstGeom>
                    <a:ln/>
                  </pic:spPr>
                </pic:pic>
              </a:graphicData>
            </a:graphic>
          </wp:inline>
        </w:drawing>
      </w:r>
    </w:p>
    <w:p w14:paraId="7B78112F" w14:textId="77777777" w:rsidR="002E6E0F" w:rsidRDefault="00000000">
      <w:r>
        <w:rPr>
          <w:noProof/>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327400"/>
                    </a:xfrm>
                    <a:prstGeom prst="rect">
                      <a:avLst/>
                    </a:prstGeom>
                    <a:ln/>
                  </pic:spPr>
                </pic:pic>
              </a:graphicData>
            </a:graphic>
          </wp:inline>
        </w:drawing>
      </w:r>
    </w:p>
    <w:p w14:paraId="48383E7F" w14:textId="77777777" w:rsidR="002E6E0F" w:rsidRDefault="002E6E0F"/>
    <w:p w14:paraId="30C262BB" w14:textId="77777777" w:rsidR="002E6E0F" w:rsidRDefault="00000000">
      <w:r>
        <w:t>Equations and parameters</w:t>
      </w:r>
    </w:p>
    <w:p w14:paraId="2C527C8C" w14:textId="77777777" w:rsidR="002E6E0F" w:rsidRDefault="00000000">
      <w:r>
        <w:br w:type="page"/>
      </w:r>
    </w:p>
    <w:p w14:paraId="7380CDD0" w14:textId="77777777" w:rsidR="002E6E0F" w:rsidRDefault="00000000">
      <w:r>
        <w:rPr>
          <w:noProof/>
        </w:rPr>
        <w:lastRenderedPageBreak/>
        <w:drawing>
          <wp:inline distT="114300" distB="114300" distL="114300" distR="114300" wp14:anchorId="42B5A7F2" wp14:editId="4DF8BC77">
            <wp:extent cx="5943600" cy="4152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4152900"/>
                    </a:xfrm>
                    <a:prstGeom prst="rect">
                      <a:avLst/>
                    </a:prstGeom>
                    <a:ln/>
                  </pic:spPr>
                </pic:pic>
              </a:graphicData>
            </a:graphic>
          </wp:inline>
        </w:drawing>
      </w:r>
    </w:p>
    <w:p w14:paraId="2F64A54A" w14:textId="77777777" w:rsidR="002E6E0F" w:rsidRDefault="00000000">
      <w:pPr>
        <w:spacing w:line="360" w:lineRule="auto"/>
      </w:pPr>
      <w:r>
        <w:t xml:space="preserve">Supplementary Figure 1: Viral loads of all observed host species that were sampled for </w:t>
      </w:r>
      <w:proofErr w:type="spellStart"/>
      <w:r>
        <w:t>ranavirus</w:t>
      </w:r>
      <w:proofErr w:type="spellEnd"/>
      <w:r>
        <w:t xml:space="preserve">. Viral loads show a bimodal distribution where most host species have relatively low viral </w:t>
      </w:r>
      <w:proofErr w:type="gramStart"/>
      <w:r>
        <w:t>loads</w:t>
      </w:r>
      <w:proofErr w:type="gramEnd"/>
      <w:r>
        <w:t xml:space="preserve"> and a few have high viral loads.</w:t>
      </w:r>
      <w:r>
        <w:br w:type="page"/>
      </w:r>
    </w:p>
    <w:p w14:paraId="4325E3F8" w14:textId="77777777" w:rsidR="002E6E0F" w:rsidRDefault="00000000">
      <w:pPr>
        <w:spacing w:line="360" w:lineRule="auto"/>
      </w:pPr>
      <w:r>
        <w:rPr>
          <w:noProof/>
        </w:rPr>
        <w:lastRenderedPageBreak/>
        <w:drawing>
          <wp:inline distT="114300" distB="114300" distL="114300" distR="114300" wp14:anchorId="5A62FAFE" wp14:editId="2243D358">
            <wp:extent cx="5943600" cy="5613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5613400"/>
                    </a:xfrm>
                    <a:prstGeom prst="rect">
                      <a:avLst/>
                    </a:prstGeom>
                    <a:ln/>
                  </pic:spPr>
                </pic:pic>
              </a:graphicData>
            </a:graphic>
          </wp:inline>
        </w:drawing>
      </w:r>
    </w:p>
    <w:p w14:paraId="1FA78400" w14:textId="77777777" w:rsidR="002E6E0F" w:rsidRDefault="00000000">
      <w:pPr>
        <w:spacing w:line="360" w:lineRule="auto"/>
      </w:pPr>
      <w:r>
        <w:t>Supplementary Figure 2: Community competence of each community (site-month combination) over the duration of the study period grouped by observation month. Community competence is higher at cooler months (Feb-Mar) and peak in April before declining in later, hotter months.</w:t>
      </w:r>
      <w:r>
        <w:br w:type="page"/>
      </w:r>
    </w:p>
    <w:p w14:paraId="787FC4D8" w14:textId="77777777" w:rsidR="002E6E0F" w:rsidRDefault="002E6E0F">
      <w:pPr>
        <w:spacing w:line="360" w:lineRule="auto"/>
      </w:pPr>
    </w:p>
    <w:p w14:paraId="58AF924C" w14:textId="77777777" w:rsidR="002E6E0F" w:rsidRDefault="002E6E0F"/>
    <w:p w14:paraId="628C42CD" w14:textId="77777777" w:rsidR="002E6E0F" w:rsidRDefault="00000000">
      <w:r>
        <w:rPr>
          <w:noProof/>
        </w:rPr>
        <w:drawing>
          <wp:inline distT="114300" distB="114300" distL="114300" distR="114300" wp14:anchorId="1F0F8E1E" wp14:editId="32CBE2C0">
            <wp:extent cx="5943600" cy="3670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670300"/>
                    </a:xfrm>
                    <a:prstGeom prst="rect">
                      <a:avLst/>
                    </a:prstGeom>
                    <a:ln/>
                  </pic:spPr>
                </pic:pic>
              </a:graphicData>
            </a:graphic>
          </wp:inline>
        </w:drawing>
      </w:r>
    </w:p>
    <w:p w14:paraId="39EBA078" w14:textId="77777777" w:rsidR="002E6E0F" w:rsidRDefault="002E6E0F"/>
    <w:p w14:paraId="1F77E7F3" w14:textId="77777777" w:rsidR="002E6E0F" w:rsidRDefault="00000000">
      <w:r>
        <w:t>Supplementary Figure 3: Correlation between community competence and evenness of host communities. At low evenness, host communities exhibit a bimodality where some have very low community competence and others have very high community competence. Communities with higher evenness are not dominated by any one host species and exhibit more moderate values of community competence.</w:t>
      </w:r>
    </w:p>
    <w:p w14:paraId="560A0C46" w14:textId="77777777" w:rsidR="002E6E0F" w:rsidRDefault="00000000">
      <w:pPr>
        <w:spacing w:line="360" w:lineRule="auto"/>
      </w:pPr>
      <w:r>
        <w:rPr>
          <w:noProof/>
        </w:rPr>
        <w:lastRenderedPageBreak/>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5A85BFB5" w14:textId="77777777" w:rsidR="002E6E0F" w:rsidRDefault="00000000">
      <w:pPr>
        <w:spacing w:line="360" w:lineRule="auto"/>
      </w:pPr>
      <w:r>
        <w:t xml:space="preserve">Supplementary Figure 4: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t>ranavirus</w:t>
      </w:r>
      <w:proofErr w:type="spellEnd"/>
      <w:r>
        <w:t xml:space="preserve"> transmission.</w:t>
      </w:r>
    </w:p>
    <w:p w14:paraId="58185A45" w14:textId="77777777" w:rsidR="002E6E0F" w:rsidRDefault="002E6E0F">
      <w:pPr>
        <w:spacing w:line="360" w:lineRule="auto"/>
      </w:pPr>
    </w:p>
    <w:p w14:paraId="394BE8E7" w14:textId="77777777" w:rsidR="002E6E0F" w:rsidRDefault="002E6E0F">
      <w:pPr>
        <w:spacing w:line="360" w:lineRule="auto"/>
      </w:pPr>
    </w:p>
    <w:p w14:paraId="3032A59C" w14:textId="3B87F8B4" w:rsidR="002E6E0F" w:rsidRDefault="002E6E0F">
      <w:pPr>
        <w:widowControl w:val="0"/>
        <w:pBdr>
          <w:top w:val="nil"/>
          <w:left w:val="nil"/>
          <w:bottom w:val="nil"/>
          <w:right w:val="nil"/>
          <w:between w:val="nil"/>
        </w:pBdr>
      </w:pPr>
    </w:p>
    <w:sectPr w:rsidR="002E6E0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A46F0"/>
    <w:rsid w:val="002E6E0F"/>
    <w:rsid w:val="00BA751B"/>
    <w:rsid w:val="00E034ED"/>
    <w:rsid w:val="00E700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29</Pages>
  <Words>26482</Words>
  <Characters>150950</Characters>
  <Application>Microsoft Office Word</Application>
  <DocSecurity>0</DocSecurity>
  <Lines>1257</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4</cp:revision>
  <dcterms:created xsi:type="dcterms:W3CDTF">2023-08-23T17:16:00Z</dcterms:created>
  <dcterms:modified xsi:type="dcterms:W3CDTF">2023-08-23T18:24:00Z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