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60A28" w14:textId="66BB9FC4" w:rsidR="002E6E0F" w:rsidRPr="00DB2F80" w:rsidRDefault="00000000" w:rsidP="0040206D">
      <w:pPr>
        <w:pStyle w:val="Heading1"/>
        <w:spacing w:line="360" w:lineRule="auto"/>
        <w:rPr>
          <w:b/>
          <w:bCs/>
          <w:sz w:val="28"/>
          <w:szCs w:val="28"/>
          <w:lang w:val="en-US"/>
        </w:rPr>
      </w:pPr>
      <w:bookmarkStart w:id="0" w:name="_s8e3sbys8ek1" w:colFirst="0" w:colLast="0"/>
      <w:bookmarkEnd w:id="0"/>
      <w:r w:rsidRPr="00DB2F80">
        <w:rPr>
          <w:b/>
          <w:bCs/>
          <w:sz w:val="28"/>
          <w:szCs w:val="28"/>
        </w:rPr>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w:t>
      </w:r>
      <w:r w:rsidRPr="00DB2F80">
        <w:rPr>
          <w:sz w:val="24"/>
          <w:szCs w:val="24"/>
        </w:rPr>
        <w:lastRenderedPageBreak/>
        <w:t xml:space="preserve">jointly influence transmission and are non-independent. Host abundance and 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3628AD25"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 </w:t>
      </w:r>
      <w:proofErr w:type="gramStart"/>
      <w:r w:rsidRPr="00DB2F80">
        <w:rPr>
          <w:sz w:val="24"/>
          <w:szCs w:val="24"/>
        </w:rPr>
        <w:t>are</w:t>
      </w:r>
      <w:proofErr w:type="gramEnd"/>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3E1CB4E8"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lastRenderedPageBreak/>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(Eisenberg et al., 2013; Majewska et al., 2019; Rohani et al., 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r w:rsidRPr="00DB2F80">
        <w:rPr>
          <w:b/>
          <w:bCs/>
          <w:sz w:val="24"/>
          <w:szCs w:val="24"/>
        </w:rPr>
        <w:t>Data Collection</w:t>
      </w:r>
    </w:p>
    <w:p w14:paraId="12FD835D" w14:textId="4031456C"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Savannah River Site (South Carolina, USA). 20 wetlands were sampled monthly for 6 months from February to July in 2016 at the Savannah River Site. Of the 120 sampling events, 96 produced data, with the others being discounted due to wetlands being dry at the time of sampling. Each sampling event included an estimate of larval amphibian abundance ascertained from minnow traps and dip-net sweeps around the perimeter and center of the wetland. In addition to abundance, a single individual per species was collected per dip-net sweep or minnow trap. These individuals were tested for </w:t>
      </w:r>
      <w:proofErr w:type="spellStart"/>
      <w:r w:rsidRPr="00DB2F80">
        <w:rPr>
          <w:sz w:val="24"/>
          <w:szCs w:val="24"/>
        </w:rPr>
        <w:t>ranavirus</w:t>
      </w:r>
      <w:proofErr w:type="spellEnd"/>
      <w:r w:rsidRPr="00DB2F80">
        <w:rPr>
          <w:sz w:val="24"/>
          <w:szCs w:val="24"/>
        </w:rPr>
        <w:t xml:space="preserve"> load using qPCR in triplicate, with values averaged to determine the viral load for an individual. At the species-level, all individuals that were analyzed for viral load were then averaged to provide a species level estimate of viral load, a proxy for competence. </w:t>
      </w:r>
    </w:p>
    <w:p w14:paraId="22A54F3E" w14:textId="77777777" w:rsidR="002E6E0F" w:rsidRPr="00DB2F80" w:rsidRDefault="00000000" w:rsidP="0040206D">
      <w:pPr>
        <w:pStyle w:val="Heading2"/>
        <w:spacing w:line="360" w:lineRule="auto"/>
        <w:rPr>
          <w:b/>
          <w:bCs/>
          <w:sz w:val="24"/>
          <w:szCs w:val="24"/>
        </w:rPr>
      </w:pPr>
      <w:bookmarkStart w:id="3" w:name="_9sjte9cjuout" w:colFirst="0" w:colLast="0"/>
      <w:bookmarkEnd w:id="3"/>
      <w:r w:rsidRPr="00DB2F80">
        <w:rPr>
          <w:b/>
          <w:bCs/>
          <w:sz w:val="24"/>
          <w:szCs w:val="24"/>
        </w:rPr>
        <w:t>Calculation of community competence and prevalence ratio</w:t>
      </w:r>
    </w:p>
    <w:p w14:paraId="3ADDC9CD" w14:textId="2700336C" w:rsidR="002E6E0F" w:rsidRPr="00DB2F80" w:rsidRDefault="00000000" w:rsidP="0040206D">
      <w:pPr>
        <w:spacing w:line="360" w:lineRule="auto"/>
        <w:ind w:firstLine="720"/>
        <w:rPr>
          <w:sz w:val="24"/>
          <w:szCs w:val="24"/>
        </w:rPr>
      </w:pPr>
      <w:r w:rsidRPr="00DB2F80">
        <w:rPr>
          <w:sz w:val="24"/>
          <w:szCs w:val="24"/>
        </w:rPr>
        <w:t xml:space="preserve">Using species-level competence, we calculated community competence as the weighted average of each species’ competence,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prevalence ratio was calculated as 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w:t>
      </w:r>
      <w:proofErr w:type="gramStart"/>
      <w:r w:rsidRPr="00DB2F80">
        <w:rPr>
          <w:sz w:val="24"/>
          <w:szCs w:val="24"/>
        </w:rPr>
        <w:t>i.e.</w:t>
      </w:r>
      <w:proofErr w:type="gramEnd"/>
      <w:r w:rsidRPr="00DB2F80">
        <w:rPr>
          <w:sz w:val="24"/>
          <w:szCs w:val="24"/>
        </w:rPr>
        <w:t xml:space="preserve"> prevalence has already peaked), then the </w:t>
      </w:r>
      <w:r w:rsidRPr="00DB2F80">
        <w:rPr>
          <w:sz w:val="24"/>
          <w:szCs w:val="24"/>
        </w:rPr>
        <w:lastRenderedPageBreak/>
        <w:t xml:space="preserve">prevalence ratio is one minus the quotient of the difference in the previous month’s prevalence and the next month’s prevalence divided by the maximum prevalence. The advantage of the prevalence ratio is that it allows us to detect whether conditions were favorable or unfavorable for the pathogen along the entire 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Pr="00DB2F80" w:rsidRDefault="002E6E0F" w:rsidP="0040206D">
      <w:pPr>
        <w:spacing w:line="360" w:lineRule="auto"/>
        <w:ind w:firstLine="720"/>
        <w:rPr>
          <w:sz w:val="24"/>
          <w:szCs w:val="24"/>
        </w:rPr>
      </w:pPr>
    </w:p>
    <w:p w14:paraId="5D9C6FAF"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22081449" wp14:editId="2AFEFA5B">
            <wp:extent cx="4538663" cy="217477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4538663" cy="2174776"/>
                    </a:xfrm>
                    <a:prstGeom prst="rect">
                      <a:avLst/>
                    </a:prstGeom>
                    <a:ln/>
                  </pic:spPr>
                </pic:pic>
              </a:graphicData>
            </a:graphic>
          </wp:inline>
        </w:drawing>
      </w:r>
    </w:p>
    <w:p w14:paraId="557563B7" w14:textId="77777777" w:rsidR="002E6E0F" w:rsidRPr="00DB2F80" w:rsidRDefault="00000000" w:rsidP="0040206D">
      <w:pPr>
        <w:pStyle w:val="Heading2"/>
        <w:spacing w:line="360" w:lineRule="auto"/>
        <w:rPr>
          <w:b/>
          <w:bCs/>
          <w:sz w:val="24"/>
          <w:szCs w:val="24"/>
        </w:rPr>
      </w:pPr>
      <w:bookmarkStart w:id="4" w:name="_eooihxbffjma" w:colFirst="0" w:colLast="0"/>
      <w:bookmarkEnd w:id="4"/>
      <w:r w:rsidRPr="00DB2F80">
        <w:rPr>
          <w:b/>
          <w:bCs/>
          <w:sz w:val="24"/>
          <w:szCs w:val="24"/>
        </w:rPr>
        <w:t>Transmission model</w:t>
      </w:r>
    </w:p>
    <w:p w14:paraId="137F46D7" w14:textId="0F8BA722"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xml:space="preserve">. Transmission can occur both directly and indirectly, and exposure appears to induce an adaptive immune response in surviving hosts.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w:t>
      </w:r>
      <w:r w:rsidRPr="00DB2F80">
        <w:rPr>
          <w:sz w:val="24"/>
          <w:szCs w:val="24"/>
        </w:rPr>
        <w:lastRenderedPageBreak/>
        <w:t xml:space="preserve">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12A204D2"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w:t>
      </w:r>
      <w:r w:rsidRPr="00DB2F80">
        <w:rPr>
          <w:sz w:val="24"/>
          <w:szCs w:val="24"/>
        </w:rPr>
        <w:lastRenderedPageBreak/>
        <w:t>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 xml:space="preserve">&lt;1). In addition, we observed the dynamics of these systems by numerically solving them over time </w:t>
      </w:r>
      <w:proofErr w:type="gramStart"/>
      <w:r w:rsidRPr="00DB2F80">
        <w:rPr>
          <w:sz w:val="24"/>
          <w:szCs w:val="24"/>
        </w:rPr>
        <w:t>in order to</w:t>
      </w:r>
      <w:proofErr w:type="gramEnd"/>
      <w:r w:rsidRPr="00DB2F80">
        <w:rPr>
          <w:sz w:val="24"/>
          <w:szCs w:val="24"/>
        </w:rPr>
        <w:t xml:space="preserve">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5" w:name="_hlg486u4ytv" w:colFirst="0" w:colLast="0"/>
      <w:bookmarkEnd w:id="5"/>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In contrast, if phylogenetic distance is high between host species, then this may indicate that they are ecologically distinct 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6" w:name="_duqqz2ezm5dj" w:colFirst="0" w:colLast="0"/>
      <w:bookmarkEnd w:id="6"/>
      <w:r w:rsidRPr="00DB2F80">
        <w:rPr>
          <w:b/>
          <w:bCs/>
          <w:sz w:val="28"/>
          <w:szCs w:val="28"/>
        </w:rPr>
        <w:lastRenderedPageBreak/>
        <w:t>Results</w:t>
      </w:r>
    </w:p>
    <w:p w14:paraId="37F7F8DF" w14:textId="77777777" w:rsidR="002E6E0F" w:rsidRPr="00DB2F80" w:rsidRDefault="00000000" w:rsidP="0040206D">
      <w:pPr>
        <w:pStyle w:val="Heading2"/>
        <w:spacing w:line="360" w:lineRule="auto"/>
        <w:rPr>
          <w:b/>
          <w:bCs/>
          <w:sz w:val="24"/>
          <w:szCs w:val="24"/>
        </w:rPr>
      </w:pPr>
      <w:bookmarkStart w:id="7" w:name="_d6c6k1e98qe6" w:colFirst="0" w:colLast="0"/>
      <w:bookmarkEnd w:id="7"/>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3F134C5E" w14:textId="63B4D90D" w:rsidR="002E6E0F" w:rsidRPr="00DB2F80" w:rsidRDefault="00000000" w:rsidP="0040206D">
      <w:pPr>
        <w:spacing w:line="360" w:lineRule="auto"/>
        <w:ind w:firstLine="720"/>
        <w:rPr>
          <w:sz w:val="24"/>
          <w:szCs w:val="24"/>
        </w:rPr>
      </w:pPr>
      <w:r w:rsidRPr="00DB2F80">
        <w:rPr>
          <w:sz w:val="24"/>
          <w:szCs w:val="24"/>
        </w:rPr>
        <w:t>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 and suggest that certain times and locations may exhibit ‘perfect storms’ in which separate factors that promote transmission (high community competence, high abundance, and lower water temperature resulting in lower rates of viral degradation) co-occur.</w:t>
      </w:r>
    </w:p>
    <w:p w14:paraId="62658551"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670300"/>
                    </a:xfrm>
                    <a:prstGeom prst="rect">
                      <a:avLst/>
                    </a:prstGeom>
                    <a:ln/>
                  </pic:spPr>
                </pic:pic>
              </a:graphicData>
            </a:graphic>
          </wp:inline>
        </w:drawing>
      </w:r>
    </w:p>
    <w:p w14:paraId="38C38369" w14:textId="67B53B7C" w:rsidR="002E6E0F" w:rsidRPr="00DB2F80" w:rsidRDefault="00000000" w:rsidP="00DB2F80">
      <w:pPr>
        <w:rPr>
          <w:sz w:val="24"/>
          <w:szCs w:val="24"/>
        </w:rPr>
      </w:pPr>
      <w:r w:rsidRPr="00DB2F80">
        <w:rPr>
          <w:b/>
          <w:sz w:val="24"/>
          <w:szCs w:val="24"/>
        </w:rPr>
        <w:t>Figure 1:</w:t>
      </w:r>
      <w:r w:rsidRPr="00DB2F80">
        <w:rPr>
          <w:sz w:val="24"/>
          <w:szCs w:val="24"/>
        </w:rPr>
        <w:t xml:space="preserve"> </w:t>
      </w:r>
      <w:r w:rsidRPr="00DB2F80">
        <w:rPr>
          <w:b/>
          <w:sz w:val="24"/>
          <w:szCs w:val="24"/>
        </w:rPr>
        <w:t xml:space="preserve">Relationship between Community Competence of sites ranked according to Principal Component 1 </w:t>
      </w:r>
      <w:proofErr w:type="gramStart"/>
      <w:r w:rsidRPr="00DB2F80">
        <w:rPr>
          <w:b/>
          <w:sz w:val="24"/>
          <w:szCs w:val="24"/>
        </w:rPr>
        <w:t>Scores</w:t>
      </w:r>
      <w:proofErr w:type="gramEnd"/>
      <w:r w:rsidRPr="00DB2F80">
        <w:rPr>
          <w:b/>
          <w:sz w:val="24"/>
          <w:szCs w:val="24"/>
        </w:rPr>
        <w:t xml:space="preserve">. </w:t>
      </w:r>
      <w:r w:rsidRPr="00DB2F80">
        <w:rPr>
          <w:sz w:val="24"/>
          <w:szCs w:val="24"/>
        </w:rPr>
        <w:t>Similar community compositions result in similar values of community competence. Sampling months are represented by color and wetland IDs are represented by symbols. The size of each community is shown by the relative size of each point.</w:t>
      </w:r>
    </w:p>
    <w:p w14:paraId="55B57634" w14:textId="77777777" w:rsidR="002E6E0F" w:rsidRPr="00DB2F80" w:rsidRDefault="002E6E0F" w:rsidP="0040206D">
      <w:pPr>
        <w:spacing w:line="360" w:lineRule="auto"/>
        <w:rPr>
          <w:sz w:val="24"/>
          <w:szCs w:val="24"/>
        </w:rPr>
      </w:pPr>
    </w:p>
    <w:p w14:paraId="2D849E01" w14:textId="2BF7A48F" w:rsidR="002E6E0F" w:rsidRPr="00DB2F80" w:rsidRDefault="00000000" w:rsidP="0040206D">
      <w:pPr>
        <w:spacing w:line="360" w:lineRule="auto"/>
        <w:ind w:firstLine="720"/>
        <w:rPr>
          <w:sz w:val="24"/>
          <w:szCs w:val="24"/>
        </w:rPr>
      </w:pPr>
      <w:r w:rsidRPr="00DB2F80">
        <w:rPr>
          <w:sz w:val="24"/>
          <w:szCs w:val="24"/>
        </w:rPr>
        <w:lastRenderedPageBreak/>
        <w:t>When analyzing the relationship between these factors and relative changes in infection prevalence (prevalence ratio), community competence and host abundance both exhibit significant positive relationships with the prevalence ratio (Figure 2, Spearman correlations:</w:t>
      </w:r>
      <w:r w:rsidR="0040206D" w:rsidRPr="00DB2F80">
        <w:rPr>
          <w:sz w:val="24"/>
          <w:szCs w:val="24"/>
        </w:rPr>
        <w:t xml:space="preserve"> </w:t>
      </w:r>
      <w:r w:rsidRPr="00DB2F80">
        <w:rPr>
          <w:sz w:val="24"/>
          <w:szCs w:val="24"/>
        </w:rPr>
        <w:t xml:space="preserve">community competence P&lt;0.01, host abundance P&lt;0.001). The direction of the relationship between prevalence and mean water temperature aligns with predictions but is not significant (Figure 2, Spearman correlation P=0.1). </w:t>
      </w:r>
    </w:p>
    <w:p w14:paraId="53AE6288"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259CBD43" wp14:editId="09156C4A">
            <wp:extent cx="5943600" cy="3670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3670300"/>
                    </a:xfrm>
                    <a:prstGeom prst="rect">
                      <a:avLst/>
                    </a:prstGeom>
                    <a:ln/>
                  </pic:spPr>
                </pic:pic>
              </a:graphicData>
            </a:graphic>
          </wp:inline>
        </w:drawing>
      </w:r>
    </w:p>
    <w:p w14:paraId="501A51CD" w14:textId="77777777" w:rsidR="00DB2F80" w:rsidRDefault="00000000" w:rsidP="00DB2F80">
      <w:pPr>
        <w:rPr>
          <w:sz w:val="24"/>
          <w:szCs w:val="24"/>
        </w:rPr>
      </w:pPr>
      <w:r w:rsidRPr="00DB2F80">
        <w:rPr>
          <w:b/>
          <w:sz w:val="24"/>
          <w:szCs w:val="24"/>
        </w:rPr>
        <w:t xml:space="preserve">Figure 2: Correlations between prevalence ratio and community competence, community size, and mean water temperature. </w:t>
      </w:r>
      <w:r w:rsidRPr="00DB2F80">
        <w:rPr>
          <w:sz w:val="24"/>
          <w:szCs w:val="24"/>
        </w:rPr>
        <w:t>Community competence and community size correlated positively with prevalence ratio while mean water temperature did not have a significant relationship. Each point represents a single month-site combination.</w:t>
      </w:r>
      <w:bookmarkStart w:id="8" w:name="_o9a017k11u38" w:colFirst="0" w:colLast="0"/>
      <w:bookmarkEnd w:id="8"/>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125857B7" w14:textId="787214A3" w:rsidR="00DB2F80" w:rsidRPr="00DB2F80" w:rsidRDefault="00000000" w:rsidP="00DB2F80">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w:t>
      </w:r>
      <w:r w:rsidRPr="00DB2F80">
        <w:rPr>
          <w:sz w:val="24"/>
          <w:szCs w:val="24"/>
        </w:rPr>
        <w:lastRenderedPageBreak/>
        <w:t>to which it permits invasion via lowered environmental versus contact transmission (Figure 3</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w:t>
      </w:r>
      <w:r w:rsidR="00187DCA" w:rsidRPr="00DB2F80">
        <w:rPr>
          <w:sz w:val="24"/>
          <w:szCs w:val="24"/>
        </w:rPr>
        <w:t>3B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DB2F80" w:rsidRPr="00DB2F80">
        <w:rPr>
          <w:sz w:val="24"/>
          <w:szCs w:val="24"/>
        </w:rPr>
        <w:br w:type="page"/>
      </w:r>
    </w:p>
    <w:p w14:paraId="7336E5A5" w14:textId="7E94178C" w:rsidR="002E6E0F" w:rsidRPr="00DB2F80" w:rsidRDefault="00C74CA9" w:rsidP="0040206D">
      <w:pPr>
        <w:spacing w:line="360" w:lineRule="auto"/>
        <w:rPr>
          <w:sz w:val="24"/>
          <w:szCs w:val="24"/>
        </w:rPr>
      </w:pPr>
      <w:r w:rsidRPr="00DB2F80">
        <w:rPr>
          <w:noProof/>
          <w:sz w:val="24"/>
          <w:szCs w:val="24"/>
        </w:rPr>
        <w:lastRenderedPageBreak/>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77777777" w:rsidR="00DB2F80" w:rsidRDefault="00000000" w:rsidP="00DB2F80">
      <w:pPr>
        <w:rPr>
          <w:sz w:val="24"/>
          <w:szCs w:val="24"/>
        </w:rPr>
      </w:pPr>
      <w:r w:rsidRPr="00DB2F80">
        <w:rPr>
          <w:b/>
          <w:sz w:val="24"/>
          <w:szCs w:val="24"/>
        </w:rPr>
        <w:t xml:space="preserve">Figure 3: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9" w:name="_o72aamdfl5uk" w:colFirst="0" w:colLast="0"/>
      <w:bookmarkEnd w:id="9"/>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4F01F5A5"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w:t>
      </w:r>
      <w:r w:rsidRPr="00DB2F80">
        <w:rPr>
          <w:sz w:val="24"/>
          <w:szCs w:val="24"/>
        </w:rPr>
        <w:lastRenderedPageBreak/>
        <w:t xml:space="preserve">competence species (Figure </w:t>
      </w:r>
      <w:r w:rsidR="00187DCA" w:rsidRPr="00DB2F80">
        <w:rPr>
          <w:sz w:val="24"/>
          <w:szCs w:val="24"/>
        </w:rPr>
        <w:t>4</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187DCA" w:rsidRPr="00DB2F80">
        <w:rPr>
          <w:sz w:val="24"/>
          <w:szCs w:val="24"/>
        </w:rPr>
        <w:t>4)</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187DCA" w:rsidRPr="00DB2F80">
        <w:rPr>
          <w:sz w:val="24"/>
          <w:szCs w:val="24"/>
        </w:rPr>
        <w:t>4D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0"/>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1"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2" o:title=""/>
                </v:shape>
                <w10:anchorlock/>
              </v:group>
            </w:pict>
          </mc:Fallback>
        </mc:AlternateContent>
      </w:r>
    </w:p>
    <w:p w14:paraId="61404031" w14:textId="335BB17E" w:rsidR="002E6E0F" w:rsidRDefault="00000000" w:rsidP="00DB2F80">
      <w:pPr>
        <w:rPr>
          <w:sz w:val="24"/>
          <w:szCs w:val="24"/>
        </w:rPr>
      </w:pPr>
      <w:r w:rsidRPr="00DB2F80">
        <w:rPr>
          <w:b/>
          <w:sz w:val="24"/>
          <w:szCs w:val="24"/>
        </w:rPr>
        <w:t xml:space="preserve">Figure </w:t>
      </w:r>
      <w:r w:rsidR="00BF1BFD" w:rsidRPr="00DB2F80">
        <w:rPr>
          <w:b/>
          <w:sz w:val="24"/>
          <w:szCs w:val="24"/>
        </w:rPr>
        <w:t>4</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0" w:name="_3l8x3jxer0u4" w:colFirst="0" w:colLast="0"/>
      <w:bookmarkEnd w:id="10"/>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1" w:name="_l3iijzz0pprb" w:colFirst="0" w:colLast="0"/>
      <w:bookmarkEnd w:id="11"/>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7C4181C3"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2B9823D9" w:rsidR="002E6E0F" w:rsidRPr="00DB2F80" w:rsidRDefault="00000000" w:rsidP="0040206D">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p>
    <w:p w14:paraId="67783EF4" w14:textId="4BD2D7B5"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02BF5311" w:rsidR="002E6E0F" w:rsidRPr="00DB2F80" w:rsidRDefault="00000000" w:rsidP="0040206D">
      <w:pPr>
        <w:spacing w:line="360" w:lineRule="auto"/>
        <w:ind w:firstLine="720"/>
        <w:rPr>
          <w:sz w:val="24"/>
          <w:szCs w:val="24"/>
        </w:rPr>
      </w:pPr>
      <w:r w:rsidRPr="00DB2F80">
        <w:rPr>
          <w:sz w:val="24"/>
          <w:szCs w:val="24"/>
        </w:rPr>
        <w:lastRenderedPageBreak/>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1F3574A" w14:textId="77777777" w:rsidR="000A46F0" w:rsidRPr="00DB2F80" w:rsidRDefault="00000000" w:rsidP="0040206D">
      <w:pPr>
        <w:pStyle w:val="Bibliography"/>
        <w:spacing w:line="360" w:lineRule="auto"/>
        <w:rPr>
          <w:sz w:val="24"/>
          <w:szCs w:val="24"/>
        </w:rPr>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0A46F0" w:rsidRPr="00DB2F80">
        <w:rPr>
          <w:sz w:val="24"/>
          <w:szCs w:val="24"/>
        </w:rPr>
        <w:t xml:space="preserve">Altizer, S., Ostfeld, R. S., Johnson, P. T. J., Kutz, S., &amp; Harvell, C. D. (2013). Climate Change and Infectious Diseases: From Evidence to a Predictive Framework. </w:t>
      </w:r>
      <w:r w:rsidR="000A46F0" w:rsidRPr="00DB2F80">
        <w:rPr>
          <w:i/>
          <w:iCs/>
          <w:sz w:val="24"/>
          <w:szCs w:val="24"/>
        </w:rPr>
        <w:t>Science (American Association for the Advancement of Science)</w:t>
      </w:r>
      <w:r w:rsidR="000A46F0" w:rsidRPr="00DB2F80">
        <w:rPr>
          <w:sz w:val="24"/>
          <w:szCs w:val="24"/>
        </w:rPr>
        <w:t xml:space="preserve">, </w:t>
      </w:r>
      <w:r w:rsidR="000A46F0" w:rsidRPr="00DB2F80">
        <w:rPr>
          <w:i/>
          <w:iCs/>
          <w:sz w:val="24"/>
          <w:szCs w:val="24"/>
        </w:rPr>
        <w:t>341</w:t>
      </w:r>
      <w:r w:rsidR="000A46F0" w:rsidRPr="00DB2F80">
        <w:rPr>
          <w:sz w:val="24"/>
          <w:szCs w:val="24"/>
        </w:rPr>
        <w:t>(6145), 514–519. https://doi.org/10.1126/science.1239401</w:t>
      </w:r>
    </w:p>
    <w:p w14:paraId="7F688533" w14:textId="77777777" w:rsidR="000A46F0" w:rsidRPr="00DB2F80" w:rsidRDefault="000A46F0" w:rsidP="0040206D">
      <w:pPr>
        <w:pStyle w:val="Bibliography"/>
        <w:spacing w:line="360" w:lineRule="auto"/>
        <w:rPr>
          <w:sz w:val="24"/>
          <w:szCs w:val="24"/>
        </w:rPr>
      </w:pPr>
      <w:r w:rsidRPr="00DB2F80">
        <w:rPr>
          <w:sz w:val="24"/>
          <w:szCs w:val="24"/>
        </w:rPr>
        <w:t xml:space="preserve">Antonovics, J., Wilson, A. J., Forbes, M. R., Hauffe, H. C., Kallio, E. R., Leggett, H. C., Longdon, B., Okamura, B., Sait, S. M., &amp; Webster, J. P. (2017). The evolution of transmission mode. </w:t>
      </w:r>
      <w:r w:rsidRPr="00DB2F80">
        <w:rPr>
          <w:i/>
          <w:iCs/>
          <w:sz w:val="24"/>
          <w:szCs w:val="24"/>
        </w:rPr>
        <w:t>Philosophical Transactions of the Royal Society B: Biological Sciences</w:t>
      </w:r>
      <w:r w:rsidRPr="00DB2F80">
        <w:rPr>
          <w:sz w:val="24"/>
          <w:szCs w:val="24"/>
        </w:rPr>
        <w:t xml:space="preserve">, </w:t>
      </w:r>
      <w:r w:rsidRPr="00DB2F80">
        <w:rPr>
          <w:i/>
          <w:iCs/>
          <w:sz w:val="24"/>
          <w:szCs w:val="24"/>
        </w:rPr>
        <w:t>372</w:t>
      </w:r>
      <w:r w:rsidRPr="00DB2F80">
        <w:rPr>
          <w:sz w:val="24"/>
          <w:szCs w:val="24"/>
        </w:rPr>
        <w:t>(1719), 20160083. https://doi.org/10.1098/rstb.2016.0083</w:t>
      </w:r>
    </w:p>
    <w:p w14:paraId="67CAF521" w14:textId="77777777" w:rsidR="000A46F0" w:rsidRPr="00DB2F80" w:rsidRDefault="000A46F0" w:rsidP="0040206D">
      <w:pPr>
        <w:pStyle w:val="Bibliography"/>
        <w:spacing w:line="360" w:lineRule="auto"/>
        <w:rPr>
          <w:sz w:val="24"/>
          <w:szCs w:val="24"/>
        </w:rPr>
      </w:pPr>
      <w:r w:rsidRPr="00DB2F80">
        <w:rPr>
          <w:sz w:val="24"/>
          <w:szCs w:val="24"/>
        </w:rPr>
        <w:t xml:space="preserve">Becker, C. G., Rodriguez, D., Longo, A. V., Talaba, A. L., &amp; Zamudio, K. R. (2012). Disease Risk in Temperate Amphibian Populations Is Higher at Closed-Canopy Sites. </w:t>
      </w:r>
      <w:r w:rsidRPr="00DB2F80">
        <w:rPr>
          <w:i/>
          <w:iCs/>
          <w:sz w:val="24"/>
          <w:szCs w:val="24"/>
        </w:rPr>
        <w:t>PloS One</w:t>
      </w:r>
      <w:r w:rsidRPr="00DB2F80">
        <w:rPr>
          <w:sz w:val="24"/>
          <w:szCs w:val="24"/>
        </w:rPr>
        <w:t xml:space="preserve">, </w:t>
      </w:r>
      <w:r w:rsidRPr="00DB2F80">
        <w:rPr>
          <w:i/>
          <w:iCs/>
          <w:sz w:val="24"/>
          <w:szCs w:val="24"/>
        </w:rPr>
        <w:t>7</w:t>
      </w:r>
      <w:r w:rsidRPr="00DB2F80">
        <w:rPr>
          <w:sz w:val="24"/>
          <w:szCs w:val="24"/>
        </w:rPr>
        <w:t>(10), e48205. https://doi.org/10.1371/journal.pone.0048205</w:t>
      </w:r>
    </w:p>
    <w:p w14:paraId="702AD9B6" w14:textId="77777777" w:rsidR="000A46F0" w:rsidRPr="00DB2F80" w:rsidRDefault="000A46F0" w:rsidP="0040206D">
      <w:pPr>
        <w:pStyle w:val="Bibliography"/>
        <w:spacing w:line="360" w:lineRule="auto"/>
        <w:rPr>
          <w:sz w:val="24"/>
          <w:szCs w:val="24"/>
        </w:rPr>
      </w:pPr>
      <w:r w:rsidRPr="00DB2F80">
        <w:rPr>
          <w:sz w:val="24"/>
          <w:szCs w:val="24"/>
        </w:rPr>
        <w:t xml:space="preserve">Bienentreu, J.-F., &amp; Lesbarrères, D. (2020). Amphibian Disease Ecology: Are We Just Scratching the Surface? </w:t>
      </w:r>
      <w:r w:rsidRPr="00DB2F80">
        <w:rPr>
          <w:i/>
          <w:iCs/>
          <w:sz w:val="24"/>
          <w:szCs w:val="24"/>
        </w:rPr>
        <w:t>Herpetologica</w:t>
      </w:r>
      <w:r w:rsidRPr="00DB2F80">
        <w:rPr>
          <w:sz w:val="24"/>
          <w:szCs w:val="24"/>
        </w:rPr>
        <w:t xml:space="preserve">, </w:t>
      </w:r>
      <w:r w:rsidRPr="00DB2F80">
        <w:rPr>
          <w:i/>
          <w:iCs/>
          <w:sz w:val="24"/>
          <w:szCs w:val="24"/>
        </w:rPr>
        <w:t>76</w:t>
      </w:r>
      <w:r w:rsidRPr="00DB2F80">
        <w:rPr>
          <w:sz w:val="24"/>
          <w:szCs w:val="24"/>
        </w:rPr>
        <w:t>(2), 153. https://doi.org/10.1655/0018-0831-76.2.153</w:t>
      </w:r>
    </w:p>
    <w:p w14:paraId="36EF1C72" w14:textId="77777777" w:rsidR="000A46F0" w:rsidRPr="00DB2F80" w:rsidRDefault="000A46F0" w:rsidP="0040206D">
      <w:pPr>
        <w:pStyle w:val="Bibliography"/>
        <w:spacing w:line="360" w:lineRule="auto"/>
        <w:rPr>
          <w:sz w:val="24"/>
          <w:szCs w:val="24"/>
        </w:rPr>
      </w:pPr>
      <w:r w:rsidRPr="00DB2F80">
        <w:rPr>
          <w:sz w:val="24"/>
          <w:szCs w:val="24"/>
        </w:rPr>
        <w:t xml:space="preserve">Blaustein, A. R., Walls, S. C., Bancroft, B. A., Lawler, J. J., Searle, C. L., &amp; Gervasi, S. S. (2010). Direct and Indirect Effects of Climate Change on Amphibian Populations. </w:t>
      </w:r>
      <w:r w:rsidRPr="00DB2F80">
        <w:rPr>
          <w:i/>
          <w:iCs/>
          <w:sz w:val="24"/>
          <w:szCs w:val="24"/>
        </w:rPr>
        <w:t>Diversity</w:t>
      </w:r>
      <w:r w:rsidRPr="00DB2F80">
        <w:rPr>
          <w:sz w:val="24"/>
          <w:szCs w:val="24"/>
        </w:rPr>
        <w:t xml:space="preserve">, </w:t>
      </w:r>
      <w:r w:rsidRPr="00DB2F80">
        <w:rPr>
          <w:i/>
          <w:iCs/>
          <w:sz w:val="24"/>
          <w:szCs w:val="24"/>
        </w:rPr>
        <w:t>2</w:t>
      </w:r>
      <w:r w:rsidRPr="00DB2F80">
        <w:rPr>
          <w:sz w:val="24"/>
          <w:szCs w:val="24"/>
        </w:rPr>
        <w:t>(2), 281–313. https://doi.org/10.3390/d2020281</w:t>
      </w:r>
    </w:p>
    <w:p w14:paraId="0E230886" w14:textId="77777777" w:rsidR="000A46F0" w:rsidRPr="00DB2F80" w:rsidRDefault="000A46F0" w:rsidP="0040206D">
      <w:pPr>
        <w:pStyle w:val="Bibliography"/>
        <w:spacing w:line="360" w:lineRule="auto"/>
        <w:rPr>
          <w:sz w:val="24"/>
          <w:szCs w:val="24"/>
        </w:rPr>
      </w:pPr>
      <w:r w:rsidRPr="00DB2F80">
        <w:rPr>
          <w:sz w:val="24"/>
          <w:szCs w:val="24"/>
        </w:rPr>
        <w:t xml:space="preserve">Brenes, R., Gray, M. J., Waltzek, T. B., Wilkes, R. P., &amp; Miller, D. L. (2014). Transmission of ranavirus between ectothermic vertebrate hosts. </w:t>
      </w:r>
      <w:r w:rsidRPr="00DB2F80">
        <w:rPr>
          <w:i/>
          <w:iCs/>
          <w:sz w:val="24"/>
          <w:szCs w:val="24"/>
        </w:rPr>
        <w:t>PLoS ONE</w:t>
      </w:r>
      <w:r w:rsidRPr="00DB2F80">
        <w:rPr>
          <w:sz w:val="24"/>
          <w:szCs w:val="24"/>
        </w:rPr>
        <w:t>. https://doi.org/10.1371/journal.pone.0092476</w:t>
      </w:r>
    </w:p>
    <w:p w14:paraId="710ABE9D" w14:textId="77777777" w:rsidR="000A46F0" w:rsidRPr="00DB2F80" w:rsidRDefault="000A46F0" w:rsidP="0040206D">
      <w:pPr>
        <w:pStyle w:val="Bibliography"/>
        <w:spacing w:line="360" w:lineRule="auto"/>
        <w:rPr>
          <w:sz w:val="24"/>
          <w:szCs w:val="24"/>
        </w:rPr>
      </w:pPr>
      <w:r w:rsidRPr="00DB2F80">
        <w:rPr>
          <w:sz w:val="24"/>
          <w:szCs w:val="24"/>
        </w:rPr>
        <w:t xml:space="preserve">Brunner, J. L., Beaty, L., Guitard, A., &amp; Russell, D. (2017). Heterogeneities in the infection process drive ranavirus transmission. </w:t>
      </w:r>
      <w:r w:rsidRPr="00DB2F80">
        <w:rPr>
          <w:i/>
          <w:iCs/>
          <w:sz w:val="24"/>
          <w:szCs w:val="24"/>
        </w:rPr>
        <w:t>Ecology</w:t>
      </w:r>
      <w:r w:rsidRPr="00DB2F80">
        <w:rPr>
          <w:sz w:val="24"/>
          <w:szCs w:val="24"/>
        </w:rPr>
        <w:t xml:space="preserve">, </w:t>
      </w:r>
      <w:r w:rsidRPr="00DB2F80">
        <w:rPr>
          <w:i/>
          <w:iCs/>
          <w:sz w:val="24"/>
          <w:szCs w:val="24"/>
        </w:rPr>
        <w:t>98</w:t>
      </w:r>
      <w:r w:rsidRPr="00DB2F80">
        <w:rPr>
          <w:sz w:val="24"/>
          <w:szCs w:val="24"/>
        </w:rPr>
        <w:t>(2), 576–582. https://doi.org/10.1002/ecy.1644</w:t>
      </w:r>
    </w:p>
    <w:p w14:paraId="443F873E" w14:textId="77777777" w:rsidR="000A46F0" w:rsidRPr="00DB2F80" w:rsidRDefault="000A46F0" w:rsidP="0040206D">
      <w:pPr>
        <w:pStyle w:val="Bibliography"/>
        <w:spacing w:line="360" w:lineRule="auto"/>
        <w:rPr>
          <w:sz w:val="24"/>
          <w:szCs w:val="24"/>
        </w:rPr>
      </w:pPr>
      <w:r w:rsidRPr="00DB2F80">
        <w:rPr>
          <w:sz w:val="24"/>
          <w:szCs w:val="24"/>
        </w:rPr>
        <w:t xml:space="preserve">Cohen, J. M., Civitello, D. J., Brace, A. J., Feichtinger, E. M., Ortega, C. N., Richardson, J. C., Sauer, E. L., Liu, X., &amp; Rohr, J. R. (2016). Spatial scale modulates the strength of ecological processes driving disease distributions. </w:t>
      </w:r>
      <w:r w:rsidRPr="00DB2F80">
        <w:rPr>
          <w:i/>
          <w:iCs/>
          <w:sz w:val="24"/>
          <w:szCs w:val="24"/>
        </w:rPr>
        <w:t>Proceedings of the National Academy of Sciences</w:t>
      </w:r>
      <w:r w:rsidRPr="00DB2F80">
        <w:rPr>
          <w:sz w:val="24"/>
          <w:szCs w:val="24"/>
        </w:rPr>
        <w:t xml:space="preserve">, </w:t>
      </w:r>
      <w:r w:rsidRPr="00DB2F80">
        <w:rPr>
          <w:i/>
          <w:iCs/>
          <w:sz w:val="24"/>
          <w:szCs w:val="24"/>
        </w:rPr>
        <w:t>113</w:t>
      </w:r>
      <w:r w:rsidRPr="00DB2F80">
        <w:rPr>
          <w:sz w:val="24"/>
          <w:szCs w:val="24"/>
        </w:rPr>
        <w:t>(24), E3359–E3364. https://doi.org/10.1073/pnas.1521657113</w:t>
      </w:r>
    </w:p>
    <w:p w14:paraId="54343941" w14:textId="77777777" w:rsidR="000A46F0" w:rsidRPr="00DB2F80" w:rsidRDefault="000A46F0" w:rsidP="0040206D">
      <w:pPr>
        <w:pStyle w:val="Bibliography"/>
        <w:spacing w:line="360" w:lineRule="auto"/>
        <w:rPr>
          <w:sz w:val="24"/>
          <w:szCs w:val="24"/>
        </w:rPr>
      </w:pPr>
      <w:r w:rsidRPr="00DB2F80">
        <w:rPr>
          <w:sz w:val="24"/>
          <w:szCs w:val="24"/>
        </w:rPr>
        <w:t xml:space="preserve">Coleman, A. L. (2018). </w:t>
      </w:r>
      <w:r w:rsidRPr="00DB2F80">
        <w:rPr>
          <w:i/>
          <w:iCs/>
          <w:sz w:val="24"/>
          <w:szCs w:val="24"/>
        </w:rPr>
        <w:t>Incorporating environmental factors into discussions of diversity-disease relationships</w:t>
      </w:r>
      <w:r w:rsidRPr="00DB2F80">
        <w:rPr>
          <w:sz w:val="24"/>
          <w:szCs w:val="24"/>
        </w:rPr>
        <w:t>. University of Georgia.</w:t>
      </w:r>
    </w:p>
    <w:p w14:paraId="72854362"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Diekmann, O., Heesterbeek, J. A. P., &amp; Roberts, M. G. (2009). The construction of next-generation matrices for compartmental epidemic models. </w:t>
      </w:r>
      <w:r w:rsidRPr="00DB2F80">
        <w:rPr>
          <w:i/>
          <w:iCs/>
          <w:sz w:val="24"/>
          <w:szCs w:val="24"/>
        </w:rPr>
        <w:t>Journal of the Royal Society Interface</w:t>
      </w:r>
      <w:r w:rsidRPr="00DB2F80">
        <w:rPr>
          <w:sz w:val="24"/>
          <w:szCs w:val="24"/>
        </w:rPr>
        <w:t xml:space="preserve">, </w:t>
      </w:r>
      <w:r w:rsidRPr="00DB2F80">
        <w:rPr>
          <w:i/>
          <w:iCs/>
          <w:sz w:val="24"/>
          <w:szCs w:val="24"/>
        </w:rPr>
        <w:t>7</w:t>
      </w:r>
      <w:r w:rsidRPr="00DB2F80">
        <w:rPr>
          <w:sz w:val="24"/>
          <w:szCs w:val="24"/>
        </w:rPr>
        <w:t>(47), 873–885. https://doi.org/10.1098/rsif.2009.0386</w:t>
      </w:r>
    </w:p>
    <w:p w14:paraId="7D76FF75" w14:textId="77777777" w:rsidR="000A46F0" w:rsidRPr="00DB2F80" w:rsidRDefault="000A46F0" w:rsidP="0040206D">
      <w:pPr>
        <w:pStyle w:val="Bibliography"/>
        <w:spacing w:line="360" w:lineRule="auto"/>
        <w:rPr>
          <w:sz w:val="24"/>
          <w:szCs w:val="24"/>
        </w:rPr>
      </w:pPr>
      <w:r w:rsidRPr="00DB2F80">
        <w:rPr>
          <w:sz w:val="24"/>
          <w:szCs w:val="24"/>
        </w:rPr>
        <w:t xml:space="preserve">Dillon, W. W., &amp; Meentemeyer, R. K. (2019). Direct and indirect effects of forest microclimate on pathogen spillover. </w:t>
      </w:r>
      <w:r w:rsidRPr="00DB2F80">
        <w:rPr>
          <w:i/>
          <w:iCs/>
          <w:sz w:val="24"/>
          <w:szCs w:val="24"/>
        </w:rPr>
        <w:t>Ecology (Durham)</w:t>
      </w:r>
      <w:r w:rsidRPr="00DB2F80">
        <w:rPr>
          <w:sz w:val="24"/>
          <w:szCs w:val="24"/>
        </w:rPr>
        <w:t xml:space="preserve">, </w:t>
      </w:r>
      <w:r w:rsidRPr="00DB2F80">
        <w:rPr>
          <w:i/>
          <w:iCs/>
          <w:sz w:val="24"/>
          <w:szCs w:val="24"/>
        </w:rPr>
        <w:t>100</w:t>
      </w:r>
      <w:r w:rsidRPr="00DB2F80">
        <w:rPr>
          <w:sz w:val="24"/>
          <w:szCs w:val="24"/>
        </w:rPr>
        <w:t>(5), e02686-n/a. https://doi.org/10.1002/ecy.2686</w:t>
      </w:r>
    </w:p>
    <w:p w14:paraId="59332B41" w14:textId="77777777" w:rsidR="000A46F0" w:rsidRPr="00DB2F80" w:rsidRDefault="000A46F0" w:rsidP="0040206D">
      <w:pPr>
        <w:pStyle w:val="Bibliography"/>
        <w:spacing w:line="360" w:lineRule="auto"/>
        <w:rPr>
          <w:sz w:val="24"/>
          <w:szCs w:val="24"/>
        </w:rPr>
      </w:pPr>
      <w:r w:rsidRPr="00DB2F80">
        <w:rPr>
          <w:sz w:val="24"/>
          <w:szCs w:val="24"/>
        </w:rPr>
        <w:t xml:space="preserve">Dobson, A. (2004). Population Dynamics of Pathogens with Multiple Host Species. </w:t>
      </w:r>
      <w:r w:rsidRPr="00DB2F80">
        <w:rPr>
          <w:i/>
          <w:iCs/>
          <w:sz w:val="24"/>
          <w:szCs w:val="24"/>
        </w:rPr>
        <w:t>The American Naturalist</w:t>
      </w:r>
      <w:r w:rsidRPr="00DB2F80">
        <w:rPr>
          <w:sz w:val="24"/>
          <w:szCs w:val="24"/>
        </w:rPr>
        <w:t xml:space="preserve">, </w:t>
      </w:r>
      <w:r w:rsidRPr="00DB2F80">
        <w:rPr>
          <w:i/>
          <w:iCs/>
          <w:sz w:val="24"/>
          <w:szCs w:val="24"/>
        </w:rPr>
        <w:t>164</w:t>
      </w:r>
      <w:r w:rsidRPr="00DB2F80">
        <w:rPr>
          <w:sz w:val="24"/>
          <w:szCs w:val="24"/>
        </w:rPr>
        <w:t>(S5), S64–S78. https://doi.org/10.1086/424681</w:t>
      </w:r>
    </w:p>
    <w:p w14:paraId="1B0F5147" w14:textId="77777777" w:rsidR="000A46F0" w:rsidRPr="00DB2F80" w:rsidRDefault="000A46F0" w:rsidP="0040206D">
      <w:pPr>
        <w:pStyle w:val="Bibliography"/>
        <w:spacing w:line="360" w:lineRule="auto"/>
        <w:rPr>
          <w:sz w:val="24"/>
          <w:szCs w:val="24"/>
        </w:rPr>
      </w:pPr>
      <w:r w:rsidRPr="00DB2F80">
        <w:rPr>
          <w:sz w:val="24"/>
          <w:szCs w:val="24"/>
        </w:rPr>
        <w:t xml:space="preserve">Downs, C. J., Schoenle, L. A., Han, B. A., Harrison, J. F., &amp; Martin, L. B. (2019). Scaling of Host Competence. </w:t>
      </w:r>
      <w:r w:rsidRPr="00DB2F80">
        <w:rPr>
          <w:i/>
          <w:iCs/>
          <w:sz w:val="24"/>
          <w:szCs w:val="24"/>
        </w:rPr>
        <w:t>Trends in Parasitology</w:t>
      </w:r>
      <w:r w:rsidRPr="00DB2F80">
        <w:rPr>
          <w:sz w:val="24"/>
          <w:szCs w:val="24"/>
        </w:rPr>
        <w:t xml:space="preserve">, </w:t>
      </w:r>
      <w:r w:rsidRPr="00DB2F80">
        <w:rPr>
          <w:i/>
          <w:iCs/>
          <w:sz w:val="24"/>
          <w:szCs w:val="24"/>
        </w:rPr>
        <w:t>35</w:t>
      </w:r>
      <w:r w:rsidRPr="00DB2F80">
        <w:rPr>
          <w:sz w:val="24"/>
          <w:szCs w:val="24"/>
        </w:rPr>
        <w:t>(3), 182–192. https://doi.org/10.1016/j.pt.2018.12.002</w:t>
      </w:r>
    </w:p>
    <w:p w14:paraId="35ADE384" w14:textId="77777777" w:rsidR="000A46F0" w:rsidRPr="00DB2F80" w:rsidRDefault="000A46F0" w:rsidP="0040206D">
      <w:pPr>
        <w:pStyle w:val="Bibliography"/>
        <w:spacing w:line="360" w:lineRule="auto"/>
        <w:rPr>
          <w:sz w:val="24"/>
          <w:szCs w:val="24"/>
        </w:rPr>
      </w:pPr>
      <w:r w:rsidRPr="00DB2F80">
        <w:rPr>
          <w:sz w:val="24"/>
          <w:szCs w:val="24"/>
        </w:rPr>
        <w:t xml:space="preserve">Eisenberg, M. C., Robertson, S. L., &amp; Tien, J. H. (2013). Identifiability and estimation of multiple transmission pathways in cholera and waterborne disease. </w:t>
      </w:r>
      <w:r w:rsidRPr="00DB2F80">
        <w:rPr>
          <w:i/>
          <w:iCs/>
          <w:sz w:val="24"/>
          <w:szCs w:val="24"/>
        </w:rPr>
        <w:t>Journal of Theoretical Biology</w:t>
      </w:r>
      <w:r w:rsidRPr="00DB2F80">
        <w:rPr>
          <w:sz w:val="24"/>
          <w:szCs w:val="24"/>
        </w:rPr>
        <w:t xml:space="preserve">, </w:t>
      </w:r>
      <w:r w:rsidRPr="00DB2F80">
        <w:rPr>
          <w:i/>
          <w:iCs/>
          <w:sz w:val="24"/>
          <w:szCs w:val="24"/>
        </w:rPr>
        <w:t>324</w:t>
      </w:r>
      <w:r w:rsidRPr="00DB2F80">
        <w:rPr>
          <w:sz w:val="24"/>
          <w:szCs w:val="24"/>
        </w:rPr>
        <w:t>, 84–102. https://doi.org/10.1016/j.jtbi.2012.12.021</w:t>
      </w:r>
    </w:p>
    <w:p w14:paraId="6AFE06CF" w14:textId="77777777" w:rsidR="000A46F0" w:rsidRPr="00DB2F80" w:rsidRDefault="000A46F0" w:rsidP="0040206D">
      <w:pPr>
        <w:pStyle w:val="Bibliography"/>
        <w:spacing w:line="360" w:lineRule="auto"/>
        <w:rPr>
          <w:sz w:val="24"/>
          <w:szCs w:val="24"/>
        </w:rPr>
      </w:pPr>
      <w:r w:rsidRPr="00DB2F80">
        <w:rPr>
          <w:sz w:val="24"/>
          <w:szCs w:val="24"/>
        </w:rPr>
        <w:t xml:space="preserve">Fenton, A., Fairbairn, J. P., Norman, R., &amp; Hudson, P. J. (2002). Parasite transmission: Reconciling theory and reality. </w:t>
      </w:r>
      <w:r w:rsidRPr="00DB2F80">
        <w:rPr>
          <w:i/>
          <w:iCs/>
          <w:sz w:val="24"/>
          <w:szCs w:val="24"/>
        </w:rPr>
        <w:t>Journal of Animal Ecology</w:t>
      </w:r>
      <w:r w:rsidRPr="00DB2F80">
        <w:rPr>
          <w:sz w:val="24"/>
          <w:szCs w:val="24"/>
        </w:rPr>
        <w:t xml:space="preserve">, </w:t>
      </w:r>
      <w:r w:rsidRPr="00DB2F80">
        <w:rPr>
          <w:i/>
          <w:iCs/>
          <w:sz w:val="24"/>
          <w:szCs w:val="24"/>
        </w:rPr>
        <w:t>71</w:t>
      </w:r>
      <w:r w:rsidRPr="00DB2F80">
        <w:rPr>
          <w:sz w:val="24"/>
          <w:szCs w:val="24"/>
        </w:rPr>
        <w:t>(5), 893–905. https://doi.org/10.1046/j.1365-2656.2002.00656.x</w:t>
      </w:r>
    </w:p>
    <w:p w14:paraId="2E581475" w14:textId="77777777" w:rsidR="000A46F0" w:rsidRPr="00DB2F80" w:rsidRDefault="000A46F0" w:rsidP="0040206D">
      <w:pPr>
        <w:pStyle w:val="Bibliography"/>
        <w:spacing w:line="360" w:lineRule="auto"/>
        <w:rPr>
          <w:sz w:val="24"/>
          <w:szCs w:val="24"/>
        </w:rPr>
      </w:pPr>
      <w:r w:rsidRPr="00DB2F80">
        <w:rPr>
          <w:sz w:val="24"/>
          <w:szCs w:val="24"/>
        </w:rPr>
        <w:t>Fountain</w:t>
      </w:r>
      <w:r w:rsidRPr="00DB2F80">
        <w:rPr>
          <w:rFonts w:ascii="Cambria Math" w:hAnsi="Cambria Math" w:cs="Cambria Math"/>
          <w:sz w:val="24"/>
          <w:szCs w:val="24"/>
        </w:rPr>
        <w:t>‐</w:t>
      </w:r>
      <w:r w:rsidRPr="00DB2F80">
        <w:rPr>
          <w:sz w:val="24"/>
          <w:szCs w:val="24"/>
        </w:rPr>
        <w:t>Jones, N. M., Pearse, W. D., Escobar, L. E., Alba</w:t>
      </w:r>
      <w:r w:rsidRPr="00DB2F80">
        <w:rPr>
          <w:rFonts w:ascii="Cambria Math" w:hAnsi="Cambria Math" w:cs="Cambria Math"/>
          <w:sz w:val="24"/>
          <w:szCs w:val="24"/>
        </w:rPr>
        <w:t>‐</w:t>
      </w:r>
      <w:r w:rsidRPr="00DB2F80">
        <w:rPr>
          <w:sz w:val="24"/>
          <w:szCs w:val="24"/>
        </w:rPr>
        <w:t>Casals, A., Carver, S., Davies, T. J., Kraberger, S., Papeş, M., Vandegrift, K., Worsley</w:t>
      </w:r>
      <w:r w:rsidRPr="00DB2F80">
        <w:rPr>
          <w:rFonts w:ascii="Cambria Math" w:hAnsi="Cambria Math" w:cs="Cambria Math"/>
          <w:sz w:val="24"/>
          <w:szCs w:val="24"/>
        </w:rPr>
        <w:t>‐</w:t>
      </w:r>
      <w:r w:rsidRPr="00DB2F80">
        <w:rPr>
          <w:sz w:val="24"/>
          <w:szCs w:val="24"/>
        </w:rPr>
        <w:t>Tonks, K., &amp; Craft, M. E. (2018). Towards an eco</w:t>
      </w:r>
      <w:r w:rsidRPr="00DB2F80">
        <w:rPr>
          <w:rFonts w:ascii="Cambria Math" w:hAnsi="Cambria Math" w:cs="Cambria Math"/>
          <w:sz w:val="24"/>
          <w:szCs w:val="24"/>
        </w:rPr>
        <w:t>‐</w:t>
      </w:r>
      <w:r w:rsidRPr="00DB2F80">
        <w:rPr>
          <w:sz w:val="24"/>
          <w:szCs w:val="24"/>
        </w:rPr>
        <w:t xml:space="preserve">phylogenetic framework for infectious disease ecology. </w:t>
      </w:r>
      <w:r w:rsidRPr="00DB2F80">
        <w:rPr>
          <w:i/>
          <w:iCs/>
          <w:sz w:val="24"/>
          <w:szCs w:val="24"/>
        </w:rPr>
        <w:t>Biological Reviews</w:t>
      </w:r>
      <w:r w:rsidRPr="00DB2F80">
        <w:rPr>
          <w:sz w:val="24"/>
          <w:szCs w:val="24"/>
        </w:rPr>
        <w:t xml:space="preserve">, </w:t>
      </w:r>
      <w:r w:rsidRPr="00DB2F80">
        <w:rPr>
          <w:i/>
          <w:iCs/>
          <w:sz w:val="24"/>
          <w:szCs w:val="24"/>
        </w:rPr>
        <w:t>93</w:t>
      </w:r>
      <w:r w:rsidRPr="00DB2F80">
        <w:rPr>
          <w:sz w:val="24"/>
          <w:szCs w:val="24"/>
        </w:rPr>
        <w:t>(2), 950–970. https://doi.org/10.1111/brv.12380</w:t>
      </w:r>
    </w:p>
    <w:p w14:paraId="04159D81" w14:textId="77777777" w:rsidR="000A46F0" w:rsidRPr="00DB2F80" w:rsidRDefault="000A46F0" w:rsidP="0040206D">
      <w:pPr>
        <w:pStyle w:val="Bibliography"/>
        <w:spacing w:line="360" w:lineRule="auto"/>
        <w:rPr>
          <w:sz w:val="24"/>
          <w:szCs w:val="24"/>
        </w:rPr>
      </w:pPr>
      <w:r w:rsidRPr="00DB2F80">
        <w:rPr>
          <w:sz w:val="24"/>
          <w:szCs w:val="24"/>
        </w:rPr>
        <w:t xml:space="preserve">Gehman, A.-L. M., Hall, R. J., &amp; Byers, J. E. (2018). Host and parasite thermal ecology jointly determine the effect of climate warming on epidemic dynamics. </w:t>
      </w:r>
      <w:r w:rsidRPr="00DB2F80">
        <w:rPr>
          <w:i/>
          <w:iCs/>
          <w:sz w:val="24"/>
          <w:szCs w:val="24"/>
        </w:rPr>
        <w:t>Proceedings of the National Academy of Sciences</w:t>
      </w:r>
      <w:r w:rsidRPr="00DB2F80">
        <w:rPr>
          <w:sz w:val="24"/>
          <w:szCs w:val="24"/>
        </w:rPr>
        <w:t xml:space="preserve">, </w:t>
      </w:r>
      <w:r w:rsidRPr="00DB2F80">
        <w:rPr>
          <w:i/>
          <w:iCs/>
          <w:sz w:val="24"/>
          <w:szCs w:val="24"/>
        </w:rPr>
        <w:t>115</w:t>
      </w:r>
      <w:r w:rsidRPr="00DB2F80">
        <w:rPr>
          <w:sz w:val="24"/>
          <w:szCs w:val="24"/>
        </w:rPr>
        <w:t>(4), 744–749. https://doi.org/10.1073/pnas.1705067115</w:t>
      </w:r>
    </w:p>
    <w:p w14:paraId="4C481EE7" w14:textId="77777777" w:rsidR="000A46F0" w:rsidRPr="00DB2F80" w:rsidRDefault="000A46F0" w:rsidP="0040206D">
      <w:pPr>
        <w:pStyle w:val="Bibliography"/>
        <w:spacing w:line="360" w:lineRule="auto"/>
        <w:rPr>
          <w:sz w:val="24"/>
          <w:szCs w:val="24"/>
        </w:rPr>
      </w:pPr>
      <w:r w:rsidRPr="00DB2F80">
        <w:rPr>
          <w:sz w:val="24"/>
          <w:szCs w:val="24"/>
        </w:rPr>
        <w:t xml:space="preserve">Gray, M. J., Miller, D. L., &amp; Hoverman, J. T. (2009). Ecology and pathology of amphibian ranaviruses. </w:t>
      </w:r>
      <w:r w:rsidRPr="00DB2F80">
        <w:rPr>
          <w:i/>
          <w:iCs/>
          <w:sz w:val="24"/>
          <w:szCs w:val="24"/>
        </w:rPr>
        <w:t>Diseases of Aquatic Organisms</w:t>
      </w:r>
      <w:r w:rsidRPr="00DB2F80">
        <w:rPr>
          <w:sz w:val="24"/>
          <w:szCs w:val="24"/>
        </w:rPr>
        <w:t xml:space="preserve">, </w:t>
      </w:r>
      <w:r w:rsidRPr="00DB2F80">
        <w:rPr>
          <w:i/>
          <w:iCs/>
          <w:sz w:val="24"/>
          <w:szCs w:val="24"/>
        </w:rPr>
        <w:t>87</w:t>
      </w:r>
      <w:r w:rsidRPr="00DB2F80">
        <w:rPr>
          <w:sz w:val="24"/>
          <w:szCs w:val="24"/>
        </w:rPr>
        <w:t>(3), 243–266. https://doi.org/10.3354/dao02138</w:t>
      </w:r>
    </w:p>
    <w:p w14:paraId="05D650E0"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Hall, E. M., Goldberg, C. S., Brunner, J. L., &amp; Crespi, E. J. (2018). Seasonal dynamics and potential drivers of ranavirus epidemics in wood frog populations. </w:t>
      </w:r>
      <w:r w:rsidRPr="00DB2F80">
        <w:rPr>
          <w:i/>
          <w:iCs/>
          <w:sz w:val="24"/>
          <w:szCs w:val="24"/>
        </w:rPr>
        <w:t>Oecologia</w:t>
      </w:r>
      <w:r w:rsidRPr="00DB2F80">
        <w:rPr>
          <w:sz w:val="24"/>
          <w:szCs w:val="24"/>
        </w:rPr>
        <w:t xml:space="preserve">, </w:t>
      </w:r>
      <w:r w:rsidRPr="00DB2F80">
        <w:rPr>
          <w:i/>
          <w:iCs/>
          <w:sz w:val="24"/>
          <w:szCs w:val="24"/>
        </w:rPr>
        <w:t>188</w:t>
      </w:r>
      <w:r w:rsidRPr="00DB2F80">
        <w:rPr>
          <w:sz w:val="24"/>
          <w:szCs w:val="24"/>
        </w:rPr>
        <w:t>(4), 1253–1262. https://doi.org/10.1007/s00442-018-4274-4</w:t>
      </w:r>
    </w:p>
    <w:p w14:paraId="09E94365" w14:textId="77777777" w:rsidR="000A46F0" w:rsidRPr="00DB2F80" w:rsidRDefault="000A46F0" w:rsidP="0040206D">
      <w:pPr>
        <w:pStyle w:val="Bibliography"/>
        <w:spacing w:line="360" w:lineRule="auto"/>
        <w:rPr>
          <w:sz w:val="24"/>
          <w:szCs w:val="24"/>
        </w:rPr>
      </w:pPr>
      <w:r w:rsidRPr="00DB2F80">
        <w:rPr>
          <w:sz w:val="24"/>
          <w:szCs w:val="24"/>
        </w:rPr>
        <w:t xml:space="preserve">Holt, R. D., Dobson, A. P., Begon, M., Bowers, R. G., &amp; Schauber, E. M. (2003). Parasite establishment in host communities. </w:t>
      </w:r>
      <w:r w:rsidRPr="00DB2F80">
        <w:rPr>
          <w:i/>
          <w:iCs/>
          <w:sz w:val="24"/>
          <w:szCs w:val="24"/>
        </w:rPr>
        <w:t>Ecology Letters</w:t>
      </w:r>
      <w:r w:rsidRPr="00DB2F80">
        <w:rPr>
          <w:sz w:val="24"/>
          <w:szCs w:val="24"/>
        </w:rPr>
        <w:t xml:space="preserve">, </w:t>
      </w:r>
      <w:r w:rsidRPr="00DB2F80">
        <w:rPr>
          <w:i/>
          <w:iCs/>
          <w:sz w:val="24"/>
          <w:szCs w:val="24"/>
        </w:rPr>
        <w:t>6</w:t>
      </w:r>
      <w:r w:rsidRPr="00DB2F80">
        <w:rPr>
          <w:sz w:val="24"/>
          <w:szCs w:val="24"/>
        </w:rPr>
        <w:t>(9), 837–842. https://doi.org/10.1046/j.1461-0248.2003.00501.x</w:t>
      </w:r>
    </w:p>
    <w:p w14:paraId="54CB3F00" w14:textId="77777777" w:rsidR="000A46F0" w:rsidRPr="00DB2F80" w:rsidRDefault="000A46F0" w:rsidP="0040206D">
      <w:pPr>
        <w:pStyle w:val="Bibliography"/>
        <w:spacing w:line="360" w:lineRule="auto"/>
        <w:rPr>
          <w:sz w:val="24"/>
          <w:szCs w:val="24"/>
        </w:rPr>
      </w:pPr>
      <w:r w:rsidRPr="00DB2F80">
        <w:rPr>
          <w:sz w:val="24"/>
          <w:szCs w:val="24"/>
        </w:rPr>
        <w:t>Hopkins, S. R., Fleming</w:t>
      </w:r>
      <w:r w:rsidRPr="00DB2F80">
        <w:rPr>
          <w:rFonts w:ascii="Cambria Math" w:hAnsi="Cambria Math" w:cs="Cambria Math"/>
          <w:sz w:val="24"/>
          <w:szCs w:val="24"/>
        </w:rPr>
        <w:t>‐</w:t>
      </w:r>
      <w:r w:rsidRPr="00DB2F80">
        <w:rPr>
          <w:sz w:val="24"/>
          <w:szCs w:val="24"/>
        </w:rPr>
        <w:t xml:space="preserve">Davies, A. E., Belden, L. K., Wojdak, J. M., &amp; Golding, N. (2020). Systematic review of modelling assumptions and empirical evidence: Does parasite transmission increase nonlinearly with host density? </w:t>
      </w:r>
      <w:r w:rsidRPr="00DB2F80">
        <w:rPr>
          <w:i/>
          <w:iCs/>
          <w:sz w:val="24"/>
          <w:szCs w:val="24"/>
        </w:rPr>
        <w:t>Methods in Ecology and Evolution</w:t>
      </w:r>
      <w:r w:rsidRPr="00DB2F80">
        <w:rPr>
          <w:sz w:val="24"/>
          <w:szCs w:val="24"/>
        </w:rPr>
        <w:t xml:space="preserve">, </w:t>
      </w:r>
      <w:r w:rsidRPr="00DB2F80">
        <w:rPr>
          <w:i/>
          <w:iCs/>
          <w:sz w:val="24"/>
          <w:szCs w:val="24"/>
        </w:rPr>
        <w:t>11</w:t>
      </w:r>
      <w:r w:rsidRPr="00DB2F80">
        <w:rPr>
          <w:sz w:val="24"/>
          <w:szCs w:val="24"/>
        </w:rPr>
        <w:t>(4), 476–486. https://doi.org/10.1111/2041-210X.13361</w:t>
      </w:r>
    </w:p>
    <w:p w14:paraId="143CBD84" w14:textId="77777777" w:rsidR="000A46F0" w:rsidRPr="00DB2F80" w:rsidRDefault="000A46F0" w:rsidP="0040206D">
      <w:pPr>
        <w:pStyle w:val="Bibliography"/>
        <w:spacing w:line="360" w:lineRule="auto"/>
        <w:rPr>
          <w:sz w:val="24"/>
          <w:szCs w:val="24"/>
        </w:rPr>
      </w:pPr>
      <w:r w:rsidRPr="00DB2F80">
        <w:rPr>
          <w:sz w:val="24"/>
          <w:szCs w:val="24"/>
        </w:rPr>
        <w:t xml:space="preserve">Johnson, A. F., &amp; Brunner, J. L. (2014). Persistence of an amphibian ranavirus in aquatic communities. </w:t>
      </w:r>
      <w:r w:rsidRPr="00DB2F80">
        <w:rPr>
          <w:i/>
          <w:iCs/>
          <w:sz w:val="24"/>
          <w:szCs w:val="24"/>
        </w:rPr>
        <w:t>Diseases of Aquatic Organisms</w:t>
      </w:r>
      <w:r w:rsidRPr="00DB2F80">
        <w:rPr>
          <w:sz w:val="24"/>
          <w:szCs w:val="24"/>
        </w:rPr>
        <w:t xml:space="preserve">, </w:t>
      </w:r>
      <w:r w:rsidRPr="00DB2F80">
        <w:rPr>
          <w:i/>
          <w:iCs/>
          <w:sz w:val="24"/>
          <w:szCs w:val="24"/>
        </w:rPr>
        <w:t>111</w:t>
      </w:r>
      <w:r w:rsidRPr="00DB2F80">
        <w:rPr>
          <w:sz w:val="24"/>
          <w:szCs w:val="24"/>
        </w:rPr>
        <w:t>(2), 129–138. https://doi.org/10.3354/dao02774</w:t>
      </w:r>
    </w:p>
    <w:p w14:paraId="793F349C" w14:textId="77777777" w:rsidR="000A46F0" w:rsidRPr="00DB2F80" w:rsidRDefault="000A46F0" w:rsidP="0040206D">
      <w:pPr>
        <w:pStyle w:val="Bibliography"/>
        <w:spacing w:line="360" w:lineRule="auto"/>
        <w:rPr>
          <w:sz w:val="24"/>
          <w:szCs w:val="24"/>
        </w:rPr>
      </w:pPr>
      <w:r w:rsidRPr="00DB2F80">
        <w:rPr>
          <w:sz w:val="24"/>
          <w:szCs w:val="24"/>
        </w:rPr>
        <w:t xml:space="preserve">Johnson, P. T. J., Ostfeld, R. S., &amp; Keesing, F. (2015). Frontiers in research on biodiversity and disease. </w:t>
      </w:r>
      <w:r w:rsidRPr="00DB2F80">
        <w:rPr>
          <w:i/>
          <w:iCs/>
          <w:sz w:val="24"/>
          <w:szCs w:val="24"/>
        </w:rPr>
        <w:t>Ecology Letters</w:t>
      </w:r>
      <w:r w:rsidRPr="00DB2F80">
        <w:rPr>
          <w:sz w:val="24"/>
          <w:szCs w:val="24"/>
        </w:rPr>
        <w:t>. https://doi.org/10.1111/ele.12479</w:t>
      </w:r>
    </w:p>
    <w:p w14:paraId="08D245B4" w14:textId="77777777" w:rsidR="000A46F0" w:rsidRPr="00DB2F80" w:rsidRDefault="000A46F0" w:rsidP="0040206D">
      <w:pPr>
        <w:pStyle w:val="Bibliography"/>
        <w:spacing w:line="360" w:lineRule="auto"/>
        <w:rPr>
          <w:sz w:val="24"/>
          <w:szCs w:val="24"/>
        </w:rPr>
      </w:pPr>
      <w:r w:rsidRPr="00DB2F80">
        <w:rPr>
          <w:sz w:val="24"/>
          <w:szCs w:val="24"/>
        </w:rPr>
        <w:t xml:space="preserve">Johnson, P. T. J., Preston, D. L., Hoverman, J. T., &amp; Richgels, K. L. D. (2013). Biodiversity decreases disease through predictable changes in host community competence. </w:t>
      </w:r>
      <w:r w:rsidRPr="00DB2F80">
        <w:rPr>
          <w:i/>
          <w:iCs/>
          <w:sz w:val="24"/>
          <w:szCs w:val="24"/>
        </w:rPr>
        <w:t>Nature</w:t>
      </w:r>
      <w:r w:rsidRPr="00DB2F80">
        <w:rPr>
          <w:sz w:val="24"/>
          <w:szCs w:val="24"/>
        </w:rPr>
        <w:t>. https://doi.org/10.1038/nature11883</w:t>
      </w:r>
    </w:p>
    <w:p w14:paraId="05C8B5A1" w14:textId="77777777" w:rsidR="000A46F0" w:rsidRPr="00DB2F80" w:rsidRDefault="000A46F0" w:rsidP="0040206D">
      <w:pPr>
        <w:pStyle w:val="Bibliography"/>
        <w:spacing w:line="360" w:lineRule="auto"/>
        <w:rPr>
          <w:sz w:val="24"/>
          <w:szCs w:val="24"/>
        </w:rPr>
      </w:pPr>
      <w:r w:rsidRPr="00DB2F80">
        <w:rPr>
          <w:sz w:val="24"/>
          <w:szCs w:val="24"/>
        </w:rPr>
        <w:t xml:space="preserve">Lesbarrères, D., Balseiro, A., Brunner, J., Chinchar, V. G., Duffus, A., Kerby, J., Miller, D. L., Robert, J., Schock, D. M., Waltzek, T., &amp; Gray, M. J. (2012). Ranavirus: Past, </w:t>
      </w:r>
      <w:proofErr w:type="gramStart"/>
      <w:r w:rsidRPr="00DB2F80">
        <w:rPr>
          <w:sz w:val="24"/>
          <w:szCs w:val="24"/>
        </w:rPr>
        <w:t>present</w:t>
      </w:r>
      <w:proofErr w:type="gramEnd"/>
      <w:r w:rsidRPr="00DB2F80">
        <w:rPr>
          <w:sz w:val="24"/>
          <w:szCs w:val="24"/>
        </w:rPr>
        <w:t xml:space="preserve"> and future. </w:t>
      </w:r>
      <w:r w:rsidRPr="00DB2F80">
        <w:rPr>
          <w:i/>
          <w:iCs/>
          <w:sz w:val="24"/>
          <w:szCs w:val="24"/>
        </w:rPr>
        <w:t>Biology Letters</w:t>
      </w:r>
      <w:r w:rsidRPr="00DB2F80">
        <w:rPr>
          <w:sz w:val="24"/>
          <w:szCs w:val="24"/>
        </w:rPr>
        <w:t xml:space="preserve">, </w:t>
      </w:r>
      <w:r w:rsidRPr="00DB2F80">
        <w:rPr>
          <w:i/>
          <w:iCs/>
          <w:sz w:val="24"/>
          <w:szCs w:val="24"/>
        </w:rPr>
        <w:t>8</w:t>
      </w:r>
      <w:r w:rsidRPr="00DB2F80">
        <w:rPr>
          <w:sz w:val="24"/>
          <w:szCs w:val="24"/>
        </w:rPr>
        <w:t>(4), 481–483. https://doi.org/10.1098/rsbl.2011.0951</w:t>
      </w:r>
    </w:p>
    <w:p w14:paraId="7FEC8D8B" w14:textId="77777777" w:rsidR="000A46F0" w:rsidRPr="00DB2F80" w:rsidRDefault="000A46F0" w:rsidP="0040206D">
      <w:pPr>
        <w:pStyle w:val="Bibliography"/>
        <w:spacing w:line="360" w:lineRule="auto"/>
        <w:rPr>
          <w:sz w:val="24"/>
          <w:szCs w:val="24"/>
        </w:rPr>
      </w:pPr>
      <w:r w:rsidRPr="00DB2F80">
        <w:rPr>
          <w:sz w:val="24"/>
          <w:szCs w:val="24"/>
        </w:rPr>
        <w:t xml:space="preserve">Love, C., Winzeler, M., Beasley, R., Scott, D., Nunziata, S., &amp; Lance, S. (2016). Patterns of amphibian infection prevalence across wetlands on the Savannah River Site, South Carolina, USA. </w:t>
      </w:r>
      <w:r w:rsidRPr="00DB2F80">
        <w:rPr>
          <w:i/>
          <w:iCs/>
          <w:sz w:val="24"/>
          <w:szCs w:val="24"/>
        </w:rPr>
        <w:t>Diseases of Aquatic Organisms</w:t>
      </w:r>
      <w:r w:rsidRPr="00DB2F80">
        <w:rPr>
          <w:sz w:val="24"/>
          <w:szCs w:val="24"/>
        </w:rPr>
        <w:t xml:space="preserve">, </w:t>
      </w:r>
      <w:r w:rsidRPr="00DB2F80">
        <w:rPr>
          <w:i/>
          <w:iCs/>
          <w:sz w:val="24"/>
          <w:szCs w:val="24"/>
        </w:rPr>
        <w:t>121</w:t>
      </w:r>
      <w:r w:rsidRPr="00DB2F80">
        <w:rPr>
          <w:sz w:val="24"/>
          <w:szCs w:val="24"/>
        </w:rPr>
        <w:t>(1), 1–14. https://doi.org/10.3354/dao03039</w:t>
      </w:r>
    </w:p>
    <w:p w14:paraId="30FF0635" w14:textId="77777777" w:rsidR="000A46F0" w:rsidRPr="00DB2F80" w:rsidRDefault="000A46F0" w:rsidP="0040206D">
      <w:pPr>
        <w:pStyle w:val="Bibliography"/>
        <w:spacing w:line="360" w:lineRule="auto"/>
        <w:rPr>
          <w:sz w:val="24"/>
          <w:szCs w:val="24"/>
        </w:rPr>
      </w:pPr>
      <w:r w:rsidRPr="00DB2F80">
        <w:rPr>
          <w:sz w:val="24"/>
          <w:szCs w:val="24"/>
        </w:rPr>
        <w:t xml:space="preserve">Majewska, A. A., Sims, S., Schneider, A., Altizer, S., &amp; Hall, R. J. (2019). Multiple transmission routes sustain high prevalence of a virulent parasite in a butterfly host. </w:t>
      </w:r>
      <w:r w:rsidRPr="00DB2F80">
        <w:rPr>
          <w:i/>
          <w:iCs/>
          <w:sz w:val="24"/>
          <w:szCs w:val="24"/>
        </w:rPr>
        <w:t>Proceedings of the Royal Society B: Biological Sciences</w:t>
      </w:r>
      <w:r w:rsidRPr="00DB2F80">
        <w:rPr>
          <w:sz w:val="24"/>
          <w:szCs w:val="24"/>
        </w:rPr>
        <w:t xml:space="preserve">, </w:t>
      </w:r>
      <w:r w:rsidRPr="00DB2F80">
        <w:rPr>
          <w:i/>
          <w:iCs/>
          <w:sz w:val="24"/>
          <w:szCs w:val="24"/>
        </w:rPr>
        <w:t>286</w:t>
      </w:r>
      <w:r w:rsidRPr="00DB2F80">
        <w:rPr>
          <w:sz w:val="24"/>
          <w:szCs w:val="24"/>
        </w:rPr>
        <w:t>(1910), 20191630. https://doi.org/10.1098/rspb.2019.1630</w:t>
      </w:r>
    </w:p>
    <w:p w14:paraId="429DEAB5"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Martin, L. B., Burgan, S. C., Adelman, J. S., &amp; Gervasi, S. S. (2016). Host Competence: An Organismal Trait to Integrate Immunology and Epidemiology. </w:t>
      </w:r>
      <w:r w:rsidRPr="00DB2F80">
        <w:rPr>
          <w:i/>
          <w:iCs/>
          <w:sz w:val="24"/>
          <w:szCs w:val="24"/>
        </w:rPr>
        <w:t>Integrative and Comparative Biology</w:t>
      </w:r>
      <w:r w:rsidRPr="00DB2F80">
        <w:rPr>
          <w:sz w:val="24"/>
          <w:szCs w:val="24"/>
        </w:rPr>
        <w:t xml:space="preserve">, </w:t>
      </w:r>
      <w:r w:rsidRPr="00DB2F80">
        <w:rPr>
          <w:i/>
          <w:iCs/>
          <w:sz w:val="24"/>
          <w:szCs w:val="24"/>
        </w:rPr>
        <w:t>56</w:t>
      </w:r>
      <w:r w:rsidRPr="00DB2F80">
        <w:rPr>
          <w:sz w:val="24"/>
          <w:szCs w:val="24"/>
        </w:rPr>
        <w:t>(6), 1225–1237. https://doi.org/10.1093/icb/icw064</w:t>
      </w:r>
    </w:p>
    <w:p w14:paraId="3F41F839" w14:textId="77777777" w:rsidR="000A46F0" w:rsidRPr="00DB2F80" w:rsidRDefault="000A46F0" w:rsidP="0040206D">
      <w:pPr>
        <w:pStyle w:val="Bibliography"/>
        <w:spacing w:line="360" w:lineRule="auto"/>
        <w:rPr>
          <w:sz w:val="24"/>
          <w:szCs w:val="24"/>
        </w:rPr>
      </w:pPr>
      <w:r w:rsidRPr="00DB2F80">
        <w:rPr>
          <w:sz w:val="24"/>
          <w:szCs w:val="24"/>
        </w:rPr>
        <w:t xml:space="preserve">Merrill, T. E. S., &amp; Johnson, P. T. J. (2020). Towards a mechanistic understanding of competence: A missing link in diversity-disease research. </w:t>
      </w:r>
      <w:r w:rsidRPr="00DB2F80">
        <w:rPr>
          <w:i/>
          <w:iCs/>
          <w:sz w:val="24"/>
          <w:szCs w:val="24"/>
        </w:rPr>
        <w:t>Review</w:t>
      </w:r>
      <w:r w:rsidRPr="00DB2F80">
        <w:rPr>
          <w:sz w:val="24"/>
          <w:szCs w:val="24"/>
        </w:rPr>
        <w:t>.</w:t>
      </w:r>
    </w:p>
    <w:p w14:paraId="60DC6DB5" w14:textId="77777777" w:rsidR="000A46F0" w:rsidRPr="00DB2F80" w:rsidRDefault="000A46F0" w:rsidP="0040206D">
      <w:pPr>
        <w:pStyle w:val="Bibliography"/>
        <w:spacing w:line="360" w:lineRule="auto"/>
        <w:rPr>
          <w:sz w:val="24"/>
          <w:szCs w:val="24"/>
        </w:rPr>
      </w:pPr>
      <w:r w:rsidRPr="00DB2F80">
        <w:rPr>
          <w:sz w:val="24"/>
          <w:szCs w:val="24"/>
        </w:rPr>
        <w:t xml:space="preserve">Miller, D., Gray, M., &amp; Storfer, A. (2011). Ecopathology of Ranaviruses Infecting Amphibians. </w:t>
      </w:r>
      <w:r w:rsidRPr="00DB2F80">
        <w:rPr>
          <w:i/>
          <w:iCs/>
          <w:sz w:val="24"/>
          <w:szCs w:val="24"/>
        </w:rPr>
        <w:t>Viruses</w:t>
      </w:r>
      <w:r w:rsidRPr="00DB2F80">
        <w:rPr>
          <w:sz w:val="24"/>
          <w:szCs w:val="24"/>
        </w:rPr>
        <w:t xml:space="preserve">, </w:t>
      </w:r>
      <w:r w:rsidRPr="00DB2F80">
        <w:rPr>
          <w:i/>
          <w:iCs/>
          <w:sz w:val="24"/>
          <w:szCs w:val="24"/>
        </w:rPr>
        <w:t>3</w:t>
      </w:r>
      <w:r w:rsidRPr="00DB2F80">
        <w:rPr>
          <w:sz w:val="24"/>
          <w:szCs w:val="24"/>
        </w:rPr>
        <w:t>(11), 2351–2373. https://doi.org/10.3390/v3112351</w:t>
      </w:r>
    </w:p>
    <w:p w14:paraId="0369B224" w14:textId="77777777" w:rsidR="000A46F0" w:rsidRPr="00DB2F80" w:rsidRDefault="000A46F0" w:rsidP="0040206D">
      <w:pPr>
        <w:pStyle w:val="Bibliography"/>
        <w:spacing w:line="360" w:lineRule="auto"/>
        <w:rPr>
          <w:sz w:val="24"/>
          <w:szCs w:val="24"/>
        </w:rPr>
      </w:pPr>
      <w:r w:rsidRPr="00DB2F80">
        <w:rPr>
          <w:sz w:val="24"/>
          <w:szCs w:val="24"/>
        </w:rPr>
        <w:t xml:space="preserve">Nazir, J., Spengler, M., &amp; Marschang, R. E. (2012). Environmental persistence of amphibian and reptilian ranaviruses. </w:t>
      </w:r>
      <w:r w:rsidRPr="00DB2F80">
        <w:rPr>
          <w:i/>
          <w:iCs/>
          <w:sz w:val="24"/>
          <w:szCs w:val="24"/>
        </w:rPr>
        <w:t>Diseases of Aquatic Organisms</w:t>
      </w:r>
      <w:r w:rsidRPr="00DB2F80">
        <w:rPr>
          <w:sz w:val="24"/>
          <w:szCs w:val="24"/>
        </w:rPr>
        <w:t xml:space="preserve">, </w:t>
      </w:r>
      <w:r w:rsidRPr="00DB2F80">
        <w:rPr>
          <w:i/>
          <w:iCs/>
          <w:sz w:val="24"/>
          <w:szCs w:val="24"/>
        </w:rPr>
        <w:t>98</w:t>
      </w:r>
      <w:r w:rsidRPr="00DB2F80">
        <w:rPr>
          <w:sz w:val="24"/>
          <w:szCs w:val="24"/>
        </w:rPr>
        <w:t>(3), 177–184. https://doi.org/10.3354/dao02443</w:t>
      </w:r>
    </w:p>
    <w:p w14:paraId="08E3CC73" w14:textId="77777777" w:rsidR="000A46F0" w:rsidRPr="00DB2F80" w:rsidRDefault="000A46F0" w:rsidP="0040206D">
      <w:pPr>
        <w:pStyle w:val="Bibliography"/>
        <w:spacing w:line="360" w:lineRule="auto"/>
        <w:rPr>
          <w:sz w:val="24"/>
          <w:szCs w:val="24"/>
        </w:rPr>
      </w:pPr>
      <w:r w:rsidRPr="00DB2F80">
        <w:rPr>
          <w:sz w:val="24"/>
          <w:szCs w:val="24"/>
        </w:rPr>
        <w:t xml:space="preserve">Ostfeld, R. S., Levi, T., Jolles, A. E., Martin, L. B., Hosseini, P. R., &amp; Keesing, F. (2014). Life History and Demographic Drivers of Reservoir Competence for Three Tick-Borne Zoonotic Pathogens. </w:t>
      </w:r>
      <w:r w:rsidRPr="00DB2F80">
        <w:rPr>
          <w:i/>
          <w:iCs/>
          <w:sz w:val="24"/>
          <w:szCs w:val="24"/>
        </w:rPr>
        <w:t>PLoS ONE</w:t>
      </w:r>
      <w:r w:rsidRPr="00DB2F80">
        <w:rPr>
          <w:sz w:val="24"/>
          <w:szCs w:val="24"/>
        </w:rPr>
        <w:t xml:space="preserve">, </w:t>
      </w:r>
      <w:r w:rsidRPr="00DB2F80">
        <w:rPr>
          <w:i/>
          <w:iCs/>
          <w:sz w:val="24"/>
          <w:szCs w:val="24"/>
        </w:rPr>
        <w:t>9</w:t>
      </w:r>
      <w:r w:rsidRPr="00DB2F80">
        <w:rPr>
          <w:sz w:val="24"/>
          <w:szCs w:val="24"/>
        </w:rPr>
        <w:t>(9), e107387. https://doi.org/10.1371/journal.pone.0107387</w:t>
      </w:r>
    </w:p>
    <w:p w14:paraId="26270230" w14:textId="77777777" w:rsidR="000A46F0" w:rsidRPr="00DB2F80" w:rsidRDefault="000A46F0" w:rsidP="0040206D">
      <w:pPr>
        <w:pStyle w:val="Bibliography"/>
        <w:spacing w:line="360" w:lineRule="auto"/>
        <w:rPr>
          <w:sz w:val="24"/>
          <w:szCs w:val="24"/>
        </w:rPr>
      </w:pPr>
      <w:r w:rsidRPr="00DB2F80">
        <w:rPr>
          <w:sz w:val="24"/>
          <w:szCs w:val="24"/>
        </w:rPr>
        <w:t xml:space="preserve">Ostfeld, R. S., Myers, S. S., Jolles, A., Holt, R. D., Jones, K. E., Hudson, P., Dobson, A., Harvell, C. D., Keesing, F., Belden, L. K., Bogich, T., Daszak, P., &amp; Mitchell, C. E. (2010). Impacts of biodiversity on the emergence and transmission of infectious diseases. </w:t>
      </w:r>
      <w:r w:rsidRPr="00DB2F80">
        <w:rPr>
          <w:i/>
          <w:iCs/>
          <w:sz w:val="24"/>
          <w:szCs w:val="24"/>
        </w:rPr>
        <w:t>Nature (London)</w:t>
      </w:r>
      <w:r w:rsidRPr="00DB2F80">
        <w:rPr>
          <w:sz w:val="24"/>
          <w:szCs w:val="24"/>
        </w:rPr>
        <w:t xml:space="preserve">, </w:t>
      </w:r>
      <w:r w:rsidRPr="00DB2F80">
        <w:rPr>
          <w:i/>
          <w:iCs/>
          <w:sz w:val="24"/>
          <w:szCs w:val="24"/>
        </w:rPr>
        <w:t>468</w:t>
      </w:r>
      <w:r w:rsidRPr="00DB2F80">
        <w:rPr>
          <w:sz w:val="24"/>
          <w:szCs w:val="24"/>
        </w:rPr>
        <w:t>(7324), 647–652. https://doi.org/10.1038/nature09575</w:t>
      </w:r>
    </w:p>
    <w:p w14:paraId="418BBDEF" w14:textId="77777777" w:rsidR="000A46F0" w:rsidRPr="00DB2F80" w:rsidRDefault="000A46F0" w:rsidP="0040206D">
      <w:pPr>
        <w:pStyle w:val="Bibliography"/>
        <w:spacing w:line="360" w:lineRule="auto"/>
        <w:rPr>
          <w:sz w:val="24"/>
          <w:szCs w:val="24"/>
        </w:rPr>
      </w:pPr>
      <w:r w:rsidRPr="00DB2F80">
        <w:rPr>
          <w:sz w:val="24"/>
          <w:szCs w:val="24"/>
        </w:rPr>
        <w:t xml:space="preserve">Patterson, J. E. H., &amp; Ruckstuhl, K. E. (2013). Parasite infection and host group size: A meta-analytical review. </w:t>
      </w:r>
      <w:r w:rsidRPr="00DB2F80">
        <w:rPr>
          <w:i/>
          <w:iCs/>
          <w:sz w:val="24"/>
          <w:szCs w:val="24"/>
        </w:rPr>
        <w:t>Parasitology</w:t>
      </w:r>
      <w:r w:rsidRPr="00DB2F80">
        <w:rPr>
          <w:sz w:val="24"/>
          <w:szCs w:val="24"/>
        </w:rPr>
        <w:t xml:space="preserve">, </w:t>
      </w:r>
      <w:r w:rsidRPr="00DB2F80">
        <w:rPr>
          <w:i/>
          <w:iCs/>
          <w:sz w:val="24"/>
          <w:szCs w:val="24"/>
        </w:rPr>
        <w:t>140</w:t>
      </w:r>
      <w:r w:rsidRPr="00DB2F80">
        <w:rPr>
          <w:sz w:val="24"/>
          <w:szCs w:val="24"/>
        </w:rPr>
        <w:t>(7), 803–813.</w:t>
      </w:r>
    </w:p>
    <w:p w14:paraId="29025324" w14:textId="77777777" w:rsidR="000A46F0" w:rsidRPr="00DB2F80" w:rsidRDefault="000A46F0" w:rsidP="0040206D">
      <w:pPr>
        <w:pStyle w:val="Bibliography"/>
        <w:spacing w:line="360" w:lineRule="auto"/>
        <w:rPr>
          <w:sz w:val="24"/>
          <w:szCs w:val="24"/>
        </w:rPr>
      </w:pPr>
      <w:r w:rsidRPr="00DB2F80">
        <w:rPr>
          <w:sz w:val="24"/>
          <w:szCs w:val="24"/>
        </w:rPr>
        <w:t xml:space="preserve">Price, S. J., Leung, W. T. M., Owen, C. J., Puschendorf, R., Sergeant, C., Cunningham, A. A., Balloux, F., Garner, T. W. J., &amp; Nichols, R. A. (2019). Effects of historic and projected climate change on the range and impacts of an emerging wildlife disease. </w:t>
      </w:r>
      <w:r w:rsidRPr="00DB2F80">
        <w:rPr>
          <w:i/>
          <w:iCs/>
          <w:sz w:val="24"/>
          <w:szCs w:val="24"/>
        </w:rPr>
        <w:t>Global Change Biology</w:t>
      </w:r>
      <w:r w:rsidRPr="00DB2F80">
        <w:rPr>
          <w:sz w:val="24"/>
          <w:szCs w:val="24"/>
        </w:rPr>
        <w:t xml:space="preserve">, </w:t>
      </w:r>
      <w:r w:rsidRPr="00DB2F80">
        <w:rPr>
          <w:i/>
          <w:iCs/>
          <w:sz w:val="24"/>
          <w:szCs w:val="24"/>
        </w:rPr>
        <w:t>25</w:t>
      </w:r>
      <w:r w:rsidRPr="00DB2F80">
        <w:rPr>
          <w:sz w:val="24"/>
          <w:szCs w:val="24"/>
        </w:rPr>
        <w:t>(8), 2648–2660. https://doi.org/10.1111/gcb.14651</w:t>
      </w:r>
    </w:p>
    <w:p w14:paraId="593C5355" w14:textId="77777777" w:rsidR="000A46F0" w:rsidRPr="00DB2F80" w:rsidRDefault="000A46F0" w:rsidP="0040206D">
      <w:pPr>
        <w:pStyle w:val="Bibliography"/>
        <w:spacing w:line="360" w:lineRule="auto"/>
        <w:rPr>
          <w:sz w:val="24"/>
          <w:szCs w:val="24"/>
        </w:rPr>
      </w:pPr>
      <w:r w:rsidRPr="00DB2F80">
        <w:rPr>
          <w:sz w:val="24"/>
          <w:szCs w:val="24"/>
        </w:rPr>
        <w:t xml:space="preserve">Roche, B., Dobson, A. P., Guégan, J.-F., &amp; Rohani, P. (2012). Linking community and disease ecology: The impact of biodiversity on pathogen transmission. </w:t>
      </w:r>
      <w:r w:rsidRPr="00DB2F80">
        <w:rPr>
          <w:i/>
          <w:iCs/>
          <w:sz w:val="24"/>
          <w:szCs w:val="24"/>
        </w:rPr>
        <w:t>Philosophical Transactions of the Royal Society B: Biological Sciences</w:t>
      </w:r>
      <w:r w:rsidRPr="00DB2F80">
        <w:rPr>
          <w:sz w:val="24"/>
          <w:szCs w:val="24"/>
        </w:rPr>
        <w:t xml:space="preserve">, </w:t>
      </w:r>
      <w:r w:rsidRPr="00DB2F80">
        <w:rPr>
          <w:i/>
          <w:iCs/>
          <w:sz w:val="24"/>
          <w:szCs w:val="24"/>
        </w:rPr>
        <w:t>367</w:t>
      </w:r>
      <w:r w:rsidRPr="00DB2F80">
        <w:rPr>
          <w:sz w:val="24"/>
          <w:szCs w:val="24"/>
        </w:rPr>
        <w:t>(1604), 2807–2813. https://doi.org/10.1098/rstb.2011.0364</w:t>
      </w:r>
    </w:p>
    <w:p w14:paraId="7A55DA1D"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Rohani, P., Breban, R., Stallknecht, D. E., &amp; Drake, J. M. (2009). Environmental transmission of low pathogenicity avian influenza viruses and its implications for pathogen invasion. </w:t>
      </w:r>
      <w:r w:rsidRPr="00DB2F80">
        <w:rPr>
          <w:i/>
          <w:iCs/>
          <w:sz w:val="24"/>
          <w:szCs w:val="24"/>
        </w:rPr>
        <w:t>Proceedings of the National Academy of Sciences of the United States of America</w:t>
      </w:r>
      <w:r w:rsidRPr="00DB2F80">
        <w:rPr>
          <w:sz w:val="24"/>
          <w:szCs w:val="24"/>
        </w:rPr>
        <w:t>. https://doi.org/10.1073/pnas.0809026106</w:t>
      </w:r>
    </w:p>
    <w:p w14:paraId="4A9D7C80" w14:textId="77777777" w:rsidR="000A46F0" w:rsidRPr="00DB2F80" w:rsidRDefault="000A46F0" w:rsidP="0040206D">
      <w:pPr>
        <w:pStyle w:val="Bibliography"/>
        <w:spacing w:line="360" w:lineRule="auto"/>
        <w:rPr>
          <w:sz w:val="24"/>
          <w:szCs w:val="24"/>
        </w:rPr>
      </w:pPr>
      <w:r w:rsidRPr="00DB2F80">
        <w:rPr>
          <w:sz w:val="24"/>
          <w:szCs w:val="24"/>
        </w:rPr>
        <w:t xml:space="preserve">Rohr, J. R., Civitello, D. J., Halliday, F. W., Hudson, P. J., Lafferty, K. D., Wood, C. L., &amp; Mordecai, E. A. (2019). Towards common ground in the biodiversity–disease debate. </w:t>
      </w:r>
      <w:r w:rsidRPr="00DB2F80">
        <w:rPr>
          <w:i/>
          <w:iCs/>
          <w:sz w:val="24"/>
          <w:szCs w:val="24"/>
        </w:rPr>
        <w:t>Nature Ecology &amp; Evolution</w:t>
      </w:r>
      <w:r w:rsidRPr="00DB2F80">
        <w:rPr>
          <w:sz w:val="24"/>
          <w:szCs w:val="24"/>
        </w:rPr>
        <w:t xml:space="preserve">, </w:t>
      </w:r>
      <w:r w:rsidRPr="00DB2F80">
        <w:rPr>
          <w:i/>
          <w:iCs/>
          <w:sz w:val="24"/>
          <w:szCs w:val="24"/>
        </w:rPr>
        <w:t>4</w:t>
      </w:r>
      <w:r w:rsidRPr="00DB2F80">
        <w:rPr>
          <w:sz w:val="24"/>
          <w:szCs w:val="24"/>
        </w:rPr>
        <w:t>(1), 24–33. https://doi.org/10.1038/s41559-019-1060-6</w:t>
      </w:r>
    </w:p>
    <w:p w14:paraId="16BE1EFB" w14:textId="77777777" w:rsidR="000A46F0" w:rsidRPr="00DB2F80" w:rsidRDefault="000A46F0" w:rsidP="0040206D">
      <w:pPr>
        <w:pStyle w:val="Bibliography"/>
        <w:spacing w:line="360" w:lineRule="auto"/>
        <w:rPr>
          <w:sz w:val="24"/>
          <w:szCs w:val="24"/>
        </w:rPr>
      </w:pPr>
      <w:r w:rsidRPr="00DB2F80">
        <w:rPr>
          <w:sz w:val="24"/>
          <w:szCs w:val="24"/>
        </w:rPr>
        <w:t xml:space="preserve">Rudolf, V. H. W. (2019). The role of seasonal timing and phenological shifts for species coexistence. </w:t>
      </w:r>
      <w:r w:rsidRPr="00DB2F80">
        <w:rPr>
          <w:i/>
          <w:iCs/>
          <w:sz w:val="24"/>
          <w:szCs w:val="24"/>
        </w:rPr>
        <w:t>Ecology Letters</w:t>
      </w:r>
      <w:r w:rsidRPr="00DB2F80">
        <w:rPr>
          <w:sz w:val="24"/>
          <w:szCs w:val="24"/>
        </w:rPr>
        <w:t>, ele.13277. https://doi.org/10.1111/ele.13277</w:t>
      </w:r>
    </w:p>
    <w:p w14:paraId="16B74CEA" w14:textId="77777777" w:rsidR="000A46F0" w:rsidRPr="00DB2F80" w:rsidRDefault="000A46F0" w:rsidP="0040206D">
      <w:pPr>
        <w:pStyle w:val="Bibliography"/>
        <w:spacing w:line="360" w:lineRule="auto"/>
        <w:rPr>
          <w:sz w:val="24"/>
          <w:szCs w:val="24"/>
        </w:rPr>
      </w:pPr>
      <w:r w:rsidRPr="00DB2F80">
        <w:rPr>
          <w:sz w:val="24"/>
          <w:szCs w:val="24"/>
        </w:rPr>
        <w:t xml:space="preserve">Sage, M. J. L., Towey, B. D., Brunner, J. L., &amp; Hawley, D. (2019). Do scavengers prevent or promote disease transmission? The effect of invertebrate scavenging on Ranavirus transmission. </w:t>
      </w:r>
      <w:r w:rsidRPr="00DB2F80">
        <w:rPr>
          <w:i/>
          <w:iCs/>
          <w:sz w:val="24"/>
          <w:szCs w:val="24"/>
        </w:rPr>
        <w:t>Functional Ecology</w:t>
      </w:r>
      <w:r w:rsidRPr="00DB2F80">
        <w:rPr>
          <w:sz w:val="24"/>
          <w:szCs w:val="24"/>
        </w:rPr>
        <w:t xml:space="preserve">, </w:t>
      </w:r>
      <w:r w:rsidRPr="00DB2F80">
        <w:rPr>
          <w:i/>
          <w:iCs/>
          <w:sz w:val="24"/>
          <w:szCs w:val="24"/>
        </w:rPr>
        <w:t>33</w:t>
      </w:r>
      <w:r w:rsidRPr="00DB2F80">
        <w:rPr>
          <w:sz w:val="24"/>
          <w:szCs w:val="24"/>
        </w:rPr>
        <w:t>(7), 1342–1350. https://doi.org/10.1111/1365-2435.13335</w:t>
      </w:r>
    </w:p>
    <w:p w14:paraId="110E7CA9" w14:textId="77777777" w:rsidR="000A46F0" w:rsidRPr="00DB2F80" w:rsidRDefault="000A46F0" w:rsidP="0040206D">
      <w:pPr>
        <w:pStyle w:val="Bibliography"/>
        <w:spacing w:line="360" w:lineRule="auto"/>
        <w:rPr>
          <w:sz w:val="24"/>
          <w:szCs w:val="24"/>
        </w:rPr>
      </w:pPr>
      <w:r w:rsidRPr="00DB2F80">
        <w:rPr>
          <w:sz w:val="24"/>
          <w:szCs w:val="24"/>
        </w:rPr>
        <w:t xml:space="preserve">Savage, V. M., Gillooly, J. F., Brown, J. H., West, G. B., &amp; Charnov, E. L. (2004). Effects of Body Size and Temperature on Population Growth. </w:t>
      </w:r>
      <w:r w:rsidRPr="00DB2F80">
        <w:rPr>
          <w:i/>
          <w:iCs/>
          <w:sz w:val="24"/>
          <w:szCs w:val="24"/>
        </w:rPr>
        <w:t>The American Naturalist</w:t>
      </w:r>
      <w:r w:rsidRPr="00DB2F80">
        <w:rPr>
          <w:sz w:val="24"/>
          <w:szCs w:val="24"/>
        </w:rPr>
        <w:t xml:space="preserve">, </w:t>
      </w:r>
      <w:r w:rsidRPr="00DB2F80">
        <w:rPr>
          <w:i/>
          <w:iCs/>
          <w:sz w:val="24"/>
          <w:szCs w:val="24"/>
        </w:rPr>
        <w:t>163</w:t>
      </w:r>
      <w:r w:rsidRPr="00DB2F80">
        <w:rPr>
          <w:sz w:val="24"/>
          <w:szCs w:val="24"/>
        </w:rPr>
        <w:t>(3), 429–441. https://doi.org/10.1086/381872</w:t>
      </w:r>
    </w:p>
    <w:p w14:paraId="73D11617" w14:textId="77777777" w:rsidR="000A46F0" w:rsidRPr="00DB2F80" w:rsidRDefault="000A46F0" w:rsidP="0040206D">
      <w:pPr>
        <w:pStyle w:val="Bibliography"/>
        <w:spacing w:line="360" w:lineRule="auto"/>
        <w:rPr>
          <w:sz w:val="24"/>
          <w:szCs w:val="24"/>
        </w:rPr>
      </w:pPr>
      <w:r w:rsidRPr="00DB2F80">
        <w:rPr>
          <w:sz w:val="24"/>
          <w:szCs w:val="24"/>
        </w:rPr>
        <w:t>Shaw, K. E., &amp; Civitello, D. J. (2021). Re</w:t>
      </w:r>
      <w:r w:rsidRPr="00DB2F80">
        <w:rPr>
          <w:rFonts w:ascii="Cambria Math" w:hAnsi="Cambria Math" w:cs="Cambria Math"/>
          <w:sz w:val="24"/>
          <w:szCs w:val="24"/>
        </w:rPr>
        <w:t>‐</w:t>
      </w:r>
      <w:r w:rsidRPr="00DB2F80">
        <w:rPr>
          <w:sz w:val="24"/>
          <w:szCs w:val="24"/>
        </w:rPr>
        <w:t xml:space="preserve">emphasizing mechanism in the community ecology of disease. </w:t>
      </w:r>
      <w:r w:rsidRPr="00DB2F80">
        <w:rPr>
          <w:i/>
          <w:iCs/>
          <w:sz w:val="24"/>
          <w:szCs w:val="24"/>
        </w:rPr>
        <w:t>Functional Ecology</w:t>
      </w:r>
      <w:r w:rsidRPr="00DB2F80">
        <w:rPr>
          <w:sz w:val="24"/>
          <w:szCs w:val="24"/>
        </w:rPr>
        <w:t xml:space="preserve">, </w:t>
      </w:r>
      <w:r w:rsidRPr="00DB2F80">
        <w:rPr>
          <w:i/>
          <w:iCs/>
          <w:sz w:val="24"/>
          <w:szCs w:val="24"/>
        </w:rPr>
        <w:t>35</w:t>
      </w:r>
      <w:r w:rsidRPr="00DB2F80">
        <w:rPr>
          <w:sz w:val="24"/>
          <w:szCs w:val="24"/>
        </w:rPr>
        <w:t>(11), 2376–2386. https://doi.org/10.1111/1365-2435.13892</w:t>
      </w:r>
    </w:p>
    <w:p w14:paraId="37496120" w14:textId="77777777" w:rsidR="000A46F0" w:rsidRPr="00DB2F80" w:rsidRDefault="000A46F0" w:rsidP="0040206D">
      <w:pPr>
        <w:pStyle w:val="Bibliography"/>
        <w:spacing w:line="360" w:lineRule="auto"/>
        <w:rPr>
          <w:sz w:val="24"/>
          <w:szCs w:val="24"/>
        </w:rPr>
      </w:pPr>
      <w:r w:rsidRPr="00DB2F80">
        <w:rPr>
          <w:sz w:val="24"/>
          <w:szCs w:val="24"/>
        </w:rPr>
        <w:t xml:space="preserve">Sibly, R. M., &amp; Hone, J. (2002). Population growth rate and its determinants: An overview. </w:t>
      </w:r>
      <w:r w:rsidRPr="00DB2F80">
        <w:rPr>
          <w:i/>
          <w:iCs/>
          <w:sz w:val="24"/>
          <w:szCs w:val="24"/>
        </w:rPr>
        <w:t>Philosophical Transactions of the Royal Society of London. Series B: Biological Sciences</w:t>
      </w:r>
      <w:r w:rsidRPr="00DB2F80">
        <w:rPr>
          <w:sz w:val="24"/>
          <w:szCs w:val="24"/>
        </w:rPr>
        <w:t xml:space="preserve">, </w:t>
      </w:r>
      <w:r w:rsidRPr="00DB2F80">
        <w:rPr>
          <w:i/>
          <w:iCs/>
          <w:sz w:val="24"/>
          <w:szCs w:val="24"/>
        </w:rPr>
        <w:t>357</w:t>
      </w:r>
      <w:r w:rsidRPr="00DB2F80">
        <w:rPr>
          <w:sz w:val="24"/>
          <w:szCs w:val="24"/>
        </w:rPr>
        <w:t>(1425), 1153–1170. https://doi.org/10.1098/rstb.2002.1117</w:t>
      </w:r>
    </w:p>
    <w:p w14:paraId="151FCA57" w14:textId="77777777" w:rsidR="000A46F0" w:rsidRPr="00DB2F80" w:rsidRDefault="000A46F0" w:rsidP="0040206D">
      <w:pPr>
        <w:pStyle w:val="Bibliography"/>
        <w:spacing w:line="360" w:lineRule="auto"/>
        <w:rPr>
          <w:sz w:val="24"/>
          <w:szCs w:val="24"/>
        </w:rPr>
      </w:pPr>
      <w:r w:rsidRPr="00DB2F80">
        <w:rPr>
          <w:sz w:val="24"/>
          <w:szCs w:val="24"/>
        </w:rPr>
        <w:t xml:space="preserve">Snyder, P. W., Ramsay, C. T., Harjoe, C. C., Khazan, E. S., Briggs, C. J., Hoverman, J. T., Johnson, P. T. J., Preston, D., Rohr, J. R., &amp; Blaustein, A. R. (2023). Experimental evidence that host species composition alters host–pathogen dynamics in a ranavirus–amphibian assemblage. </w:t>
      </w:r>
      <w:r w:rsidRPr="00DB2F80">
        <w:rPr>
          <w:i/>
          <w:iCs/>
          <w:sz w:val="24"/>
          <w:szCs w:val="24"/>
        </w:rPr>
        <w:t>Ecology</w:t>
      </w:r>
      <w:r w:rsidRPr="00DB2F80">
        <w:rPr>
          <w:sz w:val="24"/>
          <w:szCs w:val="24"/>
        </w:rPr>
        <w:t xml:space="preserve">, </w:t>
      </w:r>
      <w:r w:rsidRPr="00DB2F80">
        <w:rPr>
          <w:i/>
          <w:iCs/>
          <w:sz w:val="24"/>
          <w:szCs w:val="24"/>
        </w:rPr>
        <w:t>104</w:t>
      </w:r>
      <w:r w:rsidRPr="00DB2F80">
        <w:rPr>
          <w:sz w:val="24"/>
          <w:szCs w:val="24"/>
        </w:rPr>
        <w:t>(2). https://doi.org/10.1002/ecy.3885</w:t>
      </w:r>
    </w:p>
    <w:p w14:paraId="7FA22A8B" w14:textId="77777777" w:rsidR="000A46F0" w:rsidRPr="00DB2F80" w:rsidRDefault="000A46F0" w:rsidP="0040206D">
      <w:pPr>
        <w:pStyle w:val="Bibliography"/>
        <w:spacing w:line="360" w:lineRule="auto"/>
        <w:rPr>
          <w:sz w:val="24"/>
          <w:szCs w:val="24"/>
        </w:rPr>
      </w:pPr>
      <w:r w:rsidRPr="00DB2F80">
        <w:rPr>
          <w:sz w:val="24"/>
          <w:szCs w:val="24"/>
        </w:rPr>
        <w:lastRenderedPageBreak/>
        <w:t xml:space="preserve">Sooryanarain, H., &amp; Elankumaran, S. (2015). Environmental Role in Influenza Virus Outbreaks. </w:t>
      </w:r>
      <w:r w:rsidRPr="00DB2F80">
        <w:rPr>
          <w:i/>
          <w:iCs/>
          <w:sz w:val="24"/>
          <w:szCs w:val="24"/>
        </w:rPr>
        <w:t>Annual Review of Animal Biosciences</w:t>
      </w:r>
      <w:r w:rsidRPr="00DB2F80">
        <w:rPr>
          <w:sz w:val="24"/>
          <w:szCs w:val="24"/>
        </w:rPr>
        <w:t xml:space="preserve">, </w:t>
      </w:r>
      <w:r w:rsidRPr="00DB2F80">
        <w:rPr>
          <w:i/>
          <w:iCs/>
          <w:sz w:val="24"/>
          <w:szCs w:val="24"/>
        </w:rPr>
        <w:t>3</w:t>
      </w:r>
      <w:r w:rsidRPr="00DB2F80">
        <w:rPr>
          <w:sz w:val="24"/>
          <w:szCs w:val="24"/>
        </w:rPr>
        <w:t>(1), 347–373. https://doi.org/10.1146/annurev-animal-022114-111017</w:t>
      </w:r>
    </w:p>
    <w:p w14:paraId="0B470684" w14:textId="77777777" w:rsidR="000A46F0" w:rsidRPr="00DB2F80" w:rsidRDefault="000A46F0" w:rsidP="0040206D">
      <w:pPr>
        <w:pStyle w:val="Bibliography"/>
        <w:spacing w:line="360" w:lineRule="auto"/>
        <w:rPr>
          <w:sz w:val="24"/>
          <w:szCs w:val="24"/>
        </w:rPr>
      </w:pPr>
      <w:r w:rsidRPr="00DB2F80">
        <w:rPr>
          <w:sz w:val="24"/>
          <w:szCs w:val="24"/>
        </w:rPr>
        <w:t xml:space="preserve">Streicker, D. G., Fenton, A., &amp; Pedersen, A. B. (2013). Differential sources of host species heterogeneity influence the transmission and control of multihost parasites. </w:t>
      </w:r>
      <w:r w:rsidRPr="00DB2F80">
        <w:rPr>
          <w:i/>
          <w:iCs/>
          <w:sz w:val="24"/>
          <w:szCs w:val="24"/>
        </w:rPr>
        <w:t>Ecology Letters</w:t>
      </w:r>
      <w:r w:rsidRPr="00DB2F80">
        <w:rPr>
          <w:sz w:val="24"/>
          <w:szCs w:val="24"/>
        </w:rPr>
        <w:t xml:space="preserve">, </w:t>
      </w:r>
      <w:r w:rsidRPr="00DB2F80">
        <w:rPr>
          <w:i/>
          <w:iCs/>
          <w:sz w:val="24"/>
          <w:szCs w:val="24"/>
        </w:rPr>
        <w:t>16</w:t>
      </w:r>
      <w:r w:rsidRPr="00DB2F80">
        <w:rPr>
          <w:sz w:val="24"/>
          <w:szCs w:val="24"/>
        </w:rPr>
        <w:t>(8), 975–984. https://doi.org/10.1111/ele.12122</w:t>
      </w:r>
    </w:p>
    <w:p w14:paraId="3ED1BEB5" w14:textId="77777777" w:rsidR="000A46F0" w:rsidRPr="00DB2F80" w:rsidRDefault="000A46F0" w:rsidP="0040206D">
      <w:pPr>
        <w:pStyle w:val="Bibliography"/>
        <w:spacing w:line="360" w:lineRule="auto"/>
        <w:rPr>
          <w:sz w:val="24"/>
          <w:szCs w:val="24"/>
        </w:rPr>
      </w:pPr>
      <w:r w:rsidRPr="00DB2F80">
        <w:rPr>
          <w:sz w:val="24"/>
          <w:szCs w:val="24"/>
        </w:rPr>
        <w:t>Tornabene, B. J., Blaustein, A. R., Briggs, C. J., Calhoun, D. M., Johnson, P. T. J., McDevitt</w:t>
      </w:r>
      <w:r w:rsidRPr="00DB2F80">
        <w:rPr>
          <w:rFonts w:ascii="Cambria Math" w:hAnsi="Cambria Math" w:cs="Cambria Math"/>
          <w:sz w:val="24"/>
          <w:szCs w:val="24"/>
        </w:rPr>
        <w:t>‐</w:t>
      </w:r>
      <w:r w:rsidRPr="00DB2F80">
        <w:rPr>
          <w:sz w:val="24"/>
          <w:szCs w:val="24"/>
        </w:rPr>
        <w:t xml:space="preserve">Galles, T., Rohr, J. R., &amp; Hoverman, J. T. (2018). The influence of landscape and environmental factors on ranavirus epidemiology in a California amphibian assemblage. </w:t>
      </w:r>
      <w:r w:rsidRPr="00DB2F80">
        <w:rPr>
          <w:i/>
          <w:iCs/>
          <w:sz w:val="24"/>
          <w:szCs w:val="24"/>
        </w:rPr>
        <w:t>Freshwater Biology</w:t>
      </w:r>
      <w:r w:rsidRPr="00DB2F80">
        <w:rPr>
          <w:sz w:val="24"/>
          <w:szCs w:val="24"/>
        </w:rPr>
        <w:t xml:space="preserve">, </w:t>
      </w:r>
      <w:r w:rsidRPr="00DB2F80">
        <w:rPr>
          <w:i/>
          <w:iCs/>
          <w:sz w:val="24"/>
          <w:szCs w:val="24"/>
        </w:rPr>
        <w:t>63</w:t>
      </w:r>
      <w:r w:rsidRPr="00DB2F80">
        <w:rPr>
          <w:sz w:val="24"/>
          <w:szCs w:val="24"/>
        </w:rPr>
        <w:t>(7), 639–651. https://doi.org/10.1111/fwb.13100</w:t>
      </w:r>
    </w:p>
    <w:p w14:paraId="0F8E0DE8" w14:textId="77777777" w:rsidR="000A46F0" w:rsidRPr="00DB2F80" w:rsidRDefault="000A46F0" w:rsidP="0040206D">
      <w:pPr>
        <w:pStyle w:val="Bibliography"/>
        <w:spacing w:line="360" w:lineRule="auto"/>
        <w:rPr>
          <w:sz w:val="24"/>
          <w:szCs w:val="24"/>
        </w:rPr>
      </w:pPr>
      <w:r w:rsidRPr="00DB2F80">
        <w:rPr>
          <w:sz w:val="24"/>
          <w:szCs w:val="24"/>
        </w:rPr>
        <w:t>Valenzuela</w:t>
      </w:r>
      <w:r w:rsidRPr="00DB2F80">
        <w:rPr>
          <w:rFonts w:ascii="Cambria Math" w:hAnsi="Cambria Math" w:cs="Cambria Math"/>
          <w:sz w:val="24"/>
          <w:szCs w:val="24"/>
        </w:rPr>
        <w:t>‐</w:t>
      </w:r>
      <w:r w:rsidRPr="00DB2F80">
        <w:rPr>
          <w:sz w:val="24"/>
          <w:szCs w:val="24"/>
        </w:rPr>
        <w:t>Sánchez, A., Wilber, M. Q., Canessa, S., Bacigalupe, L. D., Muths, E., Schmidt, B. R., Cunningham, A. A., Ozgul, A., Johnson, P. T. J., Cayuela, H., &amp; Hodgson, D. (2021). Why disease ecology needs life</w:t>
      </w:r>
      <w:r w:rsidRPr="00DB2F80">
        <w:rPr>
          <w:rFonts w:ascii="Cambria Math" w:hAnsi="Cambria Math" w:cs="Cambria Math"/>
          <w:sz w:val="24"/>
          <w:szCs w:val="24"/>
        </w:rPr>
        <w:t>‐</w:t>
      </w:r>
      <w:r w:rsidRPr="00DB2F80">
        <w:rPr>
          <w:sz w:val="24"/>
          <w:szCs w:val="24"/>
        </w:rPr>
        <w:t xml:space="preserve">history theory: A host perspective. </w:t>
      </w:r>
      <w:r w:rsidRPr="00DB2F80">
        <w:rPr>
          <w:i/>
          <w:iCs/>
          <w:sz w:val="24"/>
          <w:szCs w:val="24"/>
        </w:rPr>
        <w:t>Ecology Letters</w:t>
      </w:r>
      <w:r w:rsidRPr="00DB2F80">
        <w:rPr>
          <w:sz w:val="24"/>
          <w:szCs w:val="24"/>
        </w:rPr>
        <w:t xml:space="preserve">, </w:t>
      </w:r>
      <w:r w:rsidRPr="00DB2F80">
        <w:rPr>
          <w:i/>
          <w:iCs/>
          <w:sz w:val="24"/>
          <w:szCs w:val="24"/>
        </w:rPr>
        <w:t>24</w:t>
      </w:r>
      <w:r w:rsidRPr="00DB2F80">
        <w:rPr>
          <w:sz w:val="24"/>
          <w:szCs w:val="24"/>
        </w:rPr>
        <w:t>(4), 876–890. https://doi.org/10.1111/ele.13681</w:t>
      </w:r>
    </w:p>
    <w:p w14:paraId="57B84330" w14:textId="77777777" w:rsidR="000A46F0" w:rsidRPr="00DB2F80" w:rsidRDefault="000A46F0" w:rsidP="0040206D">
      <w:pPr>
        <w:pStyle w:val="Bibliography"/>
        <w:spacing w:line="360" w:lineRule="auto"/>
        <w:rPr>
          <w:sz w:val="24"/>
          <w:szCs w:val="24"/>
        </w:rPr>
      </w:pPr>
      <w:r w:rsidRPr="00DB2F80">
        <w:rPr>
          <w:sz w:val="24"/>
          <w:szCs w:val="24"/>
        </w:rPr>
        <w:t xml:space="preserve">Webb, C. O., Ackerly, D. D., McPeek, M. A., &amp; Donoghue, M. J. (2002). PHYLOGENIES AND COMMUNITY ECOLOGY. </w:t>
      </w:r>
      <w:r w:rsidRPr="00DB2F80">
        <w:rPr>
          <w:i/>
          <w:iCs/>
          <w:sz w:val="24"/>
          <w:szCs w:val="24"/>
        </w:rPr>
        <w:t>Annual Review of Ecology and Systematics</w:t>
      </w:r>
      <w:r w:rsidRPr="00DB2F80">
        <w:rPr>
          <w:sz w:val="24"/>
          <w:szCs w:val="24"/>
        </w:rPr>
        <w:t xml:space="preserve">, </w:t>
      </w:r>
      <w:r w:rsidRPr="00DB2F80">
        <w:rPr>
          <w:i/>
          <w:iCs/>
          <w:sz w:val="24"/>
          <w:szCs w:val="24"/>
        </w:rPr>
        <w:t>33</w:t>
      </w:r>
      <w:r w:rsidRPr="00DB2F80">
        <w:rPr>
          <w:sz w:val="24"/>
          <w:szCs w:val="24"/>
        </w:rPr>
        <w:t>(1), 475–505. https://doi.org/10.1146/annurev.ecolsys.33.010802.150448</w:t>
      </w:r>
    </w:p>
    <w:p w14:paraId="52F67455" w14:textId="77777777" w:rsidR="000A46F0" w:rsidRPr="00DB2F80" w:rsidRDefault="000A46F0" w:rsidP="0040206D">
      <w:pPr>
        <w:pStyle w:val="Bibliography"/>
        <w:spacing w:line="360" w:lineRule="auto"/>
        <w:rPr>
          <w:sz w:val="24"/>
          <w:szCs w:val="24"/>
        </w:rPr>
      </w:pPr>
      <w:r w:rsidRPr="00DB2F80">
        <w:rPr>
          <w:sz w:val="24"/>
          <w:szCs w:val="24"/>
        </w:rPr>
        <w:t xml:space="preserve">Weinstein, B. G., Graham, C. H., &amp; Parra, J. L. (2017). The role of environment, </w:t>
      </w:r>
      <w:proofErr w:type="gramStart"/>
      <w:r w:rsidRPr="00DB2F80">
        <w:rPr>
          <w:sz w:val="24"/>
          <w:szCs w:val="24"/>
        </w:rPr>
        <w:t>dispersal</w:t>
      </w:r>
      <w:proofErr w:type="gramEnd"/>
      <w:r w:rsidRPr="00DB2F80">
        <w:rPr>
          <w:sz w:val="24"/>
          <w:szCs w:val="24"/>
        </w:rPr>
        <w:t xml:space="preserve"> and competition in explaining reduced co-occurrence among related species. </w:t>
      </w:r>
      <w:r w:rsidRPr="00DB2F80">
        <w:rPr>
          <w:i/>
          <w:iCs/>
          <w:sz w:val="24"/>
          <w:szCs w:val="24"/>
        </w:rPr>
        <w:t>PloS One</w:t>
      </w:r>
      <w:r w:rsidRPr="00DB2F80">
        <w:rPr>
          <w:sz w:val="24"/>
          <w:szCs w:val="24"/>
        </w:rPr>
        <w:t xml:space="preserve">, </w:t>
      </w:r>
      <w:r w:rsidRPr="00DB2F80">
        <w:rPr>
          <w:i/>
          <w:iCs/>
          <w:sz w:val="24"/>
          <w:szCs w:val="24"/>
        </w:rPr>
        <w:t>12</w:t>
      </w:r>
      <w:r w:rsidRPr="00DB2F80">
        <w:rPr>
          <w:sz w:val="24"/>
          <w:szCs w:val="24"/>
        </w:rPr>
        <w:t>(11), e0185493. https://doi.org/10.1371/journal.pone.0185493</w:t>
      </w:r>
    </w:p>
    <w:p w14:paraId="53D9D04C" w14:textId="77777777" w:rsidR="000A46F0" w:rsidRPr="00DB2F80" w:rsidRDefault="000A46F0" w:rsidP="0040206D">
      <w:pPr>
        <w:pStyle w:val="Bibliography"/>
        <w:spacing w:line="360" w:lineRule="auto"/>
        <w:rPr>
          <w:sz w:val="24"/>
          <w:szCs w:val="24"/>
        </w:rPr>
      </w:pPr>
      <w:r w:rsidRPr="00DB2F80">
        <w:rPr>
          <w:sz w:val="24"/>
          <w:szCs w:val="24"/>
        </w:rPr>
        <w:t xml:space="preserve">Werner, E. E., Skelly, D. K., Relyea, R. A., &amp; Yurewicz, K. L. (2007). Amphibian species richness across environmental gradients. </w:t>
      </w:r>
      <w:r w:rsidRPr="00DB2F80">
        <w:rPr>
          <w:i/>
          <w:iCs/>
          <w:sz w:val="24"/>
          <w:szCs w:val="24"/>
        </w:rPr>
        <w:t>Oikos</w:t>
      </w:r>
      <w:r w:rsidRPr="00DB2F80">
        <w:rPr>
          <w:sz w:val="24"/>
          <w:szCs w:val="24"/>
        </w:rPr>
        <w:t xml:space="preserve">, </w:t>
      </w:r>
      <w:r w:rsidRPr="00DB2F80">
        <w:rPr>
          <w:i/>
          <w:iCs/>
          <w:sz w:val="24"/>
          <w:szCs w:val="24"/>
        </w:rPr>
        <w:t>116</w:t>
      </w:r>
      <w:r w:rsidRPr="00DB2F80">
        <w:rPr>
          <w:sz w:val="24"/>
          <w:szCs w:val="24"/>
        </w:rPr>
        <w:t>(10), 1697–1712. https://doi.org/10.1111/j.0030-1299.2007.15935.x</w:t>
      </w:r>
    </w:p>
    <w:p w14:paraId="6618D145" w14:textId="77777777" w:rsidR="000A46F0" w:rsidRPr="00DB2F80" w:rsidRDefault="000A46F0" w:rsidP="0040206D">
      <w:pPr>
        <w:pStyle w:val="Bibliography"/>
        <w:spacing w:line="360" w:lineRule="auto"/>
        <w:rPr>
          <w:sz w:val="24"/>
          <w:szCs w:val="24"/>
        </w:rPr>
      </w:pPr>
      <w:r w:rsidRPr="00DB2F80">
        <w:rPr>
          <w:sz w:val="24"/>
          <w:szCs w:val="24"/>
        </w:rPr>
        <w:t xml:space="preserve">Youker-Smith, T., Boersch-Supan, P., Whipps, C., &amp; Ryan, S. (2018). Environmental Drivers of Ranavirus in Free-Living Amphibians in Constructed Ponds. </w:t>
      </w:r>
      <w:r w:rsidRPr="00DB2F80">
        <w:rPr>
          <w:i/>
          <w:iCs/>
          <w:sz w:val="24"/>
          <w:szCs w:val="24"/>
        </w:rPr>
        <w:t>EcoHealth</w:t>
      </w:r>
      <w:r w:rsidRPr="00DB2F80">
        <w:rPr>
          <w:sz w:val="24"/>
          <w:szCs w:val="24"/>
        </w:rPr>
        <w:t xml:space="preserve">, </w:t>
      </w:r>
      <w:r w:rsidRPr="00DB2F80">
        <w:rPr>
          <w:i/>
          <w:iCs/>
          <w:sz w:val="24"/>
          <w:szCs w:val="24"/>
        </w:rPr>
        <w:t>15</w:t>
      </w:r>
      <w:r w:rsidRPr="00DB2F80">
        <w:rPr>
          <w:sz w:val="24"/>
          <w:szCs w:val="24"/>
        </w:rPr>
        <w:t>(3), 608–618. https://doi.org/10.1007/s10393-018-1350-5</w:t>
      </w:r>
    </w:p>
    <w:p w14:paraId="4350BE8D" w14:textId="6719C027" w:rsidR="00DB2F80" w:rsidRDefault="00000000" w:rsidP="00DB2F80">
      <w:pPr>
        <w:widowControl w:val="0"/>
        <w:pBdr>
          <w:top w:val="nil"/>
          <w:left w:val="nil"/>
          <w:bottom w:val="nil"/>
          <w:right w:val="nil"/>
          <w:between w:val="nil"/>
        </w:pBdr>
        <w:spacing w:line="360" w:lineRule="auto"/>
        <w:ind w:left="720" w:hanging="720"/>
        <w:rPr>
          <w:sz w:val="24"/>
          <w:szCs w:val="24"/>
        </w:rPr>
      </w:pPr>
      <w:r w:rsidRPr="00DB2F80">
        <w:rPr>
          <w:sz w:val="24"/>
          <w:szCs w:val="24"/>
        </w:rPr>
        <w:fldChar w:fldCharType="end"/>
      </w:r>
      <w:r w:rsidR="00DB2F80">
        <w:rPr>
          <w:sz w:val="24"/>
          <w:szCs w:val="24"/>
        </w:rPr>
        <w:br w:type="page"/>
      </w:r>
    </w:p>
    <w:p w14:paraId="223A9B1D" w14:textId="77777777" w:rsidR="002E6E0F" w:rsidRPr="00DB2F80" w:rsidRDefault="002E6E0F" w:rsidP="00DB2F80">
      <w:pPr>
        <w:widowControl w:val="0"/>
        <w:pBdr>
          <w:top w:val="nil"/>
          <w:left w:val="nil"/>
          <w:bottom w:val="nil"/>
          <w:right w:val="nil"/>
          <w:between w:val="nil"/>
        </w:pBdr>
        <w:spacing w:line="360" w:lineRule="auto"/>
        <w:ind w:left="720" w:hanging="720"/>
        <w:rPr>
          <w:sz w:val="24"/>
          <w:szCs w:val="24"/>
        </w:rPr>
      </w:pPr>
    </w:p>
    <w:p w14:paraId="35118069"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991100" cy="5772150"/>
                    </a:xfrm>
                    <a:prstGeom prst="rect">
                      <a:avLst/>
                    </a:prstGeom>
                    <a:ln/>
                  </pic:spPr>
                </pic:pic>
              </a:graphicData>
            </a:graphic>
          </wp:inline>
        </w:drawing>
      </w:r>
    </w:p>
    <w:p w14:paraId="2C527C8C" w14:textId="08BE194E"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27400"/>
                    </a:xfrm>
                    <a:prstGeom prst="rect">
                      <a:avLst/>
                    </a:prstGeom>
                    <a:ln/>
                  </pic:spPr>
                </pic:pic>
              </a:graphicData>
            </a:graphic>
          </wp:inline>
        </w:drawing>
      </w:r>
      <w:r w:rsidRPr="00DB2F80">
        <w:rPr>
          <w:sz w:val="24"/>
          <w:szCs w:val="24"/>
        </w:rPr>
        <w:br w:type="page"/>
      </w:r>
    </w:p>
    <w:p w14:paraId="7380CDD0" w14:textId="45DBCE41" w:rsidR="002E6E0F" w:rsidRPr="00DB2F80" w:rsidRDefault="007B418E" w:rsidP="0040206D">
      <w:pPr>
        <w:spacing w:line="360" w:lineRule="auto"/>
        <w:rPr>
          <w:sz w:val="24"/>
          <w:szCs w:val="24"/>
        </w:rPr>
      </w:pPr>
      <w:r w:rsidRPr="00DB2F80">
        <w:rPr>
          <w:noProof/>
          <w:sz w:val="24"/>
          <w:szCs w:val="24"/>
        </w:rPr>
        <w:lastRenderedPageBreak/>
        <w:drawing>
          <wp:inline distT="0" distB="0" distL="0" distR="0" wp14:anchorId="1C84636A" wp14:editId="00CA9AF6">
            <wp:extent cx="5943600" cy="4510405"/>
            <wp:effectExtent l="0" t="0" r="0" b="0"/>
            <wp:docPr id="2086717430" name="Picture 3" descr="A graph showing the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17430" name="Picture 3" descr="A graph showing the number of speci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few have high viral loads.</w:t>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77777777"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A46F0"/>
    <w:rsid w:val="00187DCA"/>
    <w:rsid w:val="00202DEE"/>
    <w:rsid w:val="002E6E0F"/>
    <w:rsid w:val="0040206D"/>
    <w:rsid w:val="005942D9"/>
    <w:rsid w:val="007B418E"/>
    <w:rsid w:val="007F0274"/>
    <w:rsid w:val="00BA751B"/>
    <w:rsid w:val="00BF1BFD"/>
    <w:rsid w:val="00C74CA9"/>
    <w:rsid w:val="00DB2F80"/>
    <w:rsid w:val="00E034ED"/>
    <w:rsid w:val="00E16933"/>
    <w:rsid w:val="00E70041"/>
    <w:rsid w:val="00F4631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28</Pages>
  <Words>26351</Words>
  <Characters>150206</Characters>
  <Application>Microsoft Office Word</Application>
  <DocSecurity>0</DocSecurity>
  <Lines>1251</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7</cp:revision>
  <dcterms:created xsi:type="dcterms:W3CDTF">2023-08-23T17:16:00Z</dcterms:created>
  <dcterms:modified xsi:type="dcterms:W3CDTF">2023-08-31T21:25:00Z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