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DF12" w14:textId="77777777" w:rsidR="008A4883" w:rsidRDefault="00000000">
      <w:pPr>
        <w:pStyle w:val="Title"/>
      </w:pPr>
      <w:r>
        <w:t>manuscript</w:t>
      </w:r>
    </w:p>
    <w:p w14:paraId="0D24B9F1" w14:textId="77777777" w:rsidR="008A4883" w:rsidRDefault="00000000">
      <w:r>
        <w:t>Daniel Suh</w:t>
      </w:r>
    </w:p>
    <w:p w14:paraId="54FE0487" w14:textId="77777777" w:rsidR="008A4883" w:rsidRDefault="00000000">
      <w:r>
        <w:t>October 01, 2022</w:t>
      </w:r>
    </w:p>
    <w:p w14:paraId="30008ECD" w14:textId="77777777" w:rsidR="008A4883" w:rsidRDefault="00000000">
      <w:pPr>
        <w:pStyle w:val="Heading1"/>
      </w:pPr>
      <w:bookmarkStart w:id="0" w:name="to-do"/>
      <w:r>
        <w:t>To do</w:t>
      </w:r>
    </w:p>
    <w:p w14:paraId="20732D8F" w14:textId="77777777" w:rsidR="008A4883" w:rsidRDefault="00000000">
      <w:pPr>
        <w:pStyle w:val="Heading1"/>
      </w:pPr>
      <w:bookmarkStart w:id="1" w:name="notes"/>
      <w:bookmarkEnd w:id="0"/>
      <w:r>
        <w:t>Notes</w:t>
      </w:r>
    </w:p>
    <w:p w14:paraId="7DA78DAE" w14:textId="77777777" w:rsidR="008A4883" w:rsidRDefault="00000000">
      <w:r>
        <w:t>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14:paraId="1FF33809" w14:textId="77777777" w:rsidR="008A4883" w:rsidRDefault="00000000">
      <w:pPr>
        <w:numPr>
          <w:ilvl w:val="0"/>
          <w:numId w:val="2"/>
        </w:numPr>
      </w:pPr>
      <w:r>
        <w:t>Dilution effects depend on</w:t>
      </w:r>
    </w:p>
    <w:p w14:paraId="50B9736E" w14:textId="77777777" w:rsidR="008A4883" w:rsidRDefault="00000000">
      <w:pPr>
        <w:numPr>
          <w:ilvl w:val="1"/>
          <w:numId w:val="3"/>
        </w:numPr>
      </w:pPr>
      <w:r>
        <w:t>a positive correlation between relative abundance and competence</w:t>
      </w:r>
    </w:p>
    <w:p w14:paraId="758E2BB5" w14:textId="77777777" w:rsidR="008A4883" w:rsidRDefault="00000000">
      <w:pPr>
        <w:numPr>
          <w:ilvl w:val="1"/>
          <w:numId w:val="3"/>
        </w:numPr>
      </w:pPr>
      <w:r>
        <w:t>a correlation between relative abundance and assembly pattern</w:t>
      </w:r>
    </w:p>
    <w:p w14:paraId="6A2FBC68" w14:textId="77777777" w:rsidR="008A4883" w:rsidRDefault="00000000">
      <w:pPr>
        <w:numPr>
          <w:ilvl w:val="2"/>
          <w:numId w:val="4"/>
        </w:numPr>
      </w:pPr>
      <w:r>
        <w:t>i.e. higher relative abundance means less likely to be lost from a community</w:t>
      </w:r>
    </w:p>
    <w:p w14:paraId="445BD326" w14:textId="77777777" w:rsidR="008A4883" w:rsidRDefault="00000000">
      <w:pPr>
        <w:numPr>
          <w:ilvl w:val="0"/>
          <w:numId w:val="2"/>
        </w:numPr>
      </w:pPr>
      <w:r>
        <w:t>Community competence should correlate with species richness if these conditions hold</w:t>
      </w:r>
    </w:p>
    <w:p w14:paraId="11C02BD4" w14:textId="77777777" w:rsidR="008A4883" w:rsidRDefault="00000000">
      <w:pPr>
        <w:numPr>
          <w:ilvl w:val="0"/>
          <w:numId w:val="2"/>
        </w:numPr>
      </w:pPr>
      <w:r>
        <w:t>Community competence can still be high even if these conditions do not hold</w:t>
      </w:r>
    </w:p>
    <w:p w14:paraId="145E2163" w14:textId="77777777" w:rsidR="008A4883" w:rsidRDefault="00000000">
      <w:pPr>
        <w:numPr>
          <w:ilvl w:val="0"/>
          <w:numId w:val="2"/>
        </w:numPr>
      </w:pPr>
      <w:r>
        <w:t>In empirical data, do we see these dilution effect patterns?</w:t>
      </w:r>
    </w:p>
    <w:p w14:paraId="7A337D5F" w14:textId="77777777" w:rsidR="008A4883" w:rsidRDefault="00000000">
      <w:pPr>
        <w:numPr>
          <w:ilvl w:val="0"/>
          <w:numId w:val="2"/>
        </w:numPr>
      </w:pPr>
      <w:r>
        <w:t>If we do not see these dilution effect patterns, then are we still able to see high community competence values?</w:t>
      </w:r>
    </w:p>
    <w:p w14:paraId="245D9E60" w14:textId="77777777" w:rsidR="008A4883" w:rsidRDefault="00000000">
      <w:pPr>
        <w:numPr>
          <w:ilvl w:val="1"/>
          <w:numId w:val="5"/>
        </w:numPr>
      </w:pPr>
      <w:r>
        <w:lastRenderedPageBreak/>
        <w:t>What drives these community competence values?</w:t>
      </w:r>
    </w:p>
    <w:p w14:paraId="36917BE7" w14:textId="77777777" w:rsidR="008A4883" w:rsidRDefault="00000000">
      <w:pPr>
        <w:numPr>
          <w:ilvl w:val="2"/>
          <w:numId w:val="6"/>
        </w:numPr>
      </w:pPr>
      <w:r>
        <w:t>Is it a rare but highly competent species, abundant but moderately competent species?</w:t>
      </w:r>
    </w:p>
    <w:p w14:paraId="064B1B26" w14:textId="77777777" w:rsidR="008A4883" w:rsidRDefault="00000000">
      <w:pPr>
        <w:numPr>
          <w:ilvl w:val="2"/>
          <w:numId w:val="6"/>
        </w:numPr>
      </w:pPr>
      <w:r>
        <w:t>How does evenness help to explain community competence?</w:t>
      </w:r>
    </w:p>
    <w:p w14:paraId="0A5D2633" w14:textId="77777777" w:rsidR="008A4883" w:rsidRDefault="00000000">
      <w:pPr>
        <w:numPr>
          <w:ilvl w:val="0"/>
          <w:numId w:val="2"/>
        </w:numPr>
      </w:pPr>
      <w:r>
        <w:t>Other things to check</w:t>
      </w:r>
    </w:p>
    <w:p w14:paraId="328F1824" w14:textId="77777777" w:rsidR="008A4883" w:rsidRDefault="00000000">
      <w:pPr>
        <w:numPr>
          <w:ilvl w:val="1"/>
          <w:numId w:val="7"/>
        </w:numPr>
      </w:pPr>
      <w:r>
        <w:t>Variation in competence within species - is competence a robust trait or highly plastic?</w:t>
      </w:r>
    </w:p>
    <w:p w14:paraId="369DFDF6" w14:textId="77777777" w:rsidR="008A4883" w:rsidRDefault="00000000">
      <w:pPr>
        <w:numPr>
          <w:ilvl w:val="1"/>
          <w:numId w:val="7"/>
        </w:numPr>
      </w:pPr>
      <w:r>
        <w:t>Variation in qPCR values - how reliable are our estimates?</w:t>
      </w:r>
    </w:p>
    <w:p w14:paraId="66249AE2" w14:textId="77777777" w:rsidR="008A4883" w:rsidRDefault="00000000">
      <w:pPr>
        <w:pStyle w:val="Heading1"/>
      </w:pPr>
      <w:bookmarkStart w:id="2" w:name="introduction"/>
      <w:bookmarkEnd w:id="1"/>
      <w:r>
        <w:t>Introduction</w:t>
      </w:r>
    </w:p>
    <w:p w14:paraId="2556CC1C" w14:textId="77777777" w:rsidR="008A4883" w:rsidRDefault="00000000">
      <w:r>
        <w:t>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(Altizer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Roode, and Fenton 2015; Keesing, Holt, and Ostfeld 2006). However, biotic and abiotic change also occurs naturally over time and space. Moreover, the joint effects of abiotic and biotic drivers of epizootics are rarely considered together (Bienentreu and Lesbarrères 2020; Dillon and Meentemeyer 2019; Hall et al. 2010; North et al. 2015; Scott-Baumann and Morgan 2015), and theoretical prediction for such interaction is underdeveloped. In part, this is due to the notion that transmission is influenced by abiotic factors at large spatial scales and by biotic factors at smaller scales (Halliday et al. 2019; Rohr et al. 2019).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14:paraId="0DE11941" w14:textId="77777777" w:rsidR="008A4883" w:rsidRDefault="00000000">
      <w:r>
        <w:t xml:space="preserve">Generalist parasites, such as ranaviruses,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(i.e. the ability </w:t>
      </w:r>
      <w:r>
        <w:lastRenderedPageBreak/>
        <w:t>for an individual host to become infected and pass infection on to others (Martin et al. 2019)), and the environmental conditions in which the interaction takes place (Altizer et al. 2013; Cable et al. 2017; Rohr et al. 2011). The combination of these factors makes it difficult to assess how multi-species host communities are differentially at risk of parasite invasion and onward transmission to other communities (P. T. J. Johnson, Roode,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0F92863E" w14:textId="77777777" w:rsidR="008A4883" w:rsidRDefault="00000000">
      <w:r>
        <w:t>Ranaviruses (genus Ranavirus, family Iridoviridae) are well-suited for studying host-parasite-environment interactions at the community scale and are associated with worldwide amphibian declines, making them a parasite of global concern (Lesbarrères et al. 2012). The Ranavirus genus of double-stranded DNA viruses (Gray, Miller, and Hoverman 2009), affects most amphibian species (Jesse L. Brunner et al. 2015) and host species exhibit a wide range of competence for the parasite (Hoverman et al. 2011).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 (Mihaljevic, Hoye, and Johnson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(Brenes et al. 2014). Ranavirus persistence times in water have been found to diminish at high ambient temperatures (Nazir, Spengler, and Marschang 2012) 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14:paraId="0334B1C6" w14:textId="77777777" w:rsidR="008A4883" w:rsidRDefault="00000000">
      <w:r>
        <w:t xml:space="preserve">We begin with a theoretical model, 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 (Breban et al. 2009) and causal agents of diarrheal diseases (Tien and Earn 2010) as well as contact and sexual transmission in models of Ebola transmission (Abbate et al. 2016; Vinson et al. 2016). From our model, we analyzed the relative contribution of direct </w:t>
      </w:r>
      <w:r>
        <w:lastRenderedPageBreak/>
        <w:t>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14:paraId="1794A3B7" w14:textId="77777777" w:rsidR="008A4883" w:rsidRDefault="00000000">
      <w:r>
        <w:t>Using empirical data, we then apply metacommunity theory and dimensionality reduction to explain how biotic and abiotic factors contribute to community composition (M. A. Leibold et al. 2004), and then we evaluate these communities in their ability to differentially facilitate transmission. Community compositions change over space or time and can include dynamic, predictable patterns of assembly or disassembly (Pieter T. J. Johnson et al. 2019; Ostfeld and LoGiudice 2003). These changes in community composition can then influence transmission potential of a parasite and may map to dilution or amplification effects (Luis, Kuenzi, and Mills 2018; North et al. 2015). According to theory, a dilution effect may occur whenever hosts vary in competence and reductions in diversity are associated with increases in mean competence (P. T. J. Johnson, Roode, and Fenton 2015). In contrast, an amplification effect can occur when increased host diversity causes an increase in mean competence (Keesing, Holt, and Ostfeld 2006).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3C597275" w14:textId="77777777" w:rsidR="008A4883" w:rsidRDefault="00000000">
      <w:r>
        <w:t>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14:paraId="4E88CE37" w14:textId="77777777" w:rsidR="008A4883" w:rsidRDefault="00000000">
      <w:pPr>
        <w:pStyle w:val="Heading1"/>
      </w:pPr>
      <w:bookmarkStart w:id="3" w:name="methods"/>
      <w:bookmarkEnd w:id="2"/>
      <w:r>
        <w:lastRenderedPageBreak/>
        <w:t>Methods</w:t>
      </w:r>
    </w:p>
    <w:p w14:paraId="715BFA68" w14:textId="77777777" w:rsidR="008A4883" w:rsidRDefault="00000000">
      <w:pPr>
        <w:pStyle w:val="Heading2"/>
      </w:pPr>
      <w:bookmarkStart w:id="4" w:name="transmission-model"/>
      <w:r>
        <w:t>Transmission Model</w:t>
      </w:r>
    </w:p>
    <w:p w14:paraId="70A24D3B" w14:textId="77777777" w:rsidR="008A4883" w:rsidRDefault="00000000">
      <w:r>
        <w:t>According to known transmission, ranaviruses can infect a wide range of amphibian hosts and infectious periods can range from a few days up to weeks(Gray, Miller, and Hoverman 2009).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Hoverman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14:paraId="1D79CE8A" w14:textId="77777777" w:rsidR="008A4883" w:rsidRDefault="00000000">
      <w:r>
        <w:t xml:space="preserve">Using the next-generation matrix method (Odo Diekmann, Heesterbeek, and Metz 1990; O. Diekmann, Heesterbeek, and Roberts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w:t>
      </w:r>
      <w:r>
        <w:lastRenderedPageBreak/>
        <w:t>invasion was more likely, i.e., occurring for an increased set of transmission parameters that included combinations previously associated with failure to invade (R0&lt;1).</w:t>
      </w:r>
    </w:p>
    <w:p w14:paraId="64F55295" w14:textId="77777777" w:rsidR="008A4883" w:rsidRDefault="00000000">
      <w:pPr>
        <w:pStyle w:val="Heading2"/>
      </w:pPr>
      <w:bookmarkStart w:id="5" w:name="X4472e4bbd9a7e4275e360544fc34bffc54ed66b"/>
      <w:bookmarkEnd w:id="4"/>
      <w:r>
        <w:t>Data Collection and Calculation of Community Competence</w:t>
      </w:r>
    </w:p>
    <w:p w14:paraId="326DFECA" w14:textId="77777777" w:rsidR="008A4883" w:rsidRDefault="00000000">
      <w:r>
        <w:t>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pPr>
        <w:pStyle w:val="Heading2"/>
      </w:pPr>
      <w:bookmarkStart w:id="6" w:name="host-community-analysis"/>
      <w:bookmarkEnd w:id="5"/>
      <w:r>
        <w:t>Host Community Analysis</w:t>
      </w:r>
    </w:p>
    <w:p w14:paraId="2B4DFAA5" w14:textId="77777777" w:rsidR="008A4883" w:rsidRDefault="00000000">
      <w:r>
        <w:t>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key metacommunity patterns including nestedness and block replacement using the “metacom” package in R (Dallas 2014; Mathew A. Leibold and Mikkelson 2002).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14:paraId="699555E5" w14:textId="77777777" w:rsidR="008A4883" w:rsidRDefault="00000000">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 (J. L. Brunner </w:t>
      </w:r>
      <w:r>
        <w:lastRenderedPageBreak/>
        <w:t>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 (Pielou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Marschang 2012).</w:t>
      </w:r>
    </w:p>
    <w:p w14:paraId="210D16BF" w14:textId="77777777" w:rsidR="008A4883" w:rsidRDefault="00000000">
      <w:pPr>
        <w:pStyle w:val="Heading1"/>
      </w:pPr>
      <w:bookmarkStart w:id="7" w:name="results"/>
      <w:bookmarkEnd w:id="3"/>
      <w:bookmarkEnd w:id="6"/>
      <w:r>
        <w:t>Results</w:t>
      </w:r>
    </w:p>
    <w:p w14:paraId="0E2E6E16" w14:textId="77777777" w:rsidR="008A4883" w:rsidRDefault="00000000">
      <w:pPr>
        <w:pStyle w:val="Heading2"/>
      </w:pPr>
      <w:bookmarkStart w:id="8" w:name="transmission-model-1"/>
      <w:r>
        <w:t>Transmission Model</w:t>
      </w:r>
    </w:p>
    <w:p w14:paraId="26420D86" w14:textId="77777777" w:rsidR="008A4883" w:rsidRDefault="00000000">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w:t>
      </w:r>
      <w:r>
        <w:lastRenderedPageBreak/>
        <w:t>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p w14:paraId="4F0D84C0" w14:textId="77777777" w:rsidR="008A4883" w:rsidRDefault="00000000">
      <w:pPr>
        <w:pStyle w:val="Heading2"/>
      </w:pPr>
      <w:bookmarkStart w:id="9" w:name="host-community-analysis-1"/>
      <w:bookmarkEnd w:id="8"/>
      <w:r>
        <w:t>Host Community Analysis</w:t>
      </w:r>
    </w:p>
    <w:p w14:paraId="54AAA6FF" w14:textId="77777777" w:rsidR="008A4883" w:rsidRDefault="00000000">
      <w:r>
        <w:t>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14:paraId="31D55808" w14:textId="77777777" w:rsidR="008A4883" w:rsidRDefault="00000000">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w:t>
      </w:r>
      <w:r>
        <w:lastRenderedPageBreak/>
        <w:t>dispersed, suggesting that limiting similarity may not be hindering coexistence (Figure 4, bottom panel; Supplementary Figure 6).</w:t>
      </w:r>
    </w:p>
    <w:p w14:paraId="609F0B1D" w14:textId="77777777" w:rsidR="008A4883" w:rsidRDefault="00000000">
      <w:r>
        <w:t>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 “Holm” method (Aickin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p w14:paraId="507A3A11" w14:textId="77777777" w:rsidR="008A4883" w:rsidRDefault="00000000">
      <w:pPr>
        <w:pStyle w:val="Heading1"/>
      </w:pPr>
      <w:bookmarkStart w:id="10" w:name="discussion"/>
      <w:bookmarkEnd w:id="7"/>
      <w:bookmarkEnd w:id="9"/>
      <w:r>
        <w:t>Discussion</w:t>
      </w:r>
    </w:p>
    <w:p w14:paraId="7C12728B" w14:textId="77777777" w:rsidR="008A4883" w:rsidRDefault="00000000">
      <w:r>
        <w:t>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14:paraId="6AC12C90" w14:textId="77777777" w:rsidR="008A4883" w:rsidRDefault="00000000">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(Breban et al. 2009; Breban, Drake, and Rohani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w:t>
      </w:r>
      <w:r>
        <w:lastRenderedPageBreak/>
        <w:t>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0FD78A13" w14:textId="77777777" w:rsidR="008A4883" w:rsidRDefault="00000000">
      <w:r>
        <w:t>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
        <w:t xml:space="preserve">Detection of diversity-disease relationships is facilitated by predictable community structures (Faust et al. 2017). Classic dilution-effect systems typically operate by nested structures 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w:t>
      </w:r>
      <w:r>
        <w:lastRenderedPageBreak/>
        <w:t>considering host communities simultaneously in terms of the rules that govern species co-occurrence and abundance and the distribution of competence levels among those species.</w:t>
      </w:r>
    </w:p>
    <w:p w14:paraId="469AE5EB" w14:textId="77777777" w:rsidR="008A4883" w:rsidRDefault="00000000">
      <w:r>
        <w:t>The study of individual host competence and how it scales to a community can provide us with valuable insight into how well host communities can support generalist parasites (Becker, Seifer, and Carlson 2020).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(Gervasi et al. 2015).</w:t>
      </w:r>
    </w:p>
    <w:p w14:paraId="3F733CBE" w14:textId="77777777" w:rsidR="008A4883" w:rsidRDefault="00000000">
      <w:r>
        <w:t>Ranaviruses in amphibians are a useful and important system for studying diversity-disease relationships because of their highly generalist nature and role in global amphibian biodiversity declines (Lesbarrères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 (Altizer et al. 2013; Rohr et al. 2011). Amphibian species, in particular, have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of biotic and abiotic factors on parasite transmission under natural and artificial settings.</w:t>
      </w:r>
    </w:p>
    <w:p w14:paraId="42EE0CBB" w14:textId="77777777" w:rsidR="008A4883" w:rsidRDefault="00000000">
      <w:r>
        <w:t>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p w14:paraId="416B3541" w14:textId="77777777" w:rsidR="008A4883" w:rsidRDefault="00000000">
      <w:pPr>
        <w:pStyle w:val="Heading1"/>
      </w:pPr>
      <w:bookmarkStart w:id="11" w:name="references"/>
      <w:bookmarkEnd w:id="10"/>
      <w:r>
        <w:lastRenderedPageBreak/>
        <w:t>References</w:t>
      </w:r>
    </w:p>
    <w:p w14:paraId="48E6D7DA" w14:textId="77777777" w:rsidR="008A4883" w:rsidRDefault="00000000">
      <w:bookmarkStart w:id="12" w:name="ref-abbate_potential_2016"/>
      <w:bookmarkStart w:id="13" w:name="refs"/>
      <w:r>
        <w:t xml:space="preserve">Abbate, Jessica L., Carmen Lia Murall, Heinz Richner, and Christian L. Althaus. 2016. “Potential Impact of Sexual Transmission on Ebola Virus Epidemiology: Sierra Leone as a Case Study.” </w:t>
      </w:r>
      <w:r>
        <w:rPr>
          <w:i/>
          <w:iCs/>
        </w:rPr>
        <w:t>PLoS Neglected Tropical Diseases</w:t>
      </w:r>
      <w:r>
        <w:t xml:space="preserve"> 10 (5): e0004676. </w:t>
      </w:r>
      <w:hyperlink r:id="rId7">
        <w:r>
          <w:t>https://doi.org/10.1371/journal.pntd.0004676</w:t>
        </w:r>
      </w:hyperlink>
      <w:r>
        <w:t>.</w:t>
      </w:r>
    </w:p>
    <w:p w14:paraId="5AF3ACD9" w14:textId="77777777" w:rsidR="008A4883" w:rsidRDefault="00000000">
      <w:bookmarkStart w:id="14" w:name="ref-aickin_adjusting_1996"/>
      <w:bookmarkEnd w:id="12"/>
      <w:r>
        <w:t xml:space="preserve">Aickin, Mikel, and Helen Gensler. 1996. “Adjusting for Multiple Testing When Reporting Research Results: The Bonferroni Vs Holm Methods.” </w:t>
      </w:r>
      <w:r>
        <w:rPr>
          <w:i/>
          <w:iCs/>
        </w:rPr>
        <w:t>American Journal of Public Health</w:t>
      </w:r>
      <w:r>
        <w:t xml:space="preserve">. </w:t>
      </w:r>
      <w:hyperlink r:id="rId8">
        <w:r>
          <w:t>https://doi.org/10.2105/ajph.86.5.726</w:t>
        </w:r>
      </w:hyperlink>
      <w:r>
        <w:t>.</w:t>
      </w:r>
    </w:p>
    <w:p w14:paraId="513AD4D3" w14:textId="77777777" w:rsidR="008A4883" w:rsidRDefault="00000000">
      <w:bookmarkStart w:id="15" w:name="ref-altizer_climate_2013"/>
      <w:bookmarkEnd w:id="14"/>
      <w:r>
        <w:t xml:space="preserve">Altizer, S., R. S. Ostfeld, P. T. J. Johnson, S. Kutz, and C. D. Harvell. 2013. “Climate Change and Infectious Diseases: From Evidence to a Predictive Framework.” </w:t>
      </w:r>
      <w:r>
        <w:rPr>
          <w:i/>
          <w:iCs/>
        </w:rPr>
        <w:t>Science (American Association for the Advancement of Science)</w:t>
      </w:r>
      <w:r>
        <w:t xml:space="preserve"> 341 (6145): 514–19. </w:t>
      </w:r>
      <w:hyperlink r:id="rId9">
        <w:r>
          <w:t>https://doi.org/10.1126/science.1239401</w:t>
        </w:r>
      </w:hyperlink>
      <w:r>
        <w:t>.</w:t>
      </w:r>
    </w:p>
    <w:p w14:paraId="5903943E" w14:textId="77777777" w:rsidR="008A4883" w:rsidRDefault="00000000">
      <w:bookmarkStart w:id="16" w:name="ref-becker_beyond_2020"/>
      <w:bookmarkEnd w:id="15"/>
      <w:r>
        <w:t xml:space="preserve">Becker, Daniel J., Stephanie N. Seifer, and Colin J. Carlson. 2020. “Beyond Infection: Integrating Competence into Reservoir Host Prediction.” </w:t>
      </w:r>
      <w:r>
        <w:rPr>
          <w:i/>
          <w:iCs/>
        </w:rPr>
        <w:t>Trends in Ecology and Evolution</w:t>
      </w:r>
      <w:r>
        <w:t xml:space="preserve"> 35 (12): 1061–62. </w:t>
      </w:r>
      <w:hyperlink r:id="rId10">
        <w:r>
          <w:t>https://doi.org/10.1016/j.tree.2020.08.014</w:t>
        </w:r>
      </w:hyperlink>
      <w:r>
        <w:t>.</w:t>
      </w:r>
    </w:p>
    <w:p w14:paraId="795AF672" w14:textId="77777777" w:rsidR="008A4883" w:rsidRDefault="00000000">
      <w:bookmarkStart w:id="17" w:name="ref-bienentreu_amphibian_2020"/>
      <w:bookmarkEnd w:id="16"/>
      <w:r>
        <w:t xml:space="preserve">Bienentreu, Joe-Felix, and David Lesbarrères. 2020. “Amphibian Disease Ecology: Are We Just Scratching the Surface?” </w:t>
      </w:r>
      <w:r>
        <w:rPr>
          <w:i/>
          <w:iCs/>
        </w:rPr>
        <w:t>Herpetologica</w:t>
      </w:r>
      <w:r>
        <w:t xml:space="preserve"> 76 (2): 153. </w:t>
      </w:r>
      <w:hyperlink r:id="rId11">
        <w:r>
          <w:t>https://doi.org/10.1655/0018-0831-76.2.153</w:t>
        </w:r>
      </w:hyperlink>
      <w:r>
        <w:t>.</w:t>
      </w:r>
    </w:p>
    <w:p w14:paraId="31AD7125" w14:textId="77777777" w:rsidR="008A4883" w:rsidRDefault="00000000">
      <w:bookmarkStart w:id="18" w:name="ref-breban_general_2010"/>
      <w:bookmarkEnd w:id="17"/>
      <w:r>
        <w:t xml:space="preserve">Breban, Romulus, John M. Drake, and Pejman Rohani. 2010. “A General Multi-Strain Model with Environmental Transmission: Invasion Conditions for the Disease-Free and Endemic States.” </w:t>
      </w:r>
      <w:r>
        <w:rPr>
          <w:i/>
          <w:iCs/>
        </w:rPr>
        <w:t>Journal of Theoretical Biology</w:t>
      </w:r>
      <w:r>
        <w:t xml:space="preserve"> 264 (3): 729–36. </w:t>
      </w:r>
      <w:hyperlink r:id="rId12">
        <w:r>
          <w:t>https://doi.org/10.1016/j.jtbi.2010.03.005</w:t>
        </w:r>
      </w:hyperlink>
      <w:r>
        <w:t>.</w:t>
      </w:r>
    </w:p>
    <w:p w14:paraId="65DA6A7C" w14:textId="77777777" w:rsidR="008A4883" w:rsidRDefault="00000000">
      <w:bookmarkStart w:id="19" w:name="ref-breban_role_2009"/>
      <w:bookmarkEnd w:id="18"/>
      <w:r>
        <w:t xml:space="preserve">Breban, Romulus, John M. Drake, David E. Stallknecht, and Pejman Rohani. 2009. “The Role of Environmental Transmission in Recurrent Avian Influenza Epidemics.” </w:t>
      </w:r>
      <w:r>
        <w:rPr>
          <w:i/>
          <w:iCs/>
        </w:rPr>
        <w:t>PLoS Computational Biology</w:t>
      </w:r>
      <w:r>
        <w:t xml:space="preserve"> 5 (4): e1000346. </w:t>
      </w:r>
      <w:hyperlink r:id="rId13">
        <w:r>
          <w:t>https://doi.org/10.1371/journal.pcbi.1000346</w:t>
        </w:r>
      </w:hyperlink>
      <w:r>
        <w:t>.</w:t>
      </w:r>
    </w:p>
    <w:p w14:paraId="07341348" w14:textId="77777777" w:rsidR="008A4883" w:rsidRDefault="00000000">
      <w:bookmarkStart w:id="20" w:name="ref-brenes_transmission_2014"/>
      <w:bookmarkEnd w:id="19"/>
      <w:r>
        <w:t xml:space="preserve">Brenes, Roberto, Matthew J. Gray, Thomas B. Waltzek, Rebecca P. Wilkes, and Debra L. Miller. 2014. “Transmission of Ranavirus Between Ectothermic Vertebrate Hosts.” </w:t>
      </w:r>
      <w:r>
        <w:rPr>
          <w:i/>
          <w:iCs/>
        </w:rPr>
        <w:t>PLoS ONE</w:t>
      </w:r>
      <w:r>
        <w:t xml:space="preserve">. </w:t>
      </w:r>
      <w:hyperlink r:id="rId14">
        <w:r>
          <w:t>https://doi.org/10.1371/journal.pone.0092476</w:t>
        </w:r>
      </w:hyperlink>
      <w:r>
        <w:t>.</w:t>
      </w:r>
    </w:p>
    <w:p w14:paraId="73D46AC6" w14:textId="77777777" w:rsidR="008A4883" w:rsidRDefault="00000000">
      <w:bookmarkStart w:id="21" w:name="ref-brunner_testing_2009"/>
      <w:bookmarkEnd w:id="20"/>
      <w:r>
        <w:t xml:space="preserve">Brunner, J. L., and J. P. Collins. 2009. “Testing Assumptions of the Trade-Off Theory of the Evolution of Parasite Virulence.” </w:t>
      </w:r>
      <w:r>
        <w:rPr>
          <w:i/>
          <w:iCs/>
        </w:rPr>
        <w:t>Evolutionary Ecology Research</w:t>
      </w:r>
      <w:r>
        <w:t xml:space="preserve"> 11 (8): 1169–88. </w:t>
      </w:r>
      <w:hyperlink r:id="rId15">
        <w:r>
          <w:t>https://search.proquest.com/docview/21258486</w:t>
        </w:r>
      </w:hyperlink>
      <w:r>
        <w:t>.</w:t>
      </w:r>
    </w:p>
    <w:p w14:paraId="371121EB" w14:textId="77777777" w:rsidR="008A4883" w:rsidRDefault="00000000">
      <w:bookmarkStart w:id="22" w:name="ref-brunner_heterogeneities_2017"/>
      <w:bookmarkEnd w:id="21"/>
      <w:r>
        <w:t xml:space="preserve">Brunner, Jesse L., Lynne Beaty, Alexandra Guitard, and Deanna Russell. 2017. “Heterogeneities in the Infection Process Drive Ranavirus Transmission.” </w:t>
      </w:r>
      <w:r>
        <w:rPr>
          <w:i/>
          <w:iCs/>
        </w:rPr>
        <w:t>Ecology</w:t>
      </w:r>
      <w:r>
        <w:t xml:space="preserve"> 98 (2): 576–82. </w:t>
      </w:r>
      <w:hyperlink r:id="rId16">
        <w:r>
          <w:t>https://doi.org/10.1002/ecy.1644</w:t>
        </w:r>
      </w:hyperlink>
      <w:r>
        <w:t>.</w:t>
      </w:r>
    </w:p>
    <w:p w14:paraId="274F151B" w14:textId="77777777" w:rsidR="008A4883" w:rsidRDefault="00000000">
      <w:bookmarkStart w:id="23" w:name="ref-brunner_ranavirus_2015"/>
      <w:bookmarkEnd w:id="22"/>
      <w:r>
        <w:t xml:space="preserve">Brunner, Jesse L., Andrew Storfer, Matthew J. Gray, and Jason T. Hoverman. 2015. </w:t>
      </w:r>
      <w:r>
        <w:rPr>
          <w:i/>
          <w:iCs/>
        </w:rPr>
        <w:t>Ranavirus Ecology and Evolution: From Epidemiology to Extinction</w:t>
      </w:r>
      <w:r>
        <w:t xml:space="preserve">. Springer International Publishing. </w:t>
      </w:r>
      <w:hyperlink r:id="rId17">
        <w:r>
          <w:t>https://doi.org/10.1007/978-3-319-13755-1_4</w:t>
        </w:r>
      </w:hyperlink>
      <w:r>
        <w:t>.</w:t>
      </w:r>
    </w:p>
    <w:p w14:paraId="1FE97365" w14:textId="77777777" w:rsidR="008A4883" w:rsidRDefault="00000000">
      <w:bookmarkStart w:id="24" w:name="ref-cable_global_2017"/>
      <w:bookmarkEnd w:id="23"/>
      <w:r>
        <w:t xml:space="preserve">Cable, Joanne, Iain Barber, Brian Boag, Amy R. Ellison, Eric R. Morgan, Kris Murray, Emily L. Pascoe, Steven M. Sait, Anthony J. Wilson, and Mark Booth. 2017. “Global Change, Parasite Transmission and Disease Control: Lessons from Ecology.” </w:t>
      </w:r>
      <w:r>
        <w:rPr>
          <w:i/>
          <w:iCs/>
        </w:rPr>
        <w:t>Philosophical Transactions. Biological Sciences</w:t>
      </w:r>
      <w:r>
        <w:t xml:space="preserve"> 372 (1719): 20160088. </w:t>
      </w:r>
      <w:hyperlink r:id="rId18">
        <w:r>
          <w:t>https://doi.org/10.1098/rstb.2016.0088</w:t>
        </w:r>
      </w:hyperlink>
      <w:r>
        <w:t>.</w:t>
      </w:r>
    </w:p>
    <w:p w14:paraId="59FCA136" w14:textId="77777777" w:rsidR="008A4883" w:rsidRDefault="00000000">
      <w:bookmarkStart w:id="25" w:name="ref-coleman_incorporating_2018"/>
      <w:bookmarkEnd w:id="24"/>
      <w:r>
        <w:t>Coleman, Austin Lee. 2018. “Incorporating Environmental Factors into Discussions of Diversity-Disease Relationships.” PhD thesis, University of Georgia.</w:t>
      </w:r>
    </w:p>
    <w:p w14:paraId="4BC1854F" w14:textId="77777777" w:rsidR="008A4883" w:rsidRDefault="00000000">
      <w:bookmarkStart w:id="26" w:name="ref-dallas_metacom_2014"/>
      <w:bookmarkEnd w:id="25"/>
      <w:r>
        <w:lastRenderedPageBreak/>
        <w:t xml:space="preserve">Dallas, Tad. 2014. “Metacom: An R Package for the Analysis of Metacommunity Structure.” </w:t>
      </w:r>
      <w:r>
        <w:rPr>
          <w:i/>
          <w:iCs/>
        </w:rPr>
        <w:t>Ecography</w:t>
      </w:r>
      <w:r>
        <w:t xml:space="preserve"> 37 (4): 402–5. </w:t>
      </w:r>
      <w:hyperlink r:id="rId19">
        <w:r>
          <w:t>https://doi.org/10.1111/j.1600-0587.2013.00695.x</w:t>
        </w:r>
      </w:hyperlink>
      <w:r>
        <w:t>.</w:t>
      </w:r>
    </w:p>
    <w:p w14:paraId="5A2408BB" w14:textId="77777777" w:rsidR="008A4883" w:rsidRDefault="00000000">
      <w:bookmarkStart w:id="27" w:name="ref-diekmann_definition_1990"/>
      <w:bookmarkEnd w:id="26"/>
      <w:r>
        <w:t xml:space="preserve">Diekmann, Odo, Hans Heesterbeek,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0">
        <w:r>
          <w:t>https://www.narcis.nl/publication/RecordID/oai:cwi.nl:2026</w:t>
        </w:r>
      </w:hyperlink>
      <w:r>
        <w:t>.</w:t>
      </w:r>
    </w:p>
    <w:p w14:paraId="336FD064" w14:textId="77777777" w:rsidR="008A4883" w:rsidRDefault="00000000">
      <w:bookmarkStart w:id="28" w:name="ref-diekmann_construction_2009"/>
      <w:bookmarkEnd w:id="27"/>
      <w:r>
        <w:t xml:space="preserve">Diekmann, O., J. A. P. Heesterbeek, and M. G. Roberts. 2009. “The Construction of Next-Generation Matrices for Compartmental Epidemic Models.” </w:t>
      </w:r>
      <w:r>
        <w:rPr>
          <w:i/>
          <w:iCs/>
        </w:rPr>
        <w:t>Journal of the Royal Society Interface</w:t>
      </w:r>
      <w:r>
        <w:t xml:space="preserve"> 7 (47): 873–85. </w:t>
      </w:r>
      <w:hyperlink r:id="rId21">
        <w:r>
          <w:t>https://doi.org/10.1098/rsif.2009.0386</w:t>
        </w:r>
      </w:hyperlink>
      <w:r>
        <w:t>.</w:t>
      </w:r>
    </w:p>
    <w:p w14:paraId="639A59BA" w14:textId="77777777" w:rsidR="008A4883" w:rsidRDefault="00000000">
      <w:bookmarkStart w:id="29" w:name="ref-dillon_direct_2019"/>
      <w:bookmarkEnd w:id="28"/>
      <w:r>
        <w:t xml:space="preserve">Dillon, Whalen W., and Ross K. Meentemeyer. 2019. “Direct and Indirect Effects of Forest Microclimate on Pathogen Spillover.” </w:t>
      </w:r>
      <w:r>
        <w:rPr>
          <w:i/>
          <w:iCs/>
        </w:rPr>
        <w:t>Ecology (Durham)</w:t>
      </w:r>
      <w:r>
        <w:t xml:space="preserve"> 100 (5): e02686–n/a. </w:t>
      </w:r>
      <w:hyperlink r:id="rId22">
        <w:r>
          <w:t>https://doi.org/10.1002/ecy.2686</w:t>
        </w:r>
      </w:hyperlink>
      <w:r>
        <w:t>.</w:t>
      </w:r>
    </w:p>
    <w:p w14:paraId="337126C3" w14:textId="77777777" w:rsidR="008A4883" w:rsidRDefault="00000000">
      <w:bookmarkStart w:id="30" w:name="ref-dobson_population_2004"/>
      <w:bookmarkEnd w:id="29"/>
      <w:r>
        <w:t xml:space="preserve">Dobson, Andrew. 2004. “Population Dynamics of Pathogens with Multiple Host Species.” </w:t>
      </w:r>
      <w:r>
        <w:rPr>
          <w:i/>
          <w:iCs/>
        </w:rPr>
        <w:t>The American Naturalist</w:t>
      </w:r>
      <w:r>
        <w:t xml:space="preserve"> 164 (S5): S64–78. </w:t>
      </w:r>
      <w:hyperlink r:id="rId23">
        <w:r>
          <w:t>https://doi.org/10.1086/424681</w:t>
        </w:r>
      </w:hyperlink>
      <w:r>
        <w:t>.</w:t>
      </w:r>
    </w:p>
    <w:p w14:paraId="16E8D9CA" w14:textId="77777777" w:rsidR="008A4883" w:rsidRDefault="00000000">
      <w:bookmarkStart w:id="31" w:name="ref-downs_scaling_2019"/>
      <w:bookmarkEnd w:id="30"/>
      <w:r>
        <w:t xml:space="preserve">Downs, Cynthia J., Laura A. Schoenle, Barbara A. Han, Jon F. Harrison, and Lynn B. Martin. 2019. “Scaling of Host Competence.” </w:t>
      </w:r>
      <w:r>
        <w:rPr>
          <w:i/>
          <w:iCs/>
        </w:rPr>
        <w:t>Trends in Parasitology</w:t>
      </w:r>
      <w:r>
        <w:t xml:space="preserve"> 35 (3): 182–92. </w:t>
      </w:r>
      <w:hyperlink r:id="rId24">
        <w:r>
          <w:t>https://doi.org/10.1016/j.pt.2018.12.002</w:t>
        </w:r>
      </w:hyperlink>
      <w:r>
        <w:t>.</w:t>
      </w:r>
    </w:p>
    <w:p w14:paraId="7DF7D0C7" w14:textId="77777777" w:rsidR="008A4883" w:rsidRDefault="00000000">
      <w:bookmarkStart w:id="32" w:name="ref-faust_null_2017"/>
      <w:bookmarkEnd w:id="31"/>
      <w:r>
        <w:t xml:space="preserve">Faust, Christina L., Andrew P. Dobson, Nicole Gottdenker, Laura S. P. Bloomfield, Hamish I. McCallum, Thomas R. Gillespie, Maria Diuk-Wasser,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5">
        <w:r>
          <w:t>https://doi.org/10.1098/rstb.2016.0173</w:t>
        </w:r>
      </w:hyperlink>
      <w:r>
        <w:t>.</w:t>
      </w:r>
    </w:p>
    <w:p w14:paraId="27115D8D" w14:textId="77777777" w:rsidR="008A4883" w:rsidRDefault="00000000">
      <w:bookmarkStart w:id="33" w:name="ref-fenton_parasite_2002"/>
      <w:bookmarkEnd w:id="32"/>
      <w:r>
        <w:t xml:space="preserve">Fenton, A., J. P. Fairbairn, R. Norman, and P. J. Hudson. 2002. “Parasite Transmission: Reconciling Theory and Reality.” </w:t>
      </w:r>
      <w:r>
        <w:rPr>
          <w:i/>
          <w:iCs/>
        </w:rPr>
        <w:t>Journal of Animal Ecology</w:t>
      </w:r>
      <w:r>
        <w:t xml:space="preserve"> 71 (5): 893–905. </w:t>
      </w:r>
      <w:hyperlink r:id="rId26">
        <w:r>
          <w:t>https://doi.org/10.1046/j.1365-2656.2002.00656.x</w:t>
        </w:r>
      </w:hyperlink>
      <w:r>
        <w:t>.</w:t>
      </w:r>
    </w:p>
    <w:p w14:paraId="603EBC6B" w14:textId="77777777" w:rsidR="008A4883" w:rsidRDefault="00000000">
      <w:bookmarkStart w:id="34" w:name="ref-gervasi_context_2015"/>
      <w:bookmarkEnd w:id="33"/>
      <w:r>
        <w:t xml:space="preserve">Gervasi, Stephanie S., David J. Civitello, Holly J. Kilvitis, and Lynn B. Martin. 2015. “The Context of Host Competence: A Role for Plasticity in Host–Parasite Dynamics.” </w:t>
      </w:r>
      <w:r>
        <w:rPr>
          <w:i/>
          <w:iCs/>
        </w:rPr>
        <w:t>Trends in Parasitology</w:t>
      </w:r>
      <w:r>
        <w:t xml:space="preserve"> 31 (9): 419–25. </w:t>
      </w:r>
      <w:hyperlink r:id="rId27">
        <w:r>
          <w:t>https://doi.org/10.1016/j.pt.2015.05.002</w:t>
        </w:r>
      </w:hyperlink>
      <w:r>
        <w:t>.</w:t>
      </w:r>
    </w:p>
    <w:p w14:paraId="61CF38AD" w14:textId="77777777" w:rsidR="008A4883" w:rsidRDefault="00000000">
      <w:bookmarkStart w:id="35" w:name="ref-gray_ecology_2009"/>
      <w:bookmarkEnd w:id="34"/>
      <w:r>
        <w:t xml:space="preserve">Gray, Matthew J., Debra L. Miller, and Jason T. Hoverman. 2009. “Ecology and Pathology of Amphibian Ranaviruses.” </w:t>
      </w:r>
      <w:r>
        <w:rPr>
          <w:i/>
          <w:iCs/>
        </w:rPr>
        <w:t>Diseases of Aquatic Organisms</w:t>
      </w:r>
      <w:r>
        <w:t xml:space="preserve"> 87 (3): 243–66. </w:t>
      </w:r>
      <w:hyperlink r:id="rId28">
        <w:r>
          <w:t>https://doi.org/10.3354/dao02138</w:t>
        </w:r>
      </w:hyperlink>
      <w:r>
        <w:t>.</w:t>
      </w:r>
    </w:p>
    <w:p w14:paraId="65BE1C96" w14:textId="77777777" w:rsidR="008A4883" w:rsidRDefault="00000000">
      <w:bookmarkStart w:id="36" w:name="ref-hall_why_2010"/>
      <w:bookmarkEnd w:id="35"/>
      <w:r>
        <w:t xml:space="preserve">Hall, Spencer R., Robyn Smyth, Claes R. Becker, Meghan A. Duffy, Christine J. Knight, Sally MacIntyre, Alan J. Tessier, and Carla E. Cáceres. 2010. “Why Are Daphnia in Some Lakes Sicker? Disease Ecology, Habitat Structure, and the Plankton.” </w:t>
      </w:r>
      <w:r>
        <w:rPr>
          <w:i/>
          <w:iCs/>
        </w:rPr>
        <w:t>BioScience</w:t>
      </w:r>
      <w:r>
        <w:t xml:space="preserve"> 60 (5): 363–75. </w:t>
      </w:r>
      <w:hyperlink r:id="rId29">
        <w:r>
          <w:t>https://doi.org/10.1525/bio.2010.60.5.6</w:t>
        </w:r>
      </w:hyperlink>
      <w:r>
        <w:t>.</w:t>
      </w:r>
    </w:p>
    <w:p w14:paraId="495B9B3B" w14:textId="77777777" w:rsidR="008A4883" w:rsidRDefault="00000000">
      <w:bookmarkStart w:id="37" w:name="ref-halliday_past_2019"/>
      <w:bookmarkEnd w:id="36"/>
      <w:r>
        <w:t xml:space="preserve">Halliday, Fletcher W., Robert W. Heckman, Peter A. Wilfahrt, and Charles E. Mitchell. 2019. “Past Is Prologue: Host Community Assembly and the Risk of Infectious Disease over Time.” </w:t>
      </w:r>
      <w:r>
        <w:rPr>
          <w:i/>
          <w:iCs/>
        </w:rPr>
        <w:t>Ecology Letters</w:t>
      </w:r>
      <w:r>
        <w:t xml:space="preserve"> 22 (1): 138–48. </w:t>
      </w:r>
      <w:hyperlink r:id="rId30">
        <w:r>
          <w:t>https://doi.org/10.1111/ele.13176</w:t>
        </w:r>
      </w:hyperlink>
      <w:r>
        <w:t>.</w:t>
      </w:r>
    </w:p>
    <w:p w14:paraId="5A5F001F" w14:textId="77777777" w:rsidR="008A4883" w:rsidRDefault="00000000">
      <w:bookmarkStart w:id="38" w:name="ref-holm_simple_1979"/>
      <w:bookmarkEnd w:id="37"/>
      <w:r>
        <w:t>Holm, Sture. 1979. “A Simple Sequentially Rejective Multiple Test Procedure.”</w:t>
      </w:r>
    </w:p>
    <w:p w14:paraId="09948F5D" w14:textId="77777777" w:rsidR="008A4883" w:rsidRDefault="00000000">
      <w:bookmarkStart w:id="39" w:name="ref-holt_parasite_2003"/>
      <w:bookmarkEnd w:id="38"/>
      <w:r>
        <w:t xml:space="preserve">Holt, Robert D., Andrew P. Dobson, Michael Begon, Roger G. Bowers, and Eric M. Schauber. 2003. “Parasite Establishment in Host Communities.” </w:t>
      </w:r>
      <w:r>
        <w:rPr>
          <w:i/>
          <w:iCs/>
        </w:rPr>
        <w:t>Ecology Letters</w:t>
      </w:r>
      <w:r>
        <w:t xml:space="preserve"> 6 (9): 837–42. </w:t>
      </w:r>
      <w:hyperlink r:id="rId31">
        <w:r>
          <w:t>https://doi.org/10.1046/j.1461-0248.2003.00501.x</w:t>
        </w:r>
      </w:hyperlink>
      <w:r>
        <w:t>.</w:t>
      </w:r>
    </w:p>
    <w:p w14:paraId="234C9E0E" w14:textId="77777777" w:rsidR="008A4883" w:rsidRDefault="00000000">
      <w:bookmarkStart w:id="40" w:name="ref-hopkins_systematic_2020"/>
      <w:bookmarkEnd w:id="39"/>
      <w:r>
        <w:t xml:space="preserve">Hopkins, Skylar R., Arietta E. Fleming‐Davies, Lisa K. Belden, Jeremy M. Wojdak, and Nick Golding. 2020. “Systematic Review of Modelling Assumptions and Empirical Evidence: Does </w:t>
      </w:r>
      <w:r>
        <w:lastRenderedPageBreak/>
        <w:t xml:space="preserve">Parasite Transmission Increase Nonlinearly with Host Density?” </w:t>
      </w:r>
      <w:r>
        <w:rPr>
          <w:i/>
          <w:iCs/>
        </w:rPr>
        <w:t>Methods in Ecology and Evolution</w:t>
      </w:r>
      <w:r>
        <w:t xml:space="preserve"> 11 (4): 476–86. </w:t>
      </w:r>
      <w:hyperlink r:id="rId32">
        <w:r>
          <w:t>https://doi.org/10.1111/2041-210X.13361</w:t>
        </w:r>
      </w:hyperlink>
      <w:r>
        <w:t>.</w:t>
      </w:r>
    </w:p>
    <w:p w14:paraId="4D584C90" w14:textId="77777777" w:rsidR="008A4883" w:rsidRDefault="00000000">
      <w:bookmarkStart w:id="41" w:name="ref-hoverman_phylogeny_2011"/>
      <w:bookmarkEnd w:id="40"/>
      <w:r>
        <w:t xml:space="preserve">Hoverman, Jason T., Matthew J. Gray, Nathan A. Haislip, and Debra L. Miller. 2011. “Phylogeny, Life History, and Ecology Contribute to Differences in Amphibian Susceptibility to Ranaviruses.” </w:t>
      </w:r>
      <w:r>
        <w:rPr>
          <w:i/>
          <w:iCs/>
        </w:rPr>
        <w:t>EcoHealth</w:t>
      </w:r>
      <w:r>
        <w:t xml:space="preserve"> 8 (3): 301–19. </w:t>
      </w:r>
      <w:hyperlink r:id="rId33">
        <w:r>
          <w:t>https://doi.org/10.1007/s10393-011-0717-7</w:t>
        </w:r>
      </w:hyperlink>
      <w:r>
        <w:t>.</w:t>
      </w:r>
    </w:p>
    <w:p w14:paraId="4F7E031C" w14:textId="77777777" w:rsidR="008A4883" w:rsidRDefault="00000000">
      <w:bookmarkStart w:id="42" w:name="ref-johnson_why_2015"/>
      <w:bookmarkEnd w:id="41"/>
      <w:r>
        <w:t xml:space="preserve">Johnson, P. T. J., J. C. de Roode, and A. Fenton. 2015. “Why Infectious Disease Research Needs Community Ecology.” </w:t>
      </w:r>
      <w:r>
        <w:rPr>
          <w:i/>
          <w:iCs/>
        </w:rPr>
        <w:t>Science (American Association for the Advancement of Science)</w:t>
      </w:r>
      <w:r>
        <w:t xml:space="preserve"> 349 (6252): 1259504. </w:t>
      </w:r>
      <w:hyperlink r:id="rId34">
        <w:r>
          <w:t>https://doi.org/10.1126/science.1259504</w:t>
        </w:r>
      </w:hyperlink>
      <w:r>
        <w:t>.</w:t>
      </w:r>
    </w:p>
    <w:p w14:paraId="304A17FF" w14:textId="77777777" w:rsidR="008A4883" w:rsidRDefault="00000000">
      <w:bookmarkStart w:id="43" w:name="ref-johnson_community_2019"/>
      <w:bookmarkEnd w:id="42"/>
      <w:r>
        <w:t xml:space="preserve">Johnson, Pieter T. J., Dana M. Calhoun, Tawni Riepe, Travis McDevitt-Galles, and Janet Koprivnikar. 2019. “Community Disassembly and Disease: Realistic-but Not Randomized-Biodiversity Losses Enhance Parasite Transmission.” </w:t>
      </w:r>
      <w:r>
        <w:rPr>
          <w:i/>
          <w:iCs/>
        </w:rPr>
        <w:t>Proceedings of the Royal Society B: Biological Sciences</w:t>
      </w:r>
      <w:r>
        <w:t xml:space="preserve">. </w:t>
      </w:r>
      <w:hyperlink r:id="rId35">
        <w:r>
          <w:t>https://doi.org/10.1098/rspb.2019.0260</w:t>
        </w:r>
      </w:hyperlink>
      <w:r>
        <w:t>.</w:t>
      </w:r>
    </w:p>
    <w:p w14:paraId="25876EC6" w14:textId="77777777" w:rsidR="008A4883" w:rsidRDefault="00000000">
      <w:bookmarkStart w:id="44" w:name="ref-johnson_biodiversity_2013"/>
      <w:bookmarkEnd w:id="43"/>
      <w:r>
        <w:t xml:space="preserve">Johnson, Pieter T. J., Daniel L. Preston, Jason T. Hoverman, and Katherine L. D. Richgels. 2013. “Biodiversity Decreases Disease Through Predictable Changes in Host Community Competence.” </w:t>
      </w:r>
      <w:r>
        <w:rPr>
          <w:i/>
          <w:iCs/>
        </w:rPr>
        <w:t>Nature</w:t>
      </w:r>
      <w:r>
        <w:t xml:space="preserve">. </w:t>
      </w:r>
      <w:hyperlink r:id="rId36">
        <w:r>
          <w:t>https://doi.org/10.1038/nature11883</w:t>
        </w:r>
      </w:hyperlink>
      <w:r>
        <w:t>.</w:t>
      </w:r>
    </w:p>
    <w:p w14:paraId="57B1734D" w14:textId="77777777" w:rsidR="008A4883" w:rsidRDefault="00000000">
      <w:bookmarkStart w:id="45" w:name="ref-joseph_does_2013"/>
      <w:bookmarkEnd w:id="44"/>
      <w:r>
        <w:t xml:space="preserve">Joseph, Maxwell B., Joseph R. Mihaljevic, Sarah A. Orlofske, Sara H. Paull, and Richard Ostfeld. 2013. “Does Life History Mediate Changing Disease Risk When Communities Disassemble?” </w:t>
      </w:r>
      <w:r>
        <w:rPr>
          <w:i/>
          <w:iCs/>
        </w:rPr>
        <w:t>Ecology Letters</w:t>
      </w:r>
      <w:r>
        <w:t xml:space="preserve"> 16 (11): 1405–12. </w:t>
      </w:r>
      <w:hyperlink r:id="rId37">
        <w:r>
          <w:t>https://doi.org/10.1111/ele.12180</w:t>
        </w:r>
      </w:hyperlink>
      <w:r>
        <w:t>.</w:t>
      </w:r>
    </w:p>
    <w:p w14:paraId="4DA134DA" w14:textId="77777777" w:rsidR="008A4883" w:rsidRDefault="00000000">
      <w:bookmarkStart w:id="46" w:name="ref-keesing_effects_2006"/>
      <w:bookmarkEnd w:id="45"/>
      <w:r>
        <w:t xml:space="preserve">Keesing, F., R. D. Holt, and R. S. Ostfeld. 2006. “Effects of Species Diversity on Disease Risk.” </w:t>
      </w:r>
      <w:r>
        <w:rPr>
          <w:i/>
          <w:iCs/>
        </w:rPr>
        <w:t>Ecology Letters</w:t>
      </w:r>
      <w:r>
        <w:t xml:space="preserve"> 9 (4): 485–98. </w:t>
      </w:r>
      <w:hyperlink r:id="rId38">
        <w:r>
          <w:t>https://doi.org/10.1111/j.1461-0248.2006.00885.x</w:t>
        </w:r>
      </w:hyperlink>
      <w:r>
        <w:t>.</w:t>
      </w:r>
    </w:p>
    <w:p w14:paraId="3C756DE8" w14:textId="77777777" w:rsidR="008A4883" w:rsidRDefault="00000000">
      <w:bookmarkStart w:id="47" w:name="ref-leibold_metacommunity_2004"/>
      <w:bookmarkEnd w:id="46"/>
      <w:r>
        <w:t xml:space="preserve">Leibold, M. A., M. Holyoak, N. Mouquet, P. Amarasekare, J. M. Chase, M. F. Hoopes, R. D. Holt, et al. 2004. “The Metacommunity Concept: A Framework for Multi‐scale Community Ecology.” </w:t>
      </w:r>
      <w:r>
        <w:rPr>
          <w:i/>
          <w:iCs/>
        </w:rPr>
        <w:t>Ecology Letters</w:t>
      </w:r>
      <w:r>
        <w:t xml:space="preserve"> 7 (7): 601–13. </w:t>
      </w:r>
      <w:hyperlink r:id="rId39">
        <w:r>
          <w:t>https://doi.org/10.1111/j.1461-0248.2004.00608.x</w:t>
        </w:r>
      </w:hyperlink>
      <w:r>
        <w:t>.</w:t>
      </w:r>
    </w:p>
    <w:p w14:paraId="0006278A" w14:textId="77777777" w:rsidR="008A4883" w:rsidRDefault="00000000">
      <w:bookmarkStart w:id="48" w:name="ref-leibold_coherence_2002"/>
      <w:bookmarkEnd w:id="47"/>
      <w:r>
        <w:t xml:space="preserve">Leibold, Mathew A., and Gregory M. Mikkelson. 2002. “Coherence, Species Turnover, and Boundary Clumping: Elements of Meta-Community Structure.” </w:t>
      </w:r>
      <w:r>
        <w:rPr>
          <w:i/>
          <w:iCs/>
        </w:rPr>
        <w:t>Oikos</w:t>
      </w:r>
      <w:r>
        <w:t xml:space="preserve"> 97 (2): 237–50. </w:t>
      </w:r>
      <w:hyperlink r:id="rId40">
        <w:r>
          <w:t>https://doi.org/10.1034/j.1600-0706.2002.970210.x</w:t>
        </w:r>
      </w:hyperlink>
      <w:r>
        <w:t>.</w:t>
      </w:r>
    </w:p>
    <w:p w14:paraId="07278CD6" w14:textId="77777777" w:rsidR="008A4883" w:rsidRDefault="00000000">
      <w:bookmarkStart w:id="49" w:name="ref-lesbarreres_ranavirus_2012"/>
      <w:bookmarkEnd w:id="48"/>
      <w:r>
        <w:t xml:space="preserve">Lesbarrères, D., A. Balseiro, J. Brunner, V. G. Chinchar, A. Duffus, J. Kerby, D. L. Miller, et al. 2012. “Ranavirus: Past, Present and Future.” </w:t>
      </w:r>
      <w:r>
        <w:rPr>
          <w:i/>
          <w:iCs/>
        </w:rPr>
        <w:t>Biology Letters</w:t>
      </w:r>
      <w:r>
        <w:t xml:space="preserve"> 8 (4): 481–83. </w:t>
      </w:r>
      <w:hyperlink r:id="rId41">
        <w:r>
          <w:t>https://doi.org/10.1098/rsbl.2011.0951</w:t>
        </w:r>
      </w:hyperlink>
      <w:r>
        <w:t>.</w:t>
      </w:r>
    </w:p>
    <w:p w14:paraId="1352ADF6" w14:textId="77777777" w:rsidR="008A4883" w:rsidRDefault="00000000">
      <w:bookmarkStart w:id="50" w:name="ref-logiudice_ecology_2003"/>
      <w:bookmarkEnd w:id="49"/>
      <w:r>
        <w:t xml:space="preserve">LoGiudice, Kathleen, Richard S. Ostfeld, Kenneth A. Schmidt, and Felicia Keesing. 2003. “The Ecology of Infectious Disease: Effects of Host Diversity and Community Composition on Lyme Disease Risk.” </w:t>
      </w:r>
      <w:r>
        <w:rPr>
          <w:i/>
          <w:iCs/>
        </w:rPr>
        <w:t>Proceedings of the National Academy of Sciences - PNAS</w:t>
      </w:r>
      <w:r>
        <w:t xml:space="preserve"> 100 (2): 567–71. </w:t>
      </w:r>
      <w:hyperlink r:id="rId42">
        <w:r>
          <w:t>https://doi.org/10.1073/pnas.0233733100</w:t>
        </w:r>
      </w:hyperlink>
      <w:r>
        <w:t>.</w:t>
      </w:r>
    </w:p>
    <w:p w14:paraId="65E86AAF" w14:textId="77777777" w:rsidR="008A4883" w:rsidRDefault="00000000">
      <w:bookmarkStart w:id="51" w:name="ref-luis_species_2018"/>
      <w:bookmarkEnd w:id="50"/>
      <w:r>
        <w:t xml:space="preserve">Luis, Angela D., Amy J. Kuenzi,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3">
        <w:r>
          <w:t>https://doi.org/10.1073/pnas.1807106115</w:t>
        </w:r>
      </w:hyperlink>
      <w:r>
        <w:t>.</w:t>
      </w:r>
    </w:p>
    <w:p w14:paraId="2051ABB0" w14:textId="77777777" w:rsidR="008A4883" w:rsidRDefault="00000000">
      <w:bookmarkStart w:id="52" w:name="ref-martin_burrows_2019"/>
      <w:bookmarkEnd w:id="51"/>
      <w:r>
        <w:t xml:space="preserve">Martin, Alynn M., Hayley Ricardo, Adrianna Tompros, Tamieka A. Fraser, Adam Polkinghorne, and Scott Carver. 2019. “Burrows with Resources Have Greater Visitation and May Enhance Mange Transmission Among Wombats.” </w:t>
      </w:r>
      <w:r>
        <w:rPr>
          <w:i/>
          <w:iCs/>
        </w:rPr>
        <w:t>Australian Mammalogy</w:t>
      </w:r>
      <w:r>
        <w:t xml:space="preserve">. </w:t>
      </w:r>
      <w:hyperlink r:id="rId44">
        <w:r>
          <w:t>https://doi.org/10.1071/AM18013</w:t>
        </w:r>
      </w:hyperlink>
      <w:r>
        <w:t>.</w:t>
      </w:r>
    </w:p>
    <w:p w14:paraId="783446B7" w14:textId="77777777" w:rsidR="008A4883" w:rsidRDefault="00000000">
      <w:bookmarkStart w:id="53" w:name="ref-merrill_variation_2019"/>
      <w:bookmarkEnd w:id="52"/>
      <w:r>
        <w:t xml:space="preserve">Merrill, Tara E. Stewart, Spencer R. Hall, Loren Merrill, and Carla E. Cáceres. 2019. “Variation in Immune Defense Shapes Disease Outcomes in Laboratory and Wild Daphnia.” </w:t>
      </w:r>
      <w:r>
        <w:rPr>
          <w:i/>
          <w:iCs/>
        </w:rPr>
        <w:t>Integrative and Comparative Biology</w:t>
      </w:r>
      <w:r>
        <w:t xml:space="preserve"> 59 (5): 1203–19. </w:t>
      </w:r>
      <w:hyperlink r:id="rId45">
        <w:r>
          <w:t>https://doi.org/10.1093/icb/icz079</w:t>
        </w:r>
      </w:hyperlink>
      <w:r>
        <w:t>.</w:t>
      </w:r>
    </w:p>
    <w:p w14:paraId="0889DB23" w14:textId="77777777" w:rsidR="008A4883" w:rsidRDefault="00000000">
      <w:bookmarkStart w:id="54" w:name="ref-merrill_towards_2020"/>
      <w:bookmarkEnd w:id="53"/>
      <w:r>
        <w:lastRenderedPageBreak/>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55" w:name="ref-mihaljevic_parasite_2018"/>
      <w:bookmarkEnd w:id="54"/>
      <w:r>
        <w:t xml:space="preserve">Mihaljevic, Joseph R., Bethany J. Hoye,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46">
        <w:r>
          <w:t>https://doi.org/10.1111/1365-2656.12735</w:t>
        </w:r>
      </w:hyperlink>
      <w:r>
        <w:t>.</w:t>
      </w:r>
    </w:p>
    <w:p w14:paraId="79BECE7D" w14:textId="77777777" w:rsidR="008A4883" w:rsidRDefault="00000000">
      <w:bookmarkStart w:id="56" w:name="ref-nazir_environmental_2012"/>
      <w:bookmarkEnd w:id="55"/>
      <w:r>
        <w:t xml:space="preserve">Nazir, J., M. Spengler, and R. E. Marschang. 2012. “Environmental Persistence of Amphibian and Reptilian Ranaviruses.” </w:t>
      </w:r>
      <w:r>
        <w:rPr>
          <w:i/>
          <w:iCs/>
        </w:rPr>
        <w:t>Diseases of Aquatic Organisms</w:t>
      </w:r>
      <w:r>
        <w:t xml:space="preserve"> 98 (3): 177–84. </w:t>
      </w:r>
      <w:hyperlink r:id="rId47">
        <w:r>
          <w:t>https://doi.org/10.3354/dao02443</w:t>
        </w:r>
      </w:hyperlink>
      <w:r>
        <w:t>.</w:t>
      </w:r>
    </w:p>
    <w:p w14:paraId="28048421" w14:textId="77777777" w:rsidR="008A4883" w:rsidRDefault="00000000">
      <w:bookmarkStart w:id="57" w:name="ref-north_anthropogenic_2015"/>
      <w:bookmarkEnd w:id="56"/>
      <w:r>
        <w:t xml:space="preserve">North, Alexandra C., David J. Hodgson, Stephen J. Price, and Amber G. F. Griffiths. 2015. “Anthropogenic and Ecological Drivers of Amphibian Disease (Ranavirosis).” </w:t>
      </w:r>
      <w:r>
        <w:rPr>
          <w:i/>
          <w:iCs/>
        </w:rPr>
        <w:t>PloS One</w:t>
      </w:r>
      <w:r>
        <w:t xml:space="preserve"> 10 (6): e0127037. </w:t>
      </w:r>
      <w:hyperlink r:id="rId48">
        <w:r>
          <w:t>https://doi.org/10.1371/journal.pone.0127037</w:t>
        </w:r>
      </w:hyperlink>
      <w:r>
        <w:t>.</w:t>
      </w:r>
    </w:p>
    <w:p w14:paraId="504D9D0F" w14:textId="77777777" w:rsidR="008A4883" w:rsidRDefault="00000000">
      <w:bookmarkStart w:id="58" w:name="ref-ostfeld_community_2003"/>
      <w:bookmarkEnd w:id="57"/>
      <w:r>
        <w:t xml:space="preserve">Ostfeld, Richard S., and Kathleen LoGiudice. 2003. “Community Disassembly, Biodiversity Loss, and the Erosion of an Ecosystem Service.” </w:t>
      </w:r>
      <w:r>
        <w:rPr>
          <w:i/>
          <w:iCs/>
        </w:rPr>
        <w:t>Ecology</w:t>
      </w:r>
      <w:r>
        <w:t xml:space="preserve"> 84 (6): 1421–27. </w:t>
      </w:r>
      <w:hyperlink r:id="rId49">
        <w:r>
          <w:t>https://doi.org/10.1890/02-3125</w:t>
        </w:r>
      </w:hyperlink>
      <w:r>
        <w:t>.</w:t>
      </w:r>
    </w:p>
    <w:p w14:paraId="4C8F35B2" w14:textId="77777777" w:rsidR="008A4883" w:rsidRDefault="00000000">
      <w:bookmarkStart w:id="59" w:name="ref-park_characterizing_2018"/>
      <w:bookmarkEnd w:id="58"/>
      <w:r>
        <w:t xml:space="preserve">Park, A. W., M. J. Farrell, J. P. Schmidt, S. Huang, T. A. Dallas, P. Pappalardo, J. M. Drake, et al. 2018. “Characterizing the Phylogenetic Specialism–Generalism Spectrum of Mammal Parasites.” </w:t>
      </w:r>
      <w:r>
        <w:rPr>
          <w:i/>
          <w:iCs/>
        </w:rPr>
        <w:t>Proceedings of the Royal Society. B, Biological Sciences</w:t>
      </w:r>
      <w:r>
        <w:t xml:space="preserve"> 285 (1874): 20172613. </w:t>
      </w:r>
      <w:hyperlink r:id="rId50">
        <w:r>
          <w:t>https://doi.org/10.1098/rspb.2017.2613</w:t>
        </w:r>
      </w:hyperlink>
      <w:r>
        <w:t>.</w:t>
      </w:r>
    </w:p>
    <w:p w14:paraId="2D0BC110" w14:textId="77777777" w:rsidR="008A4883" w:rsidRDefault="00000000">
      <w:bookmarkStart w:id="60" w:name="ref-patz_unhealthy_2004"/>
      <w:bookmarkEnd w:id="59"/>
      <w:r>
        <w:t xml:space="preserve">Patz, Jonathan A., Peter Daszak, Gary M. Tabor, A. Alfonso Aguirre, Mary Pearl, Jon Epstein, Nathan D. Wolfe, et al. 2004. “Unhealthy Landscapes: Policy Recommendations on Land Use Change and Infectious Disease Emergence,” April. </w:t>
      </w:r>
      <w:hyperlink r:id="rId51">
        <w:r>
          <w:t>https://doi.org/10.1289/ehp.6877</w:t>
        </w:r>
      </w:hyperlink>
      <w:r>
        <w:t>.</w:t>
      </w:r>
    </w:p>
    <w:p w14:paraId="36FA3CA8" w14:textId="77777777" w:rsidR="008A4883" w:rsidRDefault="00000000">
      <w:bookmarkStart w:id="61" w:name="ref-pielou_interpretation_1984"/>
      <w:bookmarkEnd w:id="60"/>
      <w:r>
        <w:t xml:space="preserve">Pielou, E. C. 1984. </w:t>
      </w:r>
      <w:r>
        <w:rPr>
          <w:i/>
          <w:iCs/>
        </w:rPr>
        <w:t>The Interpretation of Ecological Data: A Primer on Classification and Ordination</w:t>
      </w:r>
      <w:r>
        <w:t>. Wiley.</w:t>
      </w:r>
    </w:p>
    <w:p w14:paraId="38F5DB90" w14:textId="77777777" w:rsidR="008A4883" w:rsidRDefault="00000000">
      <w:bookmarkStart w:id="62" w:name="ref-poulin_comparative_2011"/>
      <w:bookmarkEnd w:id="61"/>
      <w:r>
        <w:t xml:space="preserve">Poulin, R., B. R. Krasnov, D. Mouillot, and D. W. Thieltges. 2011. “The Comparative Ecology and Biogeography of Parasites.” </w:t>
      </w:r>
      <w:hyperlink r:id="rId52">
        <w:r>
          <w:t>https://www.narcis.nl/publication/RecordID/oai:imis.nioz.nl:231270</w:t>
        </w:r>
      </w:hyperlink>
      <w:r>
        <w:t>.</w:t>
      </w:r>
    </w:p>
    <w:p w14:paraId="4AF4F7AE" w14:textId="77777777" w:rsidR="008A4883" w:rsidRDefault="00000000">
      <w:bookmarkStart w:id="63" w:name="ref-rohr_towards_2019"/>
      <w:bookmarkEnd w:id="62"/>
      <w:r>
        <w:t xml:space="preserve">Rohr, Jason R., David J. Civitello, Fletcher W. Halliday, Peter J. Hudson, Kevin D. Lafferty, Chelsea L. Wood, and Erin A. Mordecai. 2019. “Towards Common Ground in the Biodiversity–Disease Debate.” </w:t>
      </w:r>
      <w:r>
        <w:rPr>
          <w:i/>
          <w:iCs/>
        </w:rPr>
        <w:t>Nature Ecology &amp; Evolution</w:t>
      </w:r>
      <w:r>
        <w:t xml:space="preserve"> 4 (1): 24–33. </w:t>
      </w:r>
      <w:hyperlink r:id="rId53">
        <w:r>
          <w:t>https://doi.org/10.1038/s41559-019-1060-6</w:t>
        </w:r>
      </w:hyperlink>
      <w:r>
        <w:t>.</w:t>
      </w:r>
    </w:p>
    <w:p w14:paraId="32CEBC48" w14:textId="77777777" w:rsidR="008A4883" w:rsidRDefault="00000000">
      <w:bookmarkStart w:id="64" w:name="ref-rohr_frontiers_2011"/>
      <w:bookmarkEnd w:id="63"/>
      <w:r>
        <w:t xml:space="preserve">Rohr, Jason R., Andrew P. Dobson, Pieter T. J. Johnson, A. Marm Kilpatrick, Sara H. Paull, Thomas R. Raffel,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65" w:name="ref-scheele_amphibian_2019"/>
      <w:bookmarkEnd w:id="64"/>
      <w:r>
        <w:t xml:space="preserve">Scheele, Ben C., Frank Pasmans, Lee F. Skerratt, Lee Berger, An Martel, Wouter Beukema, Aldemar A. Acevedo, et al. 2019. “Amphibian Fungal Panzootic Causes Catastrophic and Ongoing Loss of Biodiversity.” </w:t>
      </w:r>
      <w:r>
        <w:rPr>
          <w:i/>
          <w:iCs/>
        </w:rPr>
        <w:t>Science</w:t>
      </w:r>
      <w:r>
        <w:t xml:space="preserve"> 363 (6434): 1459–63. </w:t>
      </w:r>
      <w:hyperlink r:id="rId54">
        <w:r>
          <w:t>https://doi.org/10.1126/science.aav0379</w:t>
        </w:r>
      </w:hyperlink>
      <w:r>
        <w:t>.</w:t>
      </w:r>
    </w:p>
    <w:p w14:paraId="3D1EC68F" w14:textId="77777777" w:rsidR="008A4883" w:rsidRDefault="00000000">
      <w:bookmarkStart w:id="66" w:name="ref-scott-baumann_review_2015"/>
      <w:bookmarkEnd w:id="65"/>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5">
        <w:r>
          <w:t>https://doi.org/10.1017/S0031182015000189</w:t>
        </w:r>
      </w:hyperlink>
      <w:r>
        <w:t>.</w:t>
      </w:r>
    </w:p>
    <w:p w14:paraId="60B44299" w14:textId="77777777" w:rsidR="008A4883" w:rsidRDefault="00000000">
      <w:bookmarkStart w:id="67" w:name="ref-tien_multiple_2010"/>
      <w:bookmarkEnd w:id="66"/>
      <w:r>
        <w:t xml:space="preserve">Tien, Joseph, and David Earn. 2010. “Multiple Transmission Pathways and Disease Dynamics in a Waterborne Pathogen Model.” </w:t>
      </w:r>
      <w:r>
        <w:rPr>
          <w:i/>
          <w:iCs/>
        </w:rPr>
        <w:t>Bulletin of Mathematical Biology</w:t>
      </w:r>
      <w:r>
        <w:t xml:space="preserve"> 72 (6): 1506–33. </w:t>
      </w:r>
      <w:hyperlink r:id="rId56">
        <w:r>
          <w:t>https://doi.org/10.1007/s11538-010-9507-6</w:t>
        </w:r>
      </w:hyperlink>
      <w:r>
        <w:t>.</w:t>
      </w:r>
    </w:p>
    <w:p w14:paraId="7E6BE1F0" w14:textId="77777777" w:rsidR="008A4883" w:rsidRDefault="00000000">
      <w:bookmarkStart w:id="68" w:name="ref-vinson_potential_2016"/>
      <w:bookmarkEnd w:id="67"/>
      <w:r>
        <w:lastRenderedPageBreak/>
        <w:t xml:space="preserve">Vinson, John E., John M. Drake, Pejman Rohani, and Andrew W. Park. 2016. “The Potential for Sexual Transmission to Compromise Control of Ebola Virus Outbreaks.” </w:t>
      </w:r>
      <w:r>
        <w:rPr>
          <w:i/>
          <w:iCs/>
        </w:rPr>
        <w:t>Biology Letters</w:t>
      </w:r>
      <w:r>
        <w:t xml:space="preserve"> 12 (6): 20151079. </w:t>
      </w:r>
      <w:hyperlink r:id="rId57">
        <w:r>
          <w:t>https://doi.org/10.1098/rsbl.2015.1079</w:t>
        </w:r>
      </w:hyperlink>
      <w:r>
        <w:t>.</w:t>
      </w:r>
    </w:p>
    <w:p w14:paraId="0BC7A5C8" w14:textId="77777777" w:rsidR="008A4883" w:rsidRDefault="00000000">
      <w:bookmarkStart w:id="69" w:name="ref-weinstein_role_2017"/>
      <w:bookmarkEnd w:id="68"/>
      <w:r>
        <w:t xml:space="preserve">Weinstein, Ben G., Catherine H. Graham, and Juan Luis Parra. 2017. “The Role of Environment, Dispersal and Competition in Explaining Reduced Co-Occurrence Among Related Species.” </w:t>
      </w:r>
      <w:r>
        <w:rPr>
          <w:i/>
          <w:iCs/>
        </w:rPr>
        <w:t>PloS One</w:t>
      </w:r>
      <w:r>
        <w:t xml:space="preserve"> 12 (11): e0185493. </w:t>
      </w:r>
      <w:hyperlink r:id="rId58">
        <w:r>
          <w:t>https://doi.org/10.1371/journal.pone.0185493</w:t>
        </w:r>
      </w:hyperlink>
      <w:r>
        <w:t>.</w:t>
      </w:r>
    </w:p>
    <w:p w14:paraId="052FAB39" w14:textId="77777777" w:rsidR="008A4883" w:rsidRDefault="00000000">
      <w:bookmarkStart w:id="70" w:name="ref-wilkinson_habitat_2018"/>
      <w:bookmarkEnd w:id="69"/>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59">
        <w:r>
          <w:t>https://doi.org/10.1098/rsif.2018.0403</w:t>
        </w:r>
      </w:hyperlink>
      <w:r>
        <w:t>.</w:t>
      </w:r>
    </w:p>
    <w:p w14:paraId="10C85AB7" w14:textId="77777777" w:rsidR="008A4883" w:rsidRDefault="00000000">
      <w:bookmarkStart w:id="71" w:name="ref-young_introduced_2017"/>
      <w:bookmarkEnd w:id="70"/>
      <w:r>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11"/>
      <w:bookmarkEnd w:id="13"/>
      <w:bookmarkEnd w:id="71"/>
    </w:p>
    <w:sectPr w:rsidR="008A4883" w:rsidSect="0073560E">
      <w:footerReference w:type="even" r:id="rId60"/>
      <w:footerReference w:type="default" r:id="rId61"/>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7128" w14:textId="77777777" w:rsidR="00D12274" w:rsidRDefault="00D12274">
      <w:pPr>
        <w:spacing w:line="240" w:lineRule="auto"/>
      </w:pPr>
      <w:r>
        <w:separator/>
      </w:r>
    </w:p>
  </w:endnote>
  <w:endnote w:type="continuationSeparator" w:id="0">
    <w:p w14:paraId="0A855F73" w14:textId="77777777" w:rsidR="00D12274" w:rsidRDefault="00D12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E83D" w14:textId="77777777" w:rsidR="00D12274" w:rsidRDefault="00D12274">
      <w:r>
        <w:separator/>
      </w:r>
    </w:p>
  </w:footnote>
  <w:footnote w:type="continuationSeparator" w:id="0">
    <w:p w14:paraId="301ADC3D" w14:textId="77777777" w:rsidR="00D12274" w:rsidRDefault="00D1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467568"/>
    <w:rsid w:val="008A4883"/>
    <w:rsid w:val="00D122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0346" TargetMode="External"/><Relationship Id="rId18" Type="http://schemas.openxmlformats.org/officeDocument/2006/relationships/hyperlink" Target="https://doi.org/10.1098/rstb.2016.0088" TargetMode="External"/><Relationship Id="rId26" Type="http://schemas.openxmlformats.org/officeDocument/2006/relationships/hyperlink" Target="https://doi.org/10.1046/j.1365-2656.2002.00656.x" TargetMode="External"/><Relationship Id="rId39" Type="http://schemas.openxmlformats.org/officeDocument/2006/relationships/hyperlink" Target="https://doi.org/10.1111/j.1461-0248.2004.00608.x" TargetMode="External"/><Relationship Id="rId21" Type="http://schemas.openxmlformats.org/officeDocument/2006/relationships/hyperlink" Target="https://doi.org/10.1098/rsif.2009.0386" TargetMode="External"/><Relationship Id="rId34" Type="http://schemas.openxmlformats.org/officeDocument/2006/relationships/hyperlink" Target="https://doi.org/10.1126/science.1259504" TargetMode="External"/><Relationship Id="rId42" Type="http://schemas.openxmlformats.org/officeDocument/2006/relationships/hyperlink" Target="https://doi.org/10.1073/pnas.0233733100" TargetMode="External"/><Relationship Id="rId47" Type="http://schemas.openxmlformats.org/officeDocument/2006/relationships/hyperlink" Target="https://doi.org/10.3354/dao02443" TargetMode="External"/><Relationship Id="rId50" Type="http://schemas.openxmlformats.org/officeDocument/2006/relationships/hyperlink" Target="https://doi.org/10.1098/rspb.2017.2613" TargetMode="External"/><Relationship Id="rId55" Type="http://schemas.openxmlformats.org/officeDocument/2006/relationships/hyperlink" Target="https://doi.org/10.1017/S0031182015000189" TargetMode="External"/><Relationship Id="rId63" Type="http://schemas.openxmlformats.org/officeDocument/2006/relationships/theme" Target="theme/theme1.xml"/><Relationship Id="rId7" Type="http://schemas.openxmlformats.org/officeDocument/2006/relationships/hyperlink" Target="https://doi.org/10.1371/journal.pntd.0004676" TargetMode="External"/><Relationship Id="rId2" Type="http://schemas.openxmlformats.org/officeDocument/2006/relationships/styles" Target="styles.xml"/><Relationship Id="rId16" Type="http://schemas.openxmlformats.org/officeDocument/2006/relationships/hyperlink" Target="https://doi.org/10.1002/ecy.1644" TargetMode="External"/><Relationship Id="rId29" Type="http://schemas.openxmlformats.org/officeDocument/2006/relationships/hyperlink" Target="https://doi.org/10.1525/bio.2010.60.5.6" TargetMode="External"/><Relationship Id="rId11" Type="http://schemas.openxmlformats.org/officeDocument/2006/relationships/hyperlink" Target="https://doi.org/10.1655/0018-0831-76.2.153" TargetMode="External"/><Relationship Id="rId24" Type="http://schemas.openxmlformats.org/officeDocument/2006/relationships/hyperlink" Target="https://doi.org/10.1016/j.pt.2018.12.002" TargetMode="External"/><Relationship Id="rId32" Type="http://schemas.openxmlformats.org/officeDocument/2006/relationships/hyperlink" Target="https://doi.org/10.1111/2041-210X.13361" TargetMode="External"/><Relationship Id="rId37" Type="http://schemas.openxmlformats.org/officeDocument/2006/relationships/hyperlink" Target="https://doi.org/10.1111/ele.12180" TargetMode="External"/><Relationship Id="rId40" Type="http://schemas.openxmlformats.org/officeDocument/2006/relationships/hyperlink" Target="https://doi.org/10.1034/j.1600-0706.2002.970210.x" TargetMode="External"/><Relationship Id="rId45" Type="http://schemas.openxmlformats.org/officeDocument/2006/relationships/hyperlink" Target="https://doi.org/10.1093/icb/icz079" TargetMode="External"/><Relationship Id="rId53" Type="http://schemas.openxmlformats.org/officeDocument/2006/relationships/hyperlink" Target="https://doi.org/10.1038/s41559-019-1060-6" TargetMode="External"/><Relationship Id="rId58" Type="http://schemas.openxmlformats.org/officeDocument/2006/relationships/hyperlink" Target="https://doi.org/10.1371/journal.pone.0185493" TargetMode="Externa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doi.org/10.1111/j.1600-0587.2013.00695.x" TargetMode="External"/><Relationship Id="rId14" Type="http://schemas.openxmlformats.org/officeDocument/2006/relationships/hyperlink" Target="https://doi.org/10.1371/journal.pone.0092476" TargetMode="External"/><Relationship Id="rId22" Type="http://schemas.openxmlformats.org/officeDocument/2006/relationships/hyperlink" Target="https://doi.org/10.1002/ecy.2686" TargetMode="External"/><Relationship Id="rId27" Type="http://schemas.openxmlformats.org/officeDocument/2006/relationships/hyperlink" Target="https://doi.org/10.1016/j.pt.2015.05.002" TargetMode="External"/><Relationship Id="rId30" Type="http://schemas.openxmlformats.org/officeDocument/2006/relationships/hyperlink" Target="https://doi.org/10.1111/ele.13176" TargetMode="External"/><Relationship Id="rId35" Type="http://schemas.openxmlformats.org/officeDocument/2006/relationships/hyperlink" Target="https://doi.org/10.1098/rspb.2019.0260" TargetMode="External"/><Relationship Id="rId43" Type="http://schemas.openxmlformats.org/officeDocument/2006/relationships/hyperlink" Target="https://doi.org/10.1073/pnas.1807106115" TargetMode="External"/><Relationship Id="rId48" Type="http://schemas.openxmlformats.org/officeDocument/2006/relationships/hyperlink" Target="https://doi.org/10.1371/journal.pone.0127037" TargetMode="External"/><Relationship Id="rId56" Type="http://schemas.openxmlformats.org/officeDocument/2006/relationships/hyperlink" Target="https://doi.org/10.1007/s11538-010-9507-6" TargetMode="External"/><Relationship Id="rId8" Type="http://schemas.openxmlformats.org/officeDocument/2006/relationships/hyperlink" Target="https://doi.org/10.2105/ajph.86.5.726" TargetMode="External"/><Relationship Id="rId51" Type="http://schemas.openxmlformats.org/officeDocument/2006/relationships/hyperlink" Target="https://doi.org/10.1289/ehp.6877" TargetMode="External"/><Relationship Id="rId3" Type="http://schemas.openxmlformats.org/officeDocument/2006/relationships/settings" Target="settings.xml"/><Relationship Id="rId12" Type="http://schemas.openxmlformats.org/officeDocument/2006/relationships/hyperlink" Target="https://doi.org/10.1016/j.jtbi.2010.03.005" TargetMode="External"/><Relationship Id="rId17" Type="http://schemas.openxmlformats.org/officeDocument/2006/relationships/hyperlink" Target="https://doi.org/10.1007/978-3-319-13755-1_4" TargetMode="External"/><Relationship Id="rId25" Type="http://schemas.openxmlformats.org/officeDocument/2006/relationships/hyperlink" Target="https://doi.org/10.1098/rstb.2016.0173" TargetMode="External"/><Relationship Id="rId33" Type="http://schemas.openxmlformats.org/officeDocument/2006/relationships/hyperlink" Target="https://doi.org/10.1007/s10393-011-0717-7" TargetMode="External"/><Relationship Id="rId38" Type="http://schemas.openxmlformats.org/officeDocument/2006/relationships/hyperlink" Target="https://doi.org/10.1111/j.1461-0248.2006.00885.x" TargetMode="External"/><Relationship Id="rId46" Type="http://schemas.openxmlformats.org/officeDocument/2006/relationships/hyperlink" Target="https://doi.org/10.1111/1365-2656.12735" TargetMode="External"/><Relationship Id="rId59" Type="http://schemas.openxmlformats.org/officeDocument/2006/relationships/hyperlink" Target="https://doi.org/10.1098/rsif.2018.0403" TargetMode="External"/><Relationship Id="rId20" Type="http://schemas.openxmlformats.org/officeDocument/2006/relationships/hyperlink" Target="https://www.narcis.nl/publication/RecordID/oai:cwi.nl:2026" TargetMode="External"/><Relationship Id="rId41" Type="http://schemas.openxmlformats.org/officeDocument/2006/relationships/hyperlink" Target="https://doi.org/10.1098/rsbl.2011.0951" TargetMode="External"/><Relationship Id="rId54" Type="http://schemas.openxmlformats.org/officeDocument/2006/relationships/hyperlink" Target="https://doi.org/10.1126/science.aav037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arch.proquest.com/docview/21258486" TargetMode="External"/><Relationship Id="rId23" Type="http://schemas.openxmlformats.org/officeDocument/2006/relationships/hyperlink" Target="https://doi.org/10.1086/424681" TargetMode="External"/><Relationship Id="rId28" Type="http://schemas.openxmlformats.org/officeDocument/2006/relationships/hyperlink" Target="https://doi.org/10.3354/dao02138" TargetMode="External"/><Relationship Id="rId36" Type="http://schemas.openxmlformats.org/officeDocument/2006/relationships/hyperlink" Target="https://doi.org/10.1038/nature11883" TargetMode="External"/><Relationship Id="rId49" Type="http://schemas.openxmlformats.org/officeDocument/2006/relationships/hyperlink" Target="https://doi.org/10.1890/02-3125" TargetMode="External"/><Relationship Id="rId57" Type="http://schemas.openxmlformats.org/officeDocument/2006/relationships/hyperlink" Target="https://doi.org/10.1098/rsbl.2015.1079" TargetMode="External"/><Relationship Id="rId10" Type="http://schemas.openxmlformats.org/officeDocument/2006/relationships/hyperlink" Target="https://doi.org/10.1016/j.tree.2020.08.014" TargetMode="External"/><Relationship Id="rId31" Type="http://schemas.openxmlformats.org/officeDocument/2006/relationships/hyperlink" Target="https://doi.org/10.1046/j.1461-0248.2003.00501.x" TargetMode="External"/><Relationship Id="rId44" Type="http://schemas.openxmlformats.org/officeDocument/2006/relationships/hyperlink" Target="https://doi.org/10.1071/AM18013" TargetMode="External"/><Relationship Id="rId52" Type="http://schemas.openxmlformats.org/officeDocument/2006/relationships/hyperlink" Target="https://www.narcis.nl/publication/RecordID/oai:imis.nioz.nl:23127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26/science.1239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8467</Words>
  <Characters>48266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2</cp:revision>
  <dcterms:created xsi:type="dcterms:W3CDTF">2022-10-01T17:57:00Z</dcterms:created>
  <dcterms:modified xsi:type="dcterms:W3CDTF">2022-10-01T17:57:00Z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