
<file path=[Content_Types].xml><?xml version="1.0" encoding="utf-8"?>
<Types xmlns="http://schemas.openxmlformats.org/package/2006/content-types">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366E" w14:textId="2D078B4D" w:rsidR="00707A50" w:rsidRDefault="00F36C95" w:rsidP="00941F90">
      <w:pPr>
        <w:pStyle w:val="NoSpacing"/>
        <w:spacing w:line="480" w:lineRule="auto"/>
        <w:rPr>
          <w:rFonts w:ascii="Arial" w:hAnsi="Arial" w:cs="Arial"/>
          <w:b/>
        </w:rPr>
      </w:pPr>
      <w:r>
        <w:rPr>
          <w:rFonts w:ascii="Arial" w:hAnsi="Arial" w:cs="Arial"/>
          <w:b/>
        </w:rPr>
        <w:t xml:space="preserve"> </w:t>
      </w:r>
      <w:r w:rsidR="00707A50">
        <w:rPr>
          <w:rFonts w:ascii="Arial" w:hAnsi="Arial" w:cs="Arial"/>
          <w:b/>
        </w:rPr>
        <w:t>SUPPORTING INFORMATION</w:t>
      </w:r>
    </w:p>
    <w:p w14:paraId="7C8ADC32" w14:textId="77777777" w:rsidR="00707A50" w:rsidRDefault="00707A50" w:rsidP="00941F90">
      <w:pPr>
        <w:pStyle w:val="NoSpacing"/>
        <w:spacing w:line="480" w:lineRule="auto"/>
        <w:rPr>
          <w:rFonts w:ascii="Arial" w:hAnsi="Arial" w:cs="Arial"/>
          <w:b/>
        </w:rPr>
      </w:pPr>
    </w:p>
    <w:p w14:paraId="762E59E1" w14:textId="77777777" w:rsidR="00707A50" w:rsidRDefault="00707A50" w:rsidP="00941F90">
      <w:pPr>
        <w:pStyle w:val="NoSpacing"/>
        <w:spacing w:line="480" w:lineRule="auto"/>
        <w:rPr>
          <w:rFonts w:ascii="Arial" w:hAnsi="Arial" w:cs="Arial"/>
          <w:b/>
        </w:rPr>
      </w:pPr>
      <w:r>
        <w:rPr>
          <w:rFonts w:ascii="Arial" w:hAnsi="Arial" w:cs="Arial"/>
          <w:b/>
        </w:rPr>
        <w:t>Appendix S1</w:t>
      </w:r>
    </w:p>
    <w:p w14:paraId="6B3B0658" w14:textId="77777777" w:rsidR="00707A50" w:rsidRPr="00C15625" w:rsidRDefault="00707A50" w:rsidP="00941F90">
      <w:pPr>
        <w:pStyle w:val="NoSpacing"/>
        <w:spacing w:line="480" w:lineRule="auto"/>
        <w:rPr>
          <w:rFonts w:ascii="Arial" w:hAnsi="Arial" w:cs="Arial"/>
          <w:b/>
        </w:rPr>
      </w:pPr>
      <w:r w:rsidRPr="00C15625">
        <w:rPr>
          <w:rFonts w:ascii="Arial" w:hAnsi="Arial" w:cs="Arial"/>
        </w:rPr>
        <w:t>In this Supplementary Appendix, we provide more details for estimates of the traits (parameters) in the mathematical model for ‘friendly competition’ (described in Box 1).  More specifically, we outline the methodological and statistical details for foraging rate (</w:t>
      </w:r>
      <w:r w:rsidRPr="00C15625">
        <w:rPr>
          <w:rFonts w:ascii="Arial" w:hAnsi="Arial" w:cs="Arial"/>
          <w:i/>
        </w:rPr>
        <w:t>f</w:t>
      </w:r>
      <w:r w:rsidRPr="00C15625">
        <w:rPr>
          <w:rFonts w:ascii="Arial" w:hAnsi="Arial" w:cs="Arial"/>
        </w:rPr>
        <w:t>), per-spore susceptibility (</w:t>
      </w:r>
      <w:r w:rsidRPr="00C15625">
        <w:rPr>
          <w:rFonts w:ascii="Arial" w:hAnsi="Arial" w:cs="Arial"/>
          <w:i/>
        </w:rPr>
        <w:t>u</w:t>
      </w:r>
      <w:r w:rsidRPr="00C15625">
        <w:rPr>
          <w:rFonts w:ascii="Arial" w:hAnsi="Arial" w:cs="Arial"/>
        </w:rPr>
        <w:t>), conversion efficiency (</w:t>
      </w:r>
      <w:r w:rsidRPr="00C15625">
        <w:rPr>
          <w:rFonts w:ascii="Arial" w:hAnsi="Arial" w:cs="Arial"/>
          <w:i/>
        </w:rPr>
        <w:t>e</w:t>
      </w:r>
      <w:r w:rsidRPr="00C15625">
        <w:rPr>
          <w:rFonts w:ascii="Arial" w:hAnsi="Arial" w:cs="Arial"/>
        </w:rPr>
        <w:t>), virulence (</w:t>
      </w:r>
      <w:r w:rsidRPr="00C15625">
        <w:rPr>
          <w:rFonts w:ascii="Arial" w:hAnsi="Arial" w:cs="Arial"/>
          <w:i/>
        </w:rPr>
        <w:t>v</w:t>
      </w:r>
      <w:r w:rsidRPr="00C15625">
        <w:rPr>
          <w:rFonts w:ascii="Arial" w:hAnsi="Arial" w:cs="Arial"/>
        </w:rPr>
        <w:t>), background death rate (</w:t>
      </w:r>
      <w:r w:rsidRPr="00C15625">
        <w:rPr>
          <w:rFonts w:ascii="Arial" w:hAnsi="Arial" w:cs="Arial"/>
          <w:i/>
        </w:rPr>
        <w:t>d</w:t>
      </w:r>
      <w:r w:rsidRPr="00C15625">
        <w:rPr>
          <w:rFonts w:ascii="Arial" w:hAnsi="Arial" w:cs="Arial"/>
        </w:rPr>
        <w:t xml:space="preserve">), and spore yield as a function of resources, </w:t>
      </w:r>
      <w:r w:rsidRPr="00C15625">
        <w:rPr>
          <w:rFonts w:ascii="Arial" w:hAnsi="Arial" w:cs="Arial"/>
          <w:i/>
        </w:rPr>
        <w:t>σ(R)</w:t>
      </w:r>
      <w:r w:rsidRPr="00C15625">
        <w:rPr>
          <w:rFonts w:ascii="Arial" w:hAnsi="Arial" w:cs="Arial"/>
        </w:rPr>
        <w:t>.  We also describe the estimation of the synthetic indices of competitive ability (</w:t>
      </w:r>
      <w:r w:rsidRPr="00C15625">
        <w:rPr>
          <w:rFonts w:ascii="Arial" w:hAnsi="Arial" w:cs="Arial"/>
          <w:i/>
        </w:rPr>
        <w:t>R*</w:t>
      </w:r>
      <w:r w:rsidRPr="00C15625">
        <w:rPr>
          <w:rFonts w:ascii="Arial" w:hAnsi="Arial" w:cs="Arial"/>
        </w:rPr>
        <w:t>) and disease spread (</w:t>
      </w:r>
      <w:r w:rsidRPr="00C15625">
        <w:rPr>
          <w:rFonts w:ascii="Arial" w:hAnsi="Arial" w:cs="Arial"/>
          <w:i/>
        </w:rPr>
        <w:t>R</w:t>
      </w:r>
      <w:r w:rsidRPr="00C15625">
        <w:rPr>
          <w:rFonts w:ascii="Arial" w:hAnsi="Arial" w:cs="Arial"/>
          <w:i/>
          <w:vertAlign w:val="subscript"/>
        </w:rPr>
        <w:t>0</w:t>
      </w:r>
      <w:r>
        <w:rPr>
          <w:rFonts w:ascii="Arial" w:hAnsi="Arial" w:cs="Arial"/>
        </w:rPr>
        <w:t xml:space="preserve">).  </w:t>
      </w:r>
      <w:r w:rsidRPr="00C15625">
        <w:rPr>
          <w:rFonts w:ascii="Arial" w:hAnsi="Arial" w:cs="Arial"/>
        </w:rPr>
        <w:t xml:space="preserve">Finally, we include two supplementary figures, displaying variation in virulence among genotypes (Supplementary Figure 1) and spore yield as a function of resources (Supplementary Figure 2).  </w:t>
      </w:r>
    </w:p>
    <w:p w14:paraId="526F56AD" w14:textId="77777777" w:rsidR="00707A50" w:rsidRPr="00C15625" w:rsidRDefault="00707A50" w:rsidP="00941F90">
      <w:pPr>
        <w:pStyle w:val="NoSpacing"/>
        <w:spacing w:line="480" w:lineRule="auto"/>
        <w:rPr>
          <w:rFonts w:ascii="Arial" w:hAnsi="Arial" w:cs="Arial"/>
          <w:b/>
        </w:rPr>
      </w:pPr>
    </w:p>
    <w:p w14:paraId="145D1CAB" w14:textId="77777777" w:rsidR="00707A50" w:rsidRPr="00C15625" w:rsidRDefault="00707A50" w:rsidP="00941F90">
      <w:pPr>
        <w:pStyle w:val="NoSpacing"/>
        <w:spacing w:line="480" w:lineRule="auto"/>
        <w:rPr>
          <w:rFonts w:ascii="Arial" w:hAnsi="Arial" w:cs="Arial"/>
          <w:b/>
        </w:rPr>
      </w:pPr>
      <w:r w:rsidRPr="00C15625">
        <w:rPr>
          <w:rFonts w:ascii="Arial" w:hAnsi="Arial" w:cs="Arial"/>
          <w:b/>
        </w:rPr>
        <w:t>Trait measurement assays</w:t>
      </w:r>
    </w:p>
    <w:p w14:paraId="53217C39" w14:textId="77777777" w:rsidR="00707A50" w:rsidRPr="00C15625" w:rsidRDefault="00707A50" w:rsidP="00941F90">
      <w:pPr>
        <w:pStyle w:val="NoSpacing"/>
        <w:spacing w:line="480" w:lineRule="auto"/>
        <w:ind w:firstLine="720"/>
        <w:rPr>
          <w:rFonts w:ascii="Arial" w:hAnsi="Arial" w:cs="Arial"/>
        </w:rPr>
      </w:pPr>
      <w:r w:rsidRPr="00C15625">
        <w:rPr>
          <w:rFonts w:ascii="Arial" w:hAnsi="Arial" w:cs="Arial"/>
        </w:rPr>
        <w:t>We estimated genotype-specific foraging rate (</w:t>
      </w:r>
      <w:r w:rsidRPr="00C15625">
        <w:rPr>
          <w:rFonts w:ascii="Arial" w:hAnsi="Arial" w:cs="Arial"/>
          <w:i/>
        </w:rPr>
        <w:t>f</w:t>
      </w:r>
      <w:r w:rsidRPr="00C15625">
        <w:rPr>
          <w:rFonts w:ascii="Arial" w:hAnsi="Arial" w:cs="Arial"/>
        </w:rPr>
        <w:t>), conversion efficiency (</w:t>
      </w:r>
      <w:r w:rsidRPr="00C15625">
        <w:rPr>
          <w:rFonts w:ascii="Arial" w:hAnsi="Arial" w:cs="Arial"/>
          <w:i/>
        </w:rPr>
        <w:t>e</w:t>
      </w:r>
      <w:r w:rsidRPr="00C15625">
        <w:rPr>
          <w:rFonts w:ascii="Arial" w:hAnsi="Arial" w:cs="Arial"/>
        </w:rPr>
        <w:t>), per-spore susceptibility (</w:t>
      </w:r>
      <w:r w:rsidRPr="00C15625">
        <w:rPr>
          <w:rFonts w:ascii="Arial" w:hAnsi="Arial" w:cs="Arial"/>
          <w:i/>
        </w:rPr>
        <w:t>u</w:t>
      </w:r>
      <w:r w:rsidRPr="00C15625">
        <w:rPr>
          <w:rFonts w:ascii="Arial" w:hAnsi="Arial" w:cs="Arial"/>
        </w:rPr>
        <w:t>), virulence (</w:t>
      </w:r>
      <w:r w:rsidRPr="00C15625">
        <w:rPr>
          <w:rFonts w:ascii="Arial" w:hAnsi="Arial" w:cs="Arial"/>
          <w:i/>
        </w:rPr>
        <w:t>v</w:t>
      </w:r>
      <w:r w:rsidRPr="00C15625">
        <w:rPr>
          <w:rFonts w:ascii="Arial" w:hAnsi="Arial" w:cs="Arial"/>
        </w:rPr>
        <w:t>), and spore yield (</w:t>
      </w:r>
      <w:r w:rsidRPr="00C15625">
        <w:rPr>
          <w:rFonts w:ascii="Arial" w:hAnsi="Arial" w:cs="Arial"/>
          <w:i/>
        </w:rPr>
        <w:t>σ</w:t>
      </w:r>
      <w:r w:rsidRPr="00C15625">
        <w:rPr>
          <w:rFonts w:ascii="Arial" w:hAnsi="Arial" w:cs="Arial"/>
        </w:rPr>
        <w:t xml:space="preserve">) with data collected from foraging assays, infection assays, and life table experiments.  Note that below, we drop the genotype subscript </w:t>
      </w:r>
      <w:proofErr w:type="spellStart"/>
      <w:r w:rsidRPr="00C15625">
        <w:rPr>
          <w:rFonts w:ascii="Arial" w:hAnsi="Arial" w:cs="Arial"/>
          <w:i/>
        </w:rPr>
        <w:t>i</w:t>
      </w:r>
      <w:proofErr w:type="spellEnd"/>
      <w:r w:rsidRPr="00C15625">
        <w:rPr>
          <w:rFonts w:ascii="Arial" w:hAnsi="Arial" w:cs="Arial"/>
        </w:rPr>
        <w:t xml:space="preserve"> used in Box 1, for clarity of notation.  All focal host and diluter genotypes were grown in cultures at 20°C and fed high quality laboratory-cultured algae daily (1.0 mg L</w:t>
      </w:r>
      <w:r w:rsidRPr="00C15625">
        <w:rPr>
          <w:rFonts w:ascii="Arial" w:hAnsi="Arial" w:cs="Arial"/>
          <w:vertAlign w:val="superscript"/>
        </w:rPr>
        <w:t>-1</w:t>
      </w:r>
      <w:r w:rsidRPr="00C15625">
        <w:rPr>
          <w:rFonts w:ascii="Arial" w:hAnsi="Arial" w:cs="Arial"/>
        </w:rPr>
        <w:t xml:space="preserve"> dry weight of </w:t>
      </w:r>
      <w:proofErr w:type="spellStart"/>
      <w:r w:rsidRPr="00C15625">
        <w:rPr>
          <w:rFonts w:ascii="Arial" w:hAnsi="Arial" w:cs="Arial"/>
          <w:i/>
        </w:rPr>
        <w:t>Ankistrodesmus</w:t>
      </w:r>
      <w:proofErr w:type="spellEnd"/>
      <w:r w:rsidRPr="00C15625">
        <w:rPr>
          <w:rFonts w:ascii="Arial" w:hAnsi="Arial" w:cs="Arial"/>
          <w:i/>
        </w:rPr>
        <w:t xml:space="preserve"> </w:t>
      </w:r>
      <w:proofErr w:type="spellStart"/>
      <w:r w:rsidRPr="00C15625">
        <w:rPr>
          <w:rFonts w:ascii="Arial" w:hAnsi="Arial" w:cs="Arial"/>
          <w:i/>
        </w:rPr>
        <w:t>falcatus</w:t>
      </w:r>
      <w:proofErr w:type="spellEnd"/>
      <w:r w:rsidRPr="00C15625">
        <w:rPr>
          <w:rFonts w:ascii="Arial" w:hAnsi="Arial" w:cs="Arial"/>
        </w:rPr>
        <w:t xml:space="preserve">, reared in WC media).  Cultures were maintained in filtered (Pall A/E: 1.0 µm) lake water under ideal conditions for three generations </w:t>
      </w:r>
      <w:proofErr w:type="gramStart"/>
      <w:r w:rsidRPr="00C15625">
        <w:rPr>
          <w:rFonts w:ascii="Arial" w:hAnsi="Arial" w:cs="Arial"/>
        </w:rPr>
        <w:t>in order to</w:t>
      </w:r>
      <w:proofErr w:type="gramEnd"/>
      <w:r w:rsidRPr="00C15625">
        <w:rPr>
          <w:rFonts w:ascii="Arial" w:hAnsi="Arial" w:cs="Arial"/>
        </w:rPr>
        <w:t xml:space="preserve"> minimize any maternal affects.  We then collected neonates and reared them for five days under ideal conditions.  All six-day old animals were then placed in the life table experiment; a subset of these were also used for the infection assay, and a further subset of these were also used in the foraging assay. </w:t>
      </w:r>
    </w:p>
    <w:p w14:paraId="46A78813" w14:textId="77777777" w:rsidR="00707A50" w:rsidRPr="00C15625" w:rsidRDefault="00707A50" w:rsidP="00941F90">
      <w:pPr>
        <w:pStyle w:val="NoSpacing"/>
        <w:spacing w:line="480" w:lineRule="auto"/>
        <w:rPr>
          <w:rFonts w:ascii="Arial" w:hAnsi="Arial" w:cs="Arial"/>
          <w:b/>
        </w:rPr>
      </w:pPr>
    </w:p>
    <w:p w14:paraId="241C13ED" w14:textId="77777777" w:rsidR="00707A50" w:rsidRPr="00C15625" w:rsidRDefault="00707A50" w:rsidP="00941F90">
      <w:pPr>
        <w:pStyle w:val="NoSpacing"/>
        <w:spacing w:line="480" w:lineRule="auto"/>
        <w:rPr>
          <w:rFonts w:ascii="Arial" w:hAnsi="Arial" w:cs="Arial"/>
          <w:b/>
        </w:rPr>
      </w:pPr>
    </w:p>
    <w:p w14:paraId="64352876" w14:textId="77777777" w:rsidR="00707A50" w:rsidRPr="00C15625" w:rsidRDefault="00707A50" w:rsidP="00941F90">
      <w:pPr>
        <w:pStyle w:val="NoSpacing"/>
        <w:spacing w:line="480" w:lineRule="auto"/>
        <w:rPr>
          <w:rFonts w:ascii="Arial" w:hAnsi="Arial" w:cs="Arial"/>
          <w:b/>
        </w:rPr>
      </w:pPr>
      <w:r w:rsidRPr="00C15625">
        <w:rPr>
          <w:rFonts w:ascii="Arial" w:hAnsi="Arial" w:cs="Arial"/>
          <w:b/>
        </w:rPr>
        <w:lastRenderedPageBreak/>
        <w:t>Estimation of foraging (exposure) rate (</w:t>
      </w:r>
      <w:r w:rsidRPr="00C15625">
        <w:rPr>
          <w:rFonts w:ascii="Arial" w:hAnsi="Arial" w:cs="Arial"/>
          <w:b/>
          <w:i/>
        </w:rPr>
        <w:t>f</w:t>
      </w:r>
      <w:r w:rsidRPr="00C15625">
        <w:rPr>
          <w:rFonts w:ascii="Arial" w:hAnsi="Arial" w:cs="Arial"/>
          <w:b/>
        </w:rPr>
        <w:t>)</w:t>
      </w:r>
    </w:p>
    <w:p w14:paraId="665E2E00" w14:textId="77777777" w:rsidR="00707A50" w:rsidRPr="00C15625" w:rsidRDefault="00707A50" w:rsidP="00941F90">
      <w:pPr>
        <w:pStyle w:val="NoSpacing"/>
        <w:spacing w:line="480" w:lineRule="auto"/>
        <w:rPr>
          <w:rFonts w:ascii="Arial" w:hAnsi="Arial" w:cs="Arial"/>
        </w:rPr>
      </w:pPr>
      <w:r w:rsidRPr="00C15625">
        <w:rPr>
          <w:rFonts w:ascii="Arial" w:hAnsi="Arial" w:cs="Arial"/>
        </w:rPr>
        <w:tab/>
      </w:r>
      <w:r w:rsidRPr="00C15625">
        <w:rPr>
          <w:rFonts w:ascii="Arial" w:hAnsi="Arial" w:cs="Arial"/>
          <w:b/>
          <w:i/>
        </w:rPr>
        <w:t>Foraging assay:</w:t>
      </w:r>
      <w:r w:rsidRPr="00C15625">
        <w:rPr>
          <w:rFonts w:ascii="Arial" w:hAnsi="Arial" w:cs="Arial"/>
        </w:rPr>
        <w:t xml:space="preserve"> We calculated foraging rate by comparing fluorescence of </w:t>
      </w:r>
      <w:proofErr w:type="spellStart"/>
      <w:r w:rsidRPr="00C15625">
        <w:rPr>
          <w:rFonts w:ascii="Arial" w:hAnsi="Arial" w:cs="Arial"/>
        </w:rPr>
        <w:t>ungrazed</w:t>
      </w:r>
      <w:proofErr w:type="spellEnd"/>
      <w:r w:rsidRPr="00C15625">
        <w:rPr>
          <w:rFonts w:ascii="Arial" w:hAnsi="Arial" w:cs="Arial"/>
        </w:rPr>
        <w:t xml:space="preserve"> and grazed algae </w:t>
      </w:r>
      <w:r w:rsidRPr="00C15625">
        <w:rPr>
          <w:rFonts w:ascii="Arial" w:hAnsi="Arial" w:cs="Arial"/>
          <w:noProof/>
        </w:rPr>
        <w:t>(Sarnelle &amp; Wilson 2008)</w:t>
      </w:r>
      <w:r w:rsidRPr="00C15625">
        <w:rPr>
          <w:rFonts w:ascii="Arial" w:hAnsi="Arial" w:cs="Arial"/>
        </w:rPr>
        <w:t>.  We transferred 20 six-day old animals of each genotype individually into culture tubes containing 20 mL of filtered lake water and 1.0 mg L</w:t>
      </w:r>
      <w:r w:rsidRPr="00C15625">
        <w:rPr>
          <w:rFonts w:ascii="Arial" w:hAnsi="Arial" w:cs="Arial"/>
          <w:vertAlign w:val="superscript"/>
        </w:rPr>
        <w:t xml:space="preserve">-1 </w:t>
      </w:r>
      <w:r w:rsidRPr="00C15625">
        <w:rPr>
          <w:rFonts w:ascii="Arial" w:hAnsi="Arial" w:cs="Arial"/>
        </w:rPr>
        <w:t xml:space="preserve">dry weight </w:t>
      </w:r>
      <w:r w:rsidRPr="00C15625">
        <w:rPr>
          <w:rFonts w:ascii="Arial" w:hAnsi="Arial" w:cs="Arial"/>
          <w:i/>
        </w:rPr>
        <w:t xml:space="preserve">A. </w:t>
      </w:r>
      <w:proofErr w:type="spellStart"/>
      <w:r w:rsidRPr="00C15625">
        <w:rPr>
          <w:rFonts w:ascii="Arial" w:hAnsi="Arial" w:cs="Arial"/>
          <w:i/>
        </w:rPr>
        <w:t>falcatus</w:t>
      </w:r>
      <w:proofErr w:type="spellEnd"/>
      <w:r w:rsidRPr="00C15625">
        <w:rPr>
          <w:rFonts w:ascii="Arial" w:hAnsi="Arial" w:cs="Arial"/>
        </w:rPr>
        <w:t xml:space="preserve">.  We also included eight tubes with algae but without hosts (to serve as </w:t>
      </w:r>
      <w:proofErr w:type="spellStart"/>
      <w:r w:rsidRPr="00C15625">
        <w:rPr>
          <w:rFonts w:ascii="Arial" w:hAnsi="Arial" w:cs="Arial"/>
        </w:rPr>
        <w:t>ungrazed</w:t>
      </w:r>
      <w:proofErr w:type="spellEnd"/>
      <w:r w:rsidRPr="00C15625">
        <w:rPr>
          <w:rFonts w:ascii="Arial" w:hAnsi="Arial" w:cs="Arial"/>
        </w:rPr>
        <w:t xml:space="preserve"> controls).  All tubes were placed in a tube rotator, which continuously resuspended algae.  Hosts were allowed to graze at 20° C for 22 hours in complete darkness.  After 22 hours, hosts were transferred into fresh 50 mL tubes as part of the life table experiment.  We used in vivo fluorimetry to calculate relative fluorescence of media from all culture tubes (using a Turner Trilogy Laboratory Fluorometer).    </w:t>
      </w:r>
    </w:p>
    <w:p w14:paraId="4617AEDC" w14:textId="77777777"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Parameter estimation:</w:t>
      </w:r>
      <w:r w:rsidRPr="00C15625">
        <w:rPr>
          <w:rFonts w:ascii="Arial" w:hAnsi="Arial" w:cs="Arial"/>
          <w:b/>
        </w:rPr>
        <w:t xml:space="preserve"> </w:t>
      </w:r>
      <w:r w:rsidRPr="00C15625">
        <w:rPr>
          <w:rFonts w:ascii="Arial" w:hAnsi="Arial" w:cs="Arial"/>
        </w:rPr>
        <w:t>Foraging rate (</w:t>
      </w:r>
      <w:r w:rsidRPr="00C15625">
        <w:rPr>
          <w:rFonts w:ascii="Arial" w:hAnsi="Arial" w:cs="Arial"/>
          <w:i/>
        </w:rPr>
        <w:t>f</w:t>
      </w:r>
      <w:r w:rsidRPr="00C15625">
        <w:rPr>
          <w:rFonts w:ascii="Arial" w:hAnsi="Arial" w:cs="Arial"/>
        </w:rPr>
        <w:t>) is derived by fitting a simplified version of the “resource dynamics” equation (Box 1).  Because we conducted our foraging rate assay in darkness, we assume no growth of algae occurred.  Additionally, with only susceptible hosts (</w:t>
      </w:r>
      <w:r w:rsidRPr="00C15625">
        <w:rPr>
          <w:rFonts w:ascii="Arial" w:hAnsi="Arial" w:cs="Arial"/>
          <w:i/>
        </w:rPr>
        <w:t>S</w:t>
      </w:r>
      <w:r w:rsidRPr="00C15625">
        <w:rPr>
          <w:rFonts w:ascii="Arial" w:hAnsi="Arial" w:cs="Arial"/>
        </w:rPr>
        <w:t>) grazing, our differential equation simplifies to:</w:t>
      </w:r>
    </w:p>
    <w:p w14:paraId="159C073D" w14:textId="77777777"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m:t>
        </m:r>
        <m:f>
          <m:fPr>
            <m:ctrlPr>
              <w:rPr>
                <w:rFonts w:ascii="Cambria Math" w:hAnsi="Cambria Math" w:cs="Arial"/>
                <w:i/>
              </w:rPr>
            </m:ctrlPr>
          </m:fPr>
          <m:num>
            <m:r>
              <w:rPr>
                <w:rFonts w:ascii="Cambria Math" w:hAnsi="Cambria Math" w:cs="Arial"/>
              </w:rPr>
              <m:t>dR</m:t>
            </m:r>
          </m:num>
          <m:den>
            <m:r>
              <w:rPr>
                <w:rFonts w:ascii="Cambria Math" w:hAnsi="Cambria Math" w:cs="Arial"/>
              </w:rPr>
              <m:t>dt</m:t>
            </m:r>
          </m:den>
        </m:f>
        <m:r>
          <w:rPr>
            <w:rFonts w:ascii="Cambria Math" w:hAnsi="Cambria Math" w:cs="Arial"/>
          </w:rPr>
          <m:t>=-fRS</m:t>
        </m:r>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S1</w:t>
      </w:r>
    </w:p>
    <w:p w14:paraId="1DCE766B" w14:textId="77777777" w:rsidR="00707A50" w:rsidRPr="00C15625" w:rsidRDefault="00707A50" w:rsidP="00941F90">
      <w:pPr>
        <w:pStyle w:val="NoSpacing"/>
        <w:spacing w:line="480" w:lineRule="auto"/>
        <w:rPr>
          <w:rFonts w:ascii="Arial" w:hAnsi="Arial" w:cs="Arial"/>
        </w:rPr>
      </w:pPr>
      <w:r w:rsidRPr="00C15625">
        <w:rPr>
          <w:rFonts w:ascii="Arial" w:hAnsi="Arial" w:cs="Arial"/>
        </w:rPr>
        <w:t>Solving this exponential equation for resource density (</w:t>
      </w:r>
      <w:r w:rsidRPr="00C15625">
        <w:rPr>
          <w:rFonts w:ascii="Arial" w:hAnsi="Arial" w:cs="Arial"/>
          <w:i/>
        </w:rPr>
        <w:t>R</w:t>
      </w:r>
      <w:r w:rsidRPr="00C15625">
        <w:rPr>
          <w:rFonts w:ascii="Arial" w:hAnsi="Arial" w:cs="Arial"/>
        </w:rPr>
        <w:t>) yields:</w:t>
      </w:r>
    </w:p>
    <w:p w14:paraId="14A1B6BF" w14:textId="77777777" w:rsidR="00707A50" w:rsidRPr="00C15625" w:rsidRDefault="00000000" w:rsidP="00941F90">
      <w:pPr>
        <w:pStyle w:val="NoSpacing"/>
        <w:spacing w:line="480" w:lineRule="auto"/>
        <w:rPr>
          <w:rFonts w:ascii="Arial" w:hAnsi="Arial" w:cs="Arial"/>
        </w:rPr>
      </w:pPr>
      <m:oMath>
        <m:sSub>
          <m:sSubPr>
            <m:ctrlPr>
              <w:rPr>
                <w:rFonts w:ascii="Cambria Math" w:hAnsi="Cambria Math" w:cs="Arial"/>
                <w:i/>
              </w:rPr>
            </m:ctrlPr>
          </m:sSubPr>
          <m:e>
            <m:r>
              <w:rPr>
                <w:rFonts w:ascii="Cambria Math" w:hAnsi="Cambria Math" w:cs="Arial"/>
              </w:rPr>
              <m:t xml:space="preserve">               R</m:t>
            </m:r>
          </m:e>
          <m:sub>
            <m:r>
              <w:rPr>
                <w:rFonts w:ascii="Cambria Math" w:hAnsi="Cambria Math" w:cs="Arial"/>
              </w:rPr>
              <m:t>rem</m:t>
            </m:r>
          </m:sub>
        </m:sSub>
        <m:r>
          <w:rPr>
            <w:rFonts w:ascii="Cambria Math" w:hAnsi="Cambria Math" w:cs="Arial"/>
          </w:rPr>
          <m:t>=</m:t>
        </m:r>
        <m:sSub>
          <m:sSubPr>
            <m:ctrlPr>
              <w:rPr>
                <w:rFonts w:ascii="Cambria Math" w:hAnsi="Cambria Math" w:cs="Arial"/>
              </w:rPr>
            </m:ctrlPr>
          </m:sSubPr>
          <m:e>
            <m:r>
              <w:rPr>
                <w:rFonts w:ascii="Cambria Math" w:hAnsi="Cambria Math" w:cs="Arial"/>
              </w:rPr>
              <m:t>R</m:t>
            </m:r>
          </m:e>
          <m:sub>
            <m:r>
              <w:rPr>
                <w:rFonts w:ascii="Cambria Math" w:hAnsi="Cambria Math" w:cs="Arial"/>
              </w:rPr>
              <m:t>init</m:t>
            </m:r>
          </m:sub>
        </m:sSub>
        <m:r>
          <w:rPr>
            <w:rFonts w:ascii="Cambria Math" w:hAnsi="Cambria Math" w:cs="Arial"/>
          </w:rPr>
          <m:t xml:space="preserve"> </m:t>
        </m:r>
        <m:r>
          <m:rPr>
            <m:sty m:val="p"/>
          </m:rPr>
          <w:rPr>
            <w:rFonts w:ascii="Cambria Math" w:hAnsi="Cambria Math" w:cs="Arial"/>
          </w:rPr>
          <m:t>exp</m:t>
        </m:r>
        <m:r>
          <w:rPr>
            <w:rFonts w:ascii="Cambria Math" w:hAnsi="Cambria Math" w:cs="Arial"/>
          </w:rPr>
          <m:t>(-fSt)</m:t>
        </m:r>
      </m:oMath>
      <w:r w:rsidR="00707A50" w:rsidRPr="00C15625">
        <w:rPr>
          <w:rFonts w:ascii="Arial" w:hAnsi="Arial" w:cs="Arial"/>
        </w:rPr>
        <w:t xml:space="preserve">  </w:t>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t>eq. S2</w:t>
      </w:r>
    </w:p>
    <w:p w14:paraId="1AEC88FE"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where </w:t>
      </w:r>
      <w:proofErr w:type="spellStart"/>
      <w:r w:rsidRPr="00C15625">
        <w:rPr>
          <w:rFonts w:ascii="Arial" w:hAnsi="Arial" w:cs="Arial"/>
          <w:i/>
        </w:rPr>
        <w:t>R</w:t>
      </w:r>
      <w:r w:rsidRPr="00C15625">
        <w:rPr>
          <w:rFonts w:ascii="Arial" w:hAnsi="Arial" w:cs="Arial"/>
          <w:i/>
          <w:vertAlign w:val="subscript"/>
        </w:rPr>
        <w:t>rem</w:t>
      </w:r>
      <w:proofErr w:type="spellEnd"/>
      <w:r w:rsidRPr="00C15625">
        <w:rPr>
          <w:rFonts w:ascii="Arial" w:hAnsi="Arial" w:cs="Arial"/>
        </w:rPr>
        <w:t xml:space="preserve"> is the remaining resource, </w:t>
      </w:r>
      <w:proofErr w:type="spellStart"/>
      <w:r w:rsidRPr="00C15625">
        <w:rPr>
          <w:rFonts w:ascii="Arial" w:hAnsi="Arial" w:cs="Arial"/>
          <w:i/>
        </w:rPr>
        <w:t>R</w:t>
      </w:r>
      <w:r w:rsidRPr="00C15625">
        <w:rPr>
          <w:rFonts w:ascii="Arial" w:hAnsi="Arial" w:cs="Arial"/>
          <w:i/>
          <w:vertAlign w:val="subscript"/>
        </w:rPr>
        <w:t>init</w:t>
      </w:r>
      <w:proofErr w:type="spellEnd"/>
      <w:r w:rsidRPr="00C15625">
        <w:rPr>
          <w:rFonts w:ascii="Arial" w:hAnsi="Arial" w:cs="Arial"/>
        </w:rPr>
        <w:t xml:space="preserve"> is the initial resource (at time </w:t>
      </w:r>
      <w:r w:rsidRPr="00C15625">
        <w:rPr>
          <w:rFonts w:ascii="Arial" w:hAnsi="Arial" w:cs="Arial"/>
          <w:i/>
        </w:rPr>
        <w:t>t</w:t>
      </w:r>
      <w:r w:rsidRPr="00C15625">
        <w:rPr>
          <w:rFonts w:ascii="Arial" w:hAnsi="Arial" w:cs="Arial"/>
        </w:rPr>
        <w:t xml:space="preserve"> = 0), and </w:t>
      </w:r>
      <w:r w:rsidRPr="00C15625">
        <w:rPr>
          <w:rFonts w:ascii="Arial" w:hAnsi="Arial" w:cs="Arial"/>
          <w:i/>
        </w:rPr>
        <w:t>t</w:t>
      </w:r>
      <w:r w:rsidRPr="00C15625">
        <w:rPr>
          <w:rFonts w:ascii="Arial" w:hAnsi="Arial" w:cs="Arial"/>
        </w:rPr>
        <w:t xml:space="preserve"> is the duration of the trial (22 hours).  Solving for </w:t>
      </w:r>
      <w:r w:rsidRPr="00C15625">
        <w:rPr>
          <w:rFonts w:ascii="Arial" w:hAnsi="Arial" w:cs="Arial"/>
          <w:i/>
        </w:rPr>
        <w:t>f</w:t>
      </w:r>
      <w:r w:rsidRPr="00C15625">
        <w:rPr>
          <w:rFonts w:ascii="Arial" w:hAnsi="Arial" w:cs="Arial"/>
        </w:rPr>
        <w:t>, then:</w:t>
      </w:r>
    </w:p>
    <w:p w14:paraId="7F50364F"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               </w:t>
      </w:r>
      <m:oMath>
        <m:r>
          <w:rPr>
            <w:rFonts w:ascii="Cambria Math" w:hAnsi="Cambria Math" w:cs="Arial"/>
          </w:rPr>
          <m:t>f=</m:t>
        </m:r>
        <m:r>
          <m:rPr>
            <m:sty m:val="p"/>
          </m:rP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init</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rem</m:t>
                    </m:r>
                  </m:sub>
                </m:sSub>
              </m:den>
            </m:f>
          </m:e>
        </m:d>
        <m:f>
          <m:fPr>
            <m:ctrlPr>
              <w:rPr>
                <w:rFonts w:ascii="Cambria Math" w:hAnsi="Cambria Math" w:cs="Arial"/>
                <w:i/>
              </w:rPr>
            </m:ctrlPr>
          </m:fPr>
          <m:num>
            <m:r>
              <w:rPr>
                <w:rFonts w:ascii="Cambria Math" w:hAnsi="Cambria Math" w:cs="Arial"/>
              </w:rPr>
              <m:t>V</m:t>
            </m:r>
          </m:num>
          <m:den>
            <m:r>
              <w:rPr>
                <w:rFonts w:ascii="Cambria Math" w:hAnsi="Cambria Math" w:cs="Arial"/>
              </w:rPr>
              <m:t>t</m:t>
            </m:r>
          </m:den>
        </m:f>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S3</w:t>
      </w:r>
    </w:p>
    <w:p w14:paraId="43408430" w14:textId="77777777" w:rsidR="00707A50" w:rsidRPr="00C15625" w:rsidRDefault="00707A50" w:rsidP="00941F90">
      <w:pPr>
        <w:pStyle w:val="NoSpacing"/>
        <w:spacing w:line="480" w:lineRule="auto"/>
        <w:rPr>
          <w:rFonts w:ascii="Arial" w:hAnsi="Arial" w:cs="Arial"/>
        </w:rPr>
      </w:pPr>
      <w:r w:rsidRPr="00C15625">
        <w:rPr>
          <w:rFonts w:ascii="Arial" w:hAnsi="Arial" w:cs="Arial"/>
        </w:rPr>
        <w:t>where 1/</w:t>
      </w:r>
      <w:r w:rsidRPr="00C15625">
        <w:rPr>
          <w:rFonts w:ascii="Arial" w:hAnsi="Arial" w:cs="Arial"/>
          <w:i/>
        </w:rPr>
        <w:t>S</w:t>
      </w:r>
      <w:r w:rsidRPr="00C15625">
        <w:rPr>
          <w:rFonts w:ascii="Arial" w:hAnsi="Arial" w:cs="Arial"/>
        </w:rPr>
        <w:t xml:space="preserve"> was replaced with experimental volume (</w:t>
      </w:r>
      <w:r w:rsidRPr="00C15625">
        <w:rPr>
          <w:rFonts w:ascii="Arial" w:hAnsi="Arial" w:cs="Arial"/>
          <w:i/>
        </w:rPr>
        <w:t>V</w:t>
      </w:r>
      <w:r w:rsidRPr="00C15625">
        <w:rPr>
          <w:rFonts w:ascii="Arial" w:hAnsi="Arial" w:cs="Arial"/>
        </w:rPr>
        <w:t xml:space="preserve">).  We bootstrapped 95% confidence intervals for genotype-specific foraging rates with 10,000 iterations in R (R Development Core Team 2008).  </w:t>
      </w:r>
    </w:p>
    <w:p w14:paraId="1D1BF949" w14:textId="77777777" w:rsidR="00707A50" w:rsidRPr="00C15625" w:rsidRDefault="00707A50" w:rsidP="00941F90">
      <w:pPr>
        <w:pStyle w:val="NoSpacing"/>
        <w:spacing w:line="480" w:lineRule="auto"/>
        <w:rPr>
          <w:rFonts w:ascii="Arial" w:hAnsi="Arial" w:cs="Arial"/>
          <w:b/>
        </w:rPr>
      </w:pPr>
    </w:p>
    <w:p w14:paraId="553722CF" w14:textId="77777777" w:rsidR="00707A50" w:rsidRPr="00C15625" w:rsidRDefault="00707A50" w:rsidP="00941F90">
      <w:pPr>
        <w:pStyle w:val="NoSpacing"/>
        <w:spacing w:line="480" w:lineRule="auto"/>
        <w:rPr>
          <w:rFonts w:ascii="Arial" w:hAnsi="Arial" w:cs="Arial"/>
          <w:b/>
        </w:rPr>
      </w:pPr>
    </w:p>
    <w:p w14:paraId="3F3F4F5E" w14:textId="77777777" w:rsidR="00707A50" w:rsidRPr="00C15625" w:rsidRDefault="00707A50" w:rsidP="00941F90">
      <w:pPr>
        <w:pStyle w:val="NoSpacing"/>
        <w:spacing w:line="480" w:lineRule="auto"/>
        <w:rPr>
          <w:rFonts w:ascii="Arial" w:hAnsi="Arial" w:cs="Arial"/>
          <w:b/>
        </w:rPr>
      </w:pPr>
      <w:r w:rsidRPr="00C15625">
        <w:rPr>
          <w:rFonts w:ascii="Arial" w:hAnsi="Arial" w:cs="Arial"/>
          <w:b/>
        </w:rPr>
        <w:lastRenderedPageBreak/>
        <w:t>Estimation of per-spore susceptibility (</w:t>
      </w:r>
      <w:r w:rsidRPr="00C15625">
        <w:rPr>
          <w:rFonts w:ascii="Arial" w:hAnsi="Arial" w:cs="Arial"/>
          <w:b/>
          <w:i/>
        </w:rPr>
        <w:t>u</w:t>
      </w:r>
      <w:r w:rsidRPr="00C15625">
        <w:rPr>
          <w:rFonts w:ascii="Arial" w:hAnsi="Arial" w:cs="Arial"/>
          <w:b/>
        </w:rPr>
        <w:t>)</w:t>
      </w:r>
    </w:p>
    <w:p w14:paraId="7AD49FC3" w14:textId="77777777"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 xml:space="preserve">Infection assay: </w:t>
      </w:r>
      <w:r w:rsidRPr="00C15625">
        <w:rPr>
          <w:rFonts w:ascii="Arial" w:hAnsi="Arial" w:cs="Arial"/>
        </w:rPr>
        <w:t xml:space="preserve">All individuals in the foraging assay plus an additional 40 individuals from each genotype (excluding the case 1 focal host genotype for logistical constraints) were used in the infection assay </w:t>
      </w:r>
      <w:r w:rsidRPr="00C15625">
        <w:rPr>
          <w:rFonts w:ascii="Arial" w:hAnsi="Arial" w:cs="Arial"/>
          <w:noProof/>
        </w:rPr>
        <w:t>(see Hall</w:t>
      </w:r>
      <w:r w:rsidRPr="00C15625">
        <w:rPr>
          <w:rFonts w:ascii="Arial" w:hAnsi="Arial" w:cs="Arial"/>
          <w:i/>
          <w:noProof/>
        </w:rPr>
        <w:t xml:space="preserve"> et al.</w:t>
      </w:r>
      <w:r w:rsidRPr="00C15625">
        <w:rPr>
          <w:rFonts w:ascii="Arial" w:hAnsi="Arial" w:cs="Arial"/>
          <w:noProof/>
        </w:rPr>
        <w:t xml:space="preserve"> 2010)</w:t>
      </w:r>
      <w:r w:rsidRPr="00C15625">
        <w:rPr>
          <w:rFonts w:ascii="Arial" w:hAnsi="Arial" w:cs="Arial"/>
        </w:rPr>
        <w:t>.  We exposed individual hosts to infective spores (100 spores ml</w:t>
      </w:r>
      <w:r w:rsidRPr="00C15625">
        <w:rPr>
          <w:rFonts w:ascii="Arial" w:hAnsi="Arial" w:cs="Arial"/>
          <w:vertAlign w:val="superscript"/>
        </w:rPr>
        <w:t>-1</w:t>
      </w:r>
      <w:r w:rsidRPr="00C15625">
        <w:rPr>
          <w:rFonts w:ascii="Arial" w:hAnsi="Arial" w:cs="Arial"/>
        </w:rPr>
        <w:t xml:space="preserve"> or 450 spores ml</w:t>
      </w:r>
      <w:r w:rsidRPr="00C15625">
        <w:rPr>
          <w:rFonts w:ascii="Arial" w:hAnsi="Arial" w:cs="Arial"/>
          <w:vertAlign w:val="superscript"/>
        </w:rPr>
        <w:t>-1</w:t>
      </w:r>
      <w:r w:rsidRPr="00C15625">
        <w:rPr>
          <w:rFonts w:ascii="Arial" w:hAnsi="Arial" w:cs="Arial"/>
        </w:rPr>
        <w:t>, for 22 hours).  Infection assay animals that were not part of the foraging assay were treated identically (transferred into culture tubes with 20 mL of filtered lake water and allowed to graze 1.0 mg L</w:t>
      </w:r>
      <w:r w:rsidRPr="00C15625">
        <w:rPr>
          <w:rFonts w:ascii="Arial" w:hAnsi="Arial" w:cs="Arial"/>
          <w:vertAlign w:val="superscript"/>
        </w:rPr>
        <w:t xml:space="preserve">-1 </w:t>
      </w:r>
      <w:r w:rsidRPr="00C15625">
        <w:rPr>
          <w:rFonts w:ascii="Arial" w:hAnsi="Arial" w:cs="Arial"/>
        </w:rPr>
        <w:t xml:space="preserve">dry weight </w:t>
      </w:r>
      <w:r w:rsidRPr="00C15625">
        <w:rPr>
          <w:rFonts w:ascii="Arial" w:hAnsi="Arial" w:cs="Arial"/>
          <w:i/>
        </w:rPr>
        <w:t xml:space="preserve">A. </w:t>
      </w:r>
      <w:proofErr w:type="spellStart"/>
      <w:r w:rsidRPr="00C15625">
        <w:rPr>
          <w:rFonts w:ascii="Arial" w:hAnsi="Arial" w:cs="Arial"/>
          <w:i/>
        </w:rPr>
        <w:t>falcatus</w:t>
      </w:r>
      <w:proofErr w:type="spellEnd"/>
      <w:r w:rsidRPr="00C15625">
        <w:rPr>
          <w:rFonts w:ascii="Arial" w:hAnsi="Arial" w:cs="Arial"/>
        </w:rPr>
        <w:t xml:space="preserve"> for 22 hours</w:t>
      </w:r>
      <w:proofErr w:type="gramStart"/>
      <w:r w:rsidRPr="00C15625">
        <w:rPr>
          <w:rFonts w:ascii="Arial" w:hAnsi="Arial" w:cs="Arial"/>
        </w:rPr>
        <w:t>), but</w:t>
      </w:r>
      <w:proofErr w:type="gramEnd"/>
      <w:r w:rsidRPr="00C15625">
        <w:rPr>
          <w:rFonts w:ascii="Arial" w:hAnsi="Arial" w:cs="Arial"/>
        </w:rPr>
        <w:t xml:space="preserve"> were inverted every half hour instead of being placed in the tube rotator.  Replication at each spore density was planned strategically based on prior knowledge of each genotype’s susceptibility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2010)</w:t>
      </w:r>
      <w:r w:rsidRPr="00C15625">
        <w:rPr>
          <w:rFonts w:ascii="Arial" w:hAnsi="Arial" w:cs="Arial"/>
        </w:rPr>
        <w:t>.  After 22 hours of exposure, hosts were transferred into fresh 50 mL tubes as part of the life table experiment.  We then visually diagnosed infection while monitoring the life table experiment.</w:t>
      </w:r>
    </w:p>
    <w:p w14:paraId="4A01FB25" w14:textId="77777777"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 xml:space="preserve">Parameter estimation: </w:t>
      </w:r>
      <w:r w:rsidRPr="00C15625">
        <w:rPr>
          <w:rFonts w:ascii="Arial" w:hAnsi="Arial" w:cs="Arial"/>
        </w:rPr>
        <w:t>We estimated per-spore susceptibility (</w:t>
      </w:r>
      <w:r w:rsidRPr="00C15625">
        <w:rPr>
          <w:rFonts w:ascii="Arial" w:hAnsi="Arial" w:cs="Arial"/>
          <w:i/>
        </w:rPr>
        <w:t>u</w:t>
      </w:r>
      <w:r w:rsidRPr="00C15625">
        <w:rPr>
          <w:rFonts w:ascii="Arial" w:hAnsi="Arial" w:cs="Arial"/>
        </w:rPr>
        <w:t>) by fitting a simplified version of the “susceptible host dynamics” equation (Box 1).  By focusing only on the loss of susceptible hosts due to transmission and defining the transmission coefficient as the product of exposure and per-spore susceptibility (</w:t>
      </w:r>
      <w:r w:rsidRPr="00C15625">
        <w:rPr>
          <w:rFonts w:ascii="Arial" w:hAnsi="Arial" w:cs="Arial"/>
          <w:i/>
        </w:rPr>
        <w:t>β = u f</w:t>
      </w:r>
      <w:r w:rsidRPr="00C15625">
        <w:rPr>
          <w:rFonts w:ascii="Arial" w:hAnsi="Arial" w:cs="Arial"/>
        </w:rPr>
        <w:t>), we arrive at:</w:t>
      </w:r>
    </w:p>
    <w:p w14:paraId="490C854B" w14:textId="77777777"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m:t>
        </m:r>
        <m:f>
          <m:fPr>
            <m:ctrlPr>
              <w:rPr>
                <w:rFonts w:ascii="Cambria Math" w:hAnsi="Cambria Math" w:cs="Arial"/>
                <w:i/>
              </w:rPr>
            </m:ctrlPr>
          </m:fPr>
          <m:num>
            <m:r>
              <w:rPr>
                <w:rFonts w:ascii="Cambria Math" w:hAnsi="Cambria Math" w:cs="Arial"/>
              </w:rPr>
              <m:t>dS</m:t>
            </m:r>
          </m:num>
          <m:den>
            <m:r>
              <w:rPr>
                <w:rFonts w:ascii="Cambria Math" w:hAnsi="Cambria Math" w:cs="Arial"/>
              </w:rPr>
              <m:t>dt</m:t>
            </m:r>
          </m:den>
        </m:f>
        <m:r>
          <w:rPr>
            <w:rFonts w:ascii="Cambria Math" w:hAnsi="Cambria Math" w:cs="Arial"/>
          </w:rPr>
          <m:t>=-βZS</m:t>
        </m:r>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S4</w:t>
      </w:r>
    </w:p>
    <w:p w14:paraId="006279B3"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Solving this equation for remaining susceptible hosts after exposure time </w:t>
      </w:r>
      <w:r w:rsidRPr="00C15625">
        <w:rPr>
          <w:rFonts w:ascii="Arial" w:hAnsi="Arial" w:cs="Arial"/>
          <w:i/>
        </w:rPr>
        <w:t>t</w:t>
      </w:r>
      <w:r w:rsidRPr="00C15625">
        <w:rPr>
          <w:rFonts w:ascii="Arial" w:hAnsi="Arial" w:cs="Arial"/>
        </w:rPr>
        <w:t xml:space="preserve"> yields </w:t>
      </w:r>
      <w:proofErr w:type="spellStart"/>
      <w:r w:rsidRPr="00C15625">
        <w:rPr>
          <w:rFonts w:ascii="Arial" w:hAnsi="Arial" w:cs="Arial"/>
          <w:i/>
        </w:rPr>
        <w:t>S</w:t>
      </w:r>
      <w:r w:rsidRPr="00C15625">
        <w:rPr>
          <w:rFonts w:ascii="Arial" w:hAnsi="Arial" w:cs="Arial"/>
          <w:i/>
          <w:vertAlign w:val="subscript"/>
        </w:rPr>
        <w:t>rem</w:t>
      </w:r>
      <w:proofErr w:type="spellEnd"/>
      <w:r w:rsidRPr="00C15625">
        <w:rPr>
          <w:rFonts w:ascii="Arial" w:hAnsi="Arial" w:cs="Arial"/>
        </w:rPr>
        <w:t xml:space="preserve">: </w:t>
      </w:r>
    </w:p>
    <w:p w14:paraId="5CE36745" w14:textId="77777777"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S</m:t>
            </m:r>
          </m:e>
          <m:sub>
            <m:r>
              <w:rPr>
                <w:rFonts w:ascii="Cambria Math" w:hAnsi="Cambria Math" w:cs="Arial"/>
              </w:rPr>
              <m:t>rem</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init</m:t>
            </m:r>
          </m:sub>
        </m:sSub>
        <m:r>
          <m:rPr>
            <m:sty m:val="p"/>
          </m:rPr>
          <w:rPr>
            <w:rFonts w:ascii="Cambria Math" w:hAnsi="Cambria Math" w:cs="Arial"/>
          </w:rPr>
          <m:t xml:space="preserve"> exp⁡</m:t>
        </m:r>
        <m:r>
          <w:rPr>
            <w:rFonts w:ascii="Cambria Math" w:hAnsi="Cambria Math" w:cs="Arial"/>
          </w:rPr>
          <m:t>(-βZt)</m:t>
        </m:r>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S5</w:t>
      </w:r>
    </w:p>
    <w:p w14:paraId="1AFDB875"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where </w:t>
      </w:r>
      <w:proofErr w:type="spellStart"/>
      <w:r w:rsidRPr="00C15625">
        <w:rPr>
          <w:rFonts w:ascii="Arial" w:hAnsi="Arial" w:cs="Arial"/>
          <w:i/>
        </w:rPr>
        <w:t>S</w:t>
      </w:r>
      <w:r w:rsidRPr="00C15625">
        <w:rPr>
          <w:rFonts w:ascii="Arial" w:hAnsi="Arial" w:cs="Arial"/>
          <w:i/>
          <w:vertAlign w:val="subscript"/>
        </w:rPr>
        <w:t>init</w:t>
      </w:r>
      <w:proofErr w:type="spellEnd"/>
      <w:r w:rsidRPr="00C15625">
        <w:rPr>
          <w:rFonts w:ascii="Arial" w:hAnsi="Arial" w:cs="Arial"/>
        </w:rPr>
        <w:t xml:space="preserve"> is the initial number of hosts in the experiment.  We estimated this </w:t>
      </w:r>
      <w:r w:rsidRPr="00C15625">
        <w:rPr>
          <w:rFonts w:ascii="Arial" w:hAnsi="Arial" w:cs="Arial"/>
          <w:i/>
        </w:rPr>
        <w:t>β</w:t>
      </w:r>
      <w:r w:rsidRPr="00C15625">
        <w:rPr>
          <w:rFonts w:ascii="Arial" w:hAnsi="Arial" w:cs="Arial"/>
        </w:rPr>
        <w:t xml:space="preserve"> using maximum likelihood and the BBMLE package in R, with our binary infection assay data as </w:t>
      </w:r>
      <w:proofErr w:type="spellStart"/>
      <w:r w:rsidRPr="00C15625">
        <w:rPr>
          <w:rFonts w:ascii="Arial" w:hAnsi="Arial" w:cs="Arial"/>
          <w:i/>
        </w:rPr>
        <w:t>S</w:t>
      </w:r>
      <w:r w:rsidRPr="00C15625">
        <w:rPr>
          <w:rFonts w:ascii="Arial" w:hAnsi="Arial" w:cs="Arial"/>
          <w:i/>
          <w:vertAlign w:val="subscript"/>
        </w:rPr>
        <w:t>rem</w:t>
      </w:r>
      <w:proofErr w:type="spellEnd"/>
      <w:r w:rsidRPr="00C15625">
        <w:rPr>
          <w:rFonts w:ascii="Arial" w:hAnsi="Arial" w:cs="Arial"/>
        </w:rPr>
        <w:t xml:space="preserve"> and the binomial distribution serving as the likelihood function.  We generated 95% confidence intervals around </w:t>
      </w:r>
      <w:r w:rsidRPr="00C15625">
        <w:rPr>
          <w:rFonts w:ascii="Arial" w:hAnsi="Arial" w:cs="Arial"/>
          <w:i/>
        </w:rPr>
        <w:t>β</w:t>
      </w:r>
      <w:r w:rsidRPr="00C15625">
        <w:rPr>
          <w:rFonts w:ascii="Arial" w:hAnsi="Arial" w:cs="Arial"/>
        </w:rPr>
        <w:t xml:space="preserve"> by bootstrapping our infection data with 10,000 iterations.  We then calculated per-spore susceptibility </w:t>
      </w:r>
      <w:r w:rsidRPr="00C15625">
        <w:rPr>
          <w:rFonts w:ascii="Arial" w:hAnsi="Arial" w:cs="Arial"/>
          <w:i/>
        </w:rPr>
        <w:t>u</w:t>
      </w:r>
      <w:r w:rsidRPr="00C15625">
        <w:rPr>
          <w:rFonts w:ascii="Arial" w:hAnsi="Arial" w:cs="Arial"/>
        </w:rPr>
        <w:t xml:space="preserve"> (hosts spore</w:t>
      </w:r>
      <w:r w:rsidRPr="00C15625">
        <w:rPr>
          <w:rFonts w:ascii="Arial" w:hAnsi="Arial" w:cs="Arial"/>
          <w:vertAlign w:val="superscript"/>
        </w:rPr>
        <w:t>-1</w:t>
      </w:r>
      <w:r w:rsidRPr="00C15625">
        <w:rPr>
          <w:rFonts w:ascii="Arial" w:hAnsi="Arial" w:cs="Arial"/>
        </w:rPr>
        <w:t xml:space="preserve">) as </w:t>
      </w:r>
      <w:r w:rsidRPr="00C15625">
        <w:rPr>
          <w:rFonts w:ascii="Arial" w:hAnsi="Arial" w:cs="Arial"/>
          <w:i/>
        </w:rPr>
        <w:t>u</w:t>
      </w:r>
      <w:r w:rsidRPr="00C15625">
        <w:rPr>
          <w:rFonts w:ascii="Arial" w:hAnsi="Arial" w:cs="Arial"/>
        </w:rPr>
        <w:t xml:space="preserve"> </w:t>
      </w:r>
      <w:proofErr w:type="gramStart"/>
      <w:r w:rsidRPr="00C15625">
        <w:rPr>
          <w:rFonts w:ascii="Arial" w:hAnsi="Arial" w:cs="Arial"/>
        </w:rPr>
        <w:t xml:space="preserve">=  </w:t>
      </w:r>
      <w:r w:rsidRPr="00C15625">
        <w:rPr>
          <w:rFonts w:ascii="Arial" w:hAnsi="Arial" w:cs="Arial"/>
          <w:i/>
        </w:rPr>
        <w:t>β</w:t>
      </w:r>
      <w:proofErr w:type="gramEnd"/>
      <w:r w:rsidRPr="00C15625">
        <w:rPr>
          <w:rFonts w:ascii="Arial" w:hAnsi="Arial" w:cs="Arial"/>
        </w:rPr>
        <w:t xml:space="preserve"> / </w:t>
      </w:r>
      <w:r w:rsidRPr="00C15625">
        <w:rPr>
          <w:rFonts w:ascii="Arial" w:hAnsi="Arial" w:cs="Arial"/>
          <w:i/>
        </w:rPr>
        <w:t>f</w:t>
      </w:r>
      <w:r w:rsidRPr="00C15625">
        <w:rPr>
          <w:rFonts w:ascii="Arial" w:hAnsi="Arial" w:cs="Arial"/>
        </w:rPr>
        <w:t xml:space="preserve">.  We generated 95% confidence intervals around </w:t>
      </w:r>
      <w:r w:rsidRPr="00C15625">
        <w:rPr>
          <w:rFonts w:ascii="Arial" w:hAnsi="Arial" w:cs="Arial"/>
          <w:i/>
        </w:rPr>
        <w:t>u</w:t>
      </w:r>
      <w:r w:rsidRPr="00C15625">
        <w:rPr>
          <w:rFonts w:ascii="Arial" w:hAnsi="Arial" w:cs="Arial"/>
        </w:rPr>
        <w:t xml:space="preserve"> by bootstrapping values of </w:t>
      </w:r>
      <w:r w:rsidRPr="00C15625">
        <w:rPr>
          <w:rFonts w:ascii="Arial" w:hAnsi="Arial" w:cs="Arial"/>
          <w:i/>
        </w:rPr>
        <w:t>β</w:t>
      </w:r>
      <w:r w:rsidRPr="00C15625">
        <w:rPr>
          <w:rFonts w:ascii="Arial" w:hAnsi="Arial" w:cs="Arial"/>
        </w:rPr>
        <w:t xml:space="preserve"> / </w:t>
      </w:r>
      <w:r w:rsidRPr="00C15625">
        <w:rPr>
          <w:rFonts w:ascii="Arial" w:hAnsi="Arial" w:cs="Arial"/>
          <w:i/>
        </w:rPr>
        <w:t>f</w:t>
      </w:r>
      <w:r w:rsidRPr="00C15625">
        <w:rPr>
          <w:rFonts w:ascii="Arial" w:hAnsi="Arial" w:cs="Arial"/>
        </w:rPr>
        <w:t>’.</w:t>
      </w:r>
    </w:p>
    <w:p w14:paraId="129A2212" w14:textId="77777777" w:rsidR="00707A50" w:rsidRPr="00C15625" w:rsidRDefault="00707A50" w:rsidP="00941F90">
      <w:pPr>
        <w:pStyle w:val="NoSpacing"/>
        <w:spacing w:line="480" w:lineRule="auto"/>
        <w:rPr>
          <w:rFonts w:ascii="Arial" w:hAnsi="Arial" w:cs="Arial"/>
          <w:b/>
        </w:rPr>
      </w:pPr>
    </w:p>
    <w:p w14:paraId="3E19BD8B" w14:textId="77777777" w:rsidR="00707A50" w:rsidRPr="00C15625" w:rsidRDefault="00707A50" w:rsidP="00941F90">
      <w:pPr>
        <w:pStyle w:val="NoSpacing"/>
        <w:spacing w:line="480" w:lineRule="auto"/>
        <w:rPr>
          <w:rFonts w:ascii="Arial" w:hAnsi="Arial" w:cs="Arial"/>
          <w:b/>
        </w:rPr>
      </w:pPr>
      <w:r w:rsidRPr="00C15625">
        <w:rPr>
          <w:rFonts w:ascii="Arial" w:hAnsi="Arial" w:cs="Arial"/>
          <w:b/>
        </w:rPr>
        <w:t>Estimation of conversion efficiency (</w:t>
      </w:r>
      <w:r w:rsidRPr="00C15625">
        <w:rPr>
          <w:rFonts w:ascii="Arial" w:hAnsi="Arial" w:cs="Arial"/>
          <w:b/>
          <w:i/>
        </w:rPr>
        <w:t>e</w:t>
      </w:r>
      <w:r w:rsidRPr="00C15625">
        <w:rPr>
          <w:rFonts w:ascii="Arial" w:hAnsi="Arial" w:cs="Arial"/>
          <w:b/>
        </w:rPr>
        <w:t>) and virulence (</w:t>
      </w:r>
      <w:r w:rsidRPr="00C15625">
        <w:rPr>
          <w:rFonts w:ascii="Arial" w:hAnsi="Arial" w:cs="Arial"/>
          <w:b/>
          <w:i/>
        </w:rPr>
        <w:t>v</w:t>
      </w:r>
      <w:r w:rsidRPr="00C15625">
        <w:rPr>
          <w:rFonts w:ascii="Arial" w:hAnsi="Arial" w:cs="Arial"/>
          <w:b/>
        </w:rPr>
        <w:t>)</w:t>
      </w:r>
    </w:p>
    <w:p w14:paraId="7C894F64" w14:textId="77777777"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Life table experiment:</w:t>
      </w:r>
      <w:r w:rsidRPr="00C15625">
        <w:rPr>
          <w:rFonts w:ascii="Arial" w:hAnsi="Arial" w:cs="Arial"/>
        </w:rPr>
        <w:t xml:space="preserve"> All individuals in the infection assay plus an additional 10 individuals from each genotype were used in a life table experiment to estimate conversion efficiency (</w:t>
      </w:r>
      <w:r w:rsidRPr="00C15625">
        <w:rPr>
          <w:rFonts w:ascii="Arial" w:hAnsi="Arial" w:cs="Arial"/>
          <w:i/>
        </w:rPr>
        <w:t>e</w:t>
      </w:r>
      <w:r>
        <w:rPr>
          <w:rFonts w:ascii="Arial" w:hAnsi="Arial" w:cs="Arial"/>
        </w:rPr>
        <w:t xml:space="preserve">) </w:t>
      </w:r>
      <w:r w:rsidRPr="00C15625">
        <w:rPr>
          <w:rFonts w:ascii="Arial" w:hAnsi="Arial" w:cs="Arial"/>
        </w:rPr>
        <w:t>and virulence (</w:t>
      </w:r>
      <w:r w:rsidRPr="00C15625">
        <w:rPr>
          <w:rFonts w:ascii="Arial" w:hAnsi="Arial" w:cs="Arial"/>
          <w:i/>
        </w:rPr>
        <w:t>v</w:t>
      </w:r>
      <w:r w:rsidRPr="00C15625">
        <w:rPr>
          <w:rFonts w:ascii="Arial" w:hAnsi="Arial" w:cs="Arial"/>
        </w:rPr>
        <w:t xml:space="preserve">) </w:t>
      </w:r>
      <w:r w:rsidRPr="00C15625">
        <w:rPr>
          <w:rFonts w:ascii="Arial" w:hAnsi="Arial" w:cs="Arial"/>
          <w:noProof/>
        </w:rPr>
        <w:t>(see Hall</w:t>
      </w:r>
      <w:r w:rsidRPr="00C15625">
        <w:rPr>
          <w:rFonts w:ascii="Arial" w:hAnsi="Arial" w:cs="Arial"/>
          <w:i/>
          <w:noProof/>
        </w:rPr>
        <w:t xml:space="preserve"> et al.</w:t>
      </w:r>
      <w:r w:rsidRPr="00C15625">
        <w:rPr>
          <w:rFonts w:ascii="Arial" w:hAnsi="Arial" w:cs="Arial"/>
          <w:noProof/>
        </w:rPr>
        <w:t xml:space="preserve"> 2010)</w:t>
      </w:r>
      <w:r w:rsidRPr="00C15625">
        <w:rPr>
          <w:rFonts w:ascii="Arial" w:hAnsi="Arial" w:cs="Arial"/>
        </w:rPr>
        <w:t>.  These 10 new individuals were treated identically on day 6 but were not exposed to spores.  Thereafter, all animals were transferred daily into 50 mL tubes with fresh filtered lake water and 1.0 mg L</w:t>
      </w:r>
      <w:r w:rsidRPr="00C15625">
        <w:rPr>
          <w:rFonts w:ascii="Arial" w:hAnsi="Arial" w:cs="Arial"/>
          <w:vertAlign w:val="superscript"/>
        </w:rPr>
        <w:t xml:space="preserve">-1 </w:t>
      </w:r>
      <w:r w:rsidRPr="00C15625">
        <w:rPr>
          <w:rFonts w:ascii="Arial" w:hAnsi="Arial" w:cs="Arial"/>
        </w:rPr>
        <w:t xml:space="preserve">dry weight </w:t>
      </w:r>
      <w:r w:rsidRPr="00C15625">
        <w:rPr>
          <w:rFonts w:ascii="Arial" w:hAnsi="Arial" w:cs="Arial"/>
          <w:i/>
        </w:rPr>
        <w:t xml:space="preserve">A. </w:t>
      </w:r>
      <w:proofErr w:type="spellStart"/>
      <w:r w:rsidRPr="00C15625">
        <w:rPr>
          <w:rFonts w:ascii="Arial" w:hAnsi="Arial" w:cs="Arial"/>
          <w:i/>
        </w:rPr>
        <w:t>falcatus</w:t>
      </w:r>
      <w:proofErr w:type="spellEnd"/>
      <w:r w:rsidRPr="00C15625">
        <w:rPr>
          <w:rFonts w:ascii="Arial" w:hAnsi="Arial" w:cs="Arial"/>
        </w:rPr>
        <w:t xml:space="preserve">.  Each day we counted and removed neonates and recorded host deaths until all infected hosts died (17 days).  Infected hosts were isolated in 0.25 mL lake water upon death.  </w:t>
      </w:r>
    </w:p>
    <w:p w14:paraId="3AB79DA0" w14:textId="77777777" w:rsidR="00707A50" w:rsidRPr="00C15625" w:rsidRDefault="00707A50" w:rsidP="001D6889">
      <w:pPr>
        <w:pStyle w:val="NoSpacing"/>
        <w:spacing w:line="480" w:lineRule="auto"/>
        <w:ind w:firstLine="720"/>
        <w:rPr>
          <w:rFonts w:ascii="Arial" w:hAnsi="Arial" w:cs="Arial"/>
        </w:rPr>
      </w:pPr>
      <w:r w:rsidRPr="00C15625">
        <w:rPr>
          <w:rFonts w:ascii="Arial" w:hAnsi="Arial" w:cs="Arial"/>
        </w:rPr>
        <w:t>Note that overall births in our model (Box 1) are the product of total host density (</w:t>
      </w:r>
      <w:r w:rsidRPr="00C15625">
        <w:rPr>
          <w:rFonts w:ascii="Arial" w:hAnsi="Arial" w:cs="Arial"/>
          <w:i/>
        </w:rPr>
        <w:t>S+I</w:t>
      </w:r>
      <w:r w:rsidRPr="00C15625">
        <w:rPr>
          <w:rFonts w:ascii="Arial" w:hAnsi="Arial" w:cs="Arial"/>
        </w:rPr>
        <w:t>), resource density (</w:t>
      </w:r>
      <w:r w:rsidRPr="00C15625">
        <w:rPr>
          <w:rFonts w:ascii="Arial" w:hAnsi="Arial" w:cs="Arial"/>
          <w:i/>
        </w:rPr>
        <w:t>R</w:t>
      </w:r>
      <w:r w:rsidRPr="00C15625">
        <w:rPr>
          <w:rFonts w:ascii="Arial" w:hAnsi="Arial" w:cs="Arial"/>
        </w:rPr>
        <w:t>), foraging rate (</w:t>
      </w:r>
      <w:r w:rsidRPr="00C15625">
        <w:rPr>
          <w:rFonts w:ascii="Arial" w:hAnsi="Arial" w:cs="Arial"/>
          <w:i/>
        </w:rPr>
        <w:t>f</w:t>
      </w:r>
      <w:r w:rsidRPr="00C15625">
        <w:rPr>
          <w:rFonts w:ascii="Arial" w:hAnsi="Arial" w:cs="Arial"/>
        </w:rPr>
        <w:t>), and conversion efficiency (</w:t>
      </w:r>
      <w:r w:rsidRPr="00C15625">
        <w:rPr>
          <w:rFonts w:ascii="Arial" w:hAnsi="Arial" w:cs="Arial"/>
          <w:i/>
        </w:rPr>
        <w:t>e</w:t>
      </w:r>
      <w:r w:rsidRPr="00C15625">
        <w:rPr>
          <w:rFonts w:ascii="Arial" w:hAnsi="Arial" w:cs="Arial"/>
        </w:rPr>
        <w:t>).  Although our life table experiment allows us to measure instantaneous birth rate (</w:t>
      </w:r>
      <w:r w:rsidRPr="00C15625">
        <w:rPr>
          <w:rFonts w:ascii="Arial" w:hAnsi="Arial" w:cs="Arial"/>
          <w:i/>
        </w:rPr>
        <w:t>b</w:t>
      </w:r>
      <w:r w:rsidRPr="00C15625">
        <w:rPr>
          <w:rFonts w:ascii="Arial" w:hAnsi="Arial" w:cs="Arial"/>
        </w:rPr>
        <w:t>) directly, we need to decouple this estimate of birth rate from the other terms in our model (i.e., foraging rate (</w:t>
      </w:r>
      <w:r w:rsidRPr="00C15625">
        <w:rPr>
          <w:rFonts w:ascii="Arial" w:hAnsi="Arial" w:cs="Arial"/>
          <w:i/>
        </w:rPr>
        <w:t>f</w:t>
      </w:r>
      <w:r w:rsidRPr="00C15625">
        <w:rPr>
          <w:rFonts w:ascii="Arial" w:hAnsi="Arial" w:cs="Arial"/>
        </w:rPr>
        <w:t>) and resource density (</w:t>
      </w:r>
      <w:r w:rsidRPr="00C15625">
        <w:rPr>
          <w:rFonts w:ascii="Arial" w:hAnsi="Arial" w:cs="Arial"/>
          <w:i/>
        </w:rPr>
        <w:t>R</w:t>
      </w:r>
      <w:r w:rsidRPr="00C15625">
        <w:rPr>
          <w:rFonts w:ascii="Arial" w:hAnsi="Arial" w:cs="Arial"/>
        </w:rPr>
        <w:t>)) that contribute to instantaneous birth rate (</w:t>
      </w:r>
      <w:r w:rsidRPr="00C15625">
        <w:rPr>
          <w:rFonts w:ascii="Arial" w:hAnsi="Arial" w:cs="Arial"/>
          <w:i/>
        </w:rPr>
        <w:t>b</w:t>
      </w:r>
      <w:r w:rsidRPr="00C15625">
        <w:rPr>
          <w:rFonts w:ascii="Arial" w:hAnsi="Arial" w:cs="Arial"/>
        </w:rPr>
        <w:t>).  We accomplish this by estimating the conversion efficiency parameter (</w:t>
      </w:r>
      <w:r w:rsidRPr="00C15625">
        <w:rPr>
          <w:rFonts w:ascii="Arial" w:hAnsi="Arial" w:cs="Arial"/>
          <w:i/>
        </w:rPr>
        <w:t>e</w:t>
      </w:r>
      <w:r w:rsidRPr="00C15625">
        <w:rPr>
          <w:rFonts w:ascii="Arial" w:hAnsi="Arial" w:cs="Arial"/>
        </w:rPr>
        <w:t>), which is essentially births per food consumed.</w:t>
      </w:r>
    </w:p>
    <w:p w14:paraId="3126C4FD" w14:textId="77777777"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Parameter estimation (e):</w:t>
      </w:r>
      <w:r w:rsidRPr="00C15625">
        <w:rPr>
          <w:rFonts w:ascii="Arial" w:hAnsi="Arial" w:cs="Arial"/>
          <w:b/>
        </w:rPr>
        <w:t xml:space="preserve"> </w:t>
      </w:r>
      <w:r w:rsidRPr="00C15625">
        <w:rPr>
          <w:rFonts w:ascii="Arial" w:hAnsi="Arial" w:cs="Arial"/>
        </w:rPr>
        <w:t>We estimated conversion efficiency (</w:t>
      </w:r>
      <w:r w:rsidRPr="00C15625">
        <w:rPr>
          <w:rFonts w:ascii="Arial" w:hAnsi="Arial" w:cs="Arial"/>
          <w:i/>
        </w:rPr>
        <w:t>e</w:t>
      </w:r>
      <w:r w:rsidRPr="00C15625">
        <w:rPr>
          <w:rFonts w:ascii="Arial" w:hAnsi="Arial" w:cs="Arial"/>
        </w:rPr>
        <w:t>) as birth rate of uninfected hosts (</w:t>
      </w:r>
      <w:r w:rsidRPr="00C15625">
        <w:rPr>
          <w:rFonts w:ascii="Arial" w:hAnsi="Arial" w:cs="Arial"/>
          <w:i/>
        </w:rPr>
        <w:t>b</w:t>
      </w:r>
      <w:r w:rsidRPr="00C15625">
        <w:rPr>
          <w:rFonts w:ascii="Arial" w:hAnsi="Arial" w:cs="Arial"/>
        </w:rPr>
        <w:t>) per algae consumed:</w:t>
      </w:r>
    </w:p>
    <w:p w14:paraId="375FEACA" w14:textId="77777777"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e=</m:t>
        </m:r>
        <m:f>
          <m:fPr>
            <m:ctrlPr>
              <w:rPr>
                <w:rFonts w:ascii="Cambria Math" w:hAnsi="Cambria Math" w:cs="Arial"/>
                <w:i/>
              </w:rPr>
            </m:ctrlPr>
          </m:fPr>
          <m:num>
            <m:r>
              <w:rPr>
                <w:rFonts w:ascii="Cambria Math" w:hAnsi="Cambria Math" w:cs="Arial"/>
              </w:rPr>
              <m:t>b</m:t>
            </m:r>
          </m:num>
          <m:den>
            <m:r>
              <w:rPr>
                <w:rFonts w:ascii="Cambria Math" w:hAnsi="Cambria Math" w:cs="Arial"/>
              </w:rPr>
              <m:t>fR</m:t>
            </m:r>
          </m:den>
        </m:f>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 xml:space="preserve">eq. S6 </w:t>
      </w:r>
    </w:p>
    <w:p w14:paraId="75BF08CB"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where </w:t>
      </w:r>
      <w:r w:rsidRPr="00C15625">
        <w:rPr>
          <w:rFonts w:ascii="Arial" w:hAnsi="Arial" w:cs="Arial"/>
          <w:i/>
        </w:rPr>
        <w:t>R</w:t>
      </w:r>
      <w:r w:rsidRPr="00C15625">
        <w:rPr>
          <w:rFonts w:ascii="Arial" w:hAnsi="Arial" w:cs="Arial"/>
        </w:rPr>
        <w:t xml:space="preserve"> was measured in µg L</w:t>
      </w:r>
      <w:r w:rsidRPr="00C15625">
        <w:rPr>
          <w:rFonts w:ascii="Arial" w:hAnsi="Arial" w:cs="Arial"/>
          <w:vertAlign w:val="superscript"/>
        </w:rPr>
        <w:t>-1</w:t>
      </w:r>
      <w:r w:rsidRPr="00C15625">
        <w:rPr>
          <w:rFonts w:ascii="Arial" w:hAnsi="Arial" w:cs="Arial"/>
        </w:rPr>
        <w:t xml:space="preserve"> of ethanol-extracted chlorophyll </w:t>
      </w:r>
      <w:r w:rsidRPr="00C15625">
        <w:rPr>
          <w:rFonts w:ascii="Arial" w:hAnsi="Arial" w:cs="Arial"/>
          <w:i/>
        </w:rPr>
        <w:t>a</w:t>
      </w:r>
      <w:r w:rsidRPr="00C15625">
        <w:rPr>
          <w:rFonts w:ascii="Arial" w:hAnsi="Arial" w:cs="Arial"/>
        </w:rPr>
        <w:t>).  Estimation of the birth rate parameter requires summing instantaneous per capita population growth rate (</w:t>
      </w:r>
      <w:r w:rsidRPr="00C15625">
        <w:rPr>
          <w:rFonts w:ascii="Arial" w:hAnsi="Arial" w:cs="Arial"/>
          <w:i/>
        </w:rPr>
        <w:t>r</w:t>
      </w:r>
      <w:r w:rsidRPr="00C15625">
        <w:rPr>
          <w:rFonts w:ascii="Arial" w:hAnsi="Arial" w:cs="Arial"/>
        </w:rPr>
        <w:t>) plus background mortality rate (</w:t>
      </w:r>
      <w:r w:rsidRPr="00C15625">
        <w:rPr>
          <w:rFonts w:ascii="Arial" w:hAnsi="Arial" w:cs="Arial"/>
          <w:i/>
        </w:rPr>
        <w:t>d</w:t>
      </w:r>
      <w:r w:rsidRPr="00C15625">
        <w:rPr>
          <w:rFonts w:ascii="Arial" w:hAnsi="Arial" w:cs="Arial"/>
        </w:rPr>
        <w:t xml:space="preserve">); i.e., </w:t>
      </w:r>
      <w:r w:rsidRPr="00C15625">
        <w:rPr>
          <w:rFonts w:ascii="Arial" w:hAnsi="Arial" w:cs="Arial"/>
          <w:i/>
        </w:rPr>
        <w:t>b</w:t>
      </w:r>
      <w:r w:rsidRPr="00C15625">
        <w:rPr>
          <w:rFonts w:ascii="Arial" w:hAnsi="Arial" w:cs="Arial"/>
        </w:rPr>
        <w:t xml:space="preserve"> =</w:t>
      </w:r>
      <w:r w:rsidRPr="00C15625">
        <w:rPr>
          <w:rFonts w:ascii="Arial" w:hAnsi="Arial" w:cs="Arial"/>
          <w:i/>
        </w:rPr>
        <w:t xml:space="preserve"> r</w:t>
      </w:r>
      <w:r w:rsidRPr="00C15625">
        <w:rPr>
          <w:rFonts w:ascii="Arial" w:hAnsi="Arial" w:cs="Arial"/>
        </w:rPr>
        <w:t xml:space="preserve"> + </w:t>
      </w:r>
      <w:r w:rsidRPr="00C15625">
        <w:rPr>
          <w:rFonts w:ascii="Arial" w:hAnsi="Arial" w:cs="Arial"/>
          <w:i/>
        </w:rPr>
        <w:t>d</w:t>
      </w:r>
      <w:r w:rsidRPr="00C15625">
        <w:rPr>
          <w:rFonts w:ascii="Arial" w:hAnsi="Arial" w:cs="Arial"/>
        </w:rPr>
        <w:t xml:space="preserve">.  To estimate </w:t>
      </w:r>
      <w:r w:rsidRPr="00C15625">
        <w:rPr>
          <w:rFonts w:ascii="Arial" w:hAnsi="Arial" w:cs="Arial"/>
          <w:i/>
        </w:rPr>
        <w:t>r</w:t>
      </w:r>
      <w:r w:rsidRPr="00C15625">
        <w:rPr>
          <w:rFonts w:ascii="Arial" w:hAnsi="Arial" w:cs="Arial"/>
        </w:rPr>
        <w:t>, we solved the standard Euler-</w:t>
      </w:r>
      <w:proofErr w:type="spellStart"/>
      <w:r w:rsidRPr="00C15625">
        <w:rPr>
          <w:rFonts w:ascii="Arial" w:hAnsi="Arial" w:cs="Arial"/>
        </w:rPr>
        <w:t>Lotka</w:t>
      </w:r>
      <w:proofErr w:type="spellEnd"/>
      <w:r w:rsidRPr="00C15625">
        <w:rPr>
          <w:rFonts w:ascii="Arial" w:hAnsi="Arial" w:cs="Arial"/>
        </w:rPr>
        <w:t xml:space="preserve"> equation:</w:t>
      </w:r>
    </w:p>
    <w:p w14:paraId="3CC1438A" w14:textId="77777777"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1=</m:t>
        </m:r>
        <m:nary>
          <m:naryPr>
            <m:chr m:val="∑"/>
            <m:limLoc m:val="undOvr"/>
            <m:supHide m:val="1"/>
            <m:ctrlPr>
              <w:rPr>
                <w:rFonts w:ascii="Cambria Math" w:hAnsi="Cambria Math" w:cs="Arial"/>
                <w:i/>
              </w:rPr>
            </m:ctrlPr>
          </m:naryPr>
          <m:sub>
            <m:r>
              <w:rPr>
                <w:rFonts w:ascii="Cambria Math" w:hAnsi="Cambria Math" w:cs="Arial"/>
              </w:rPr>
              <m:t>t</m:t>
            </m:r>
          </m:sub>
          <m:sup/>
          <m:e>
            <m:r>
              <m:rPr>
                <m:sty m:val="p"/>
              </m:rPr>
              <w:rPr>
                <w:rFonts w:ascii="Cambria Math" w:hAnsi="Cambria Math" w:cs="Arial"/>
              </w:rPr>
              <m:t xml:space="preserve"> exp</m:t>
            </m:r>
            <m:d>
              <m:dPr>
                <m:ctrlPr>
                  <w:rPr>
                    <w:rFonts w:ascii="Cambria Math" w:hAnsi="Cambria Math" w:cs="Arial"/>
                    <w:i/>
                  </w:rPr>
                </m:ctrlPr>
              </m:dPr>
              <m:e>
                <m:r>
                  <w:rPr>
                    <w:rFonts w:ascii="Cambria Math" w:hAnsi="Cambria Math" w:cs="Arial"/>
                  </w:rPr>
                  <m:t>-rt</m:t>
                </m:r>
              </m:e>
            </m:d>
          </m:e>
        </m:nary>
        <m:sSub>
          <m:sSubPr>
            <m:ctrlPr>
              <w:rPr>
                <w:rFonts w:ascii="Cambria Math" w:hAnsi="Cambria Math" w:cs="Arial"/>
                <w:i/>
              </w:rPr>
            </m:ctrlPr>
          </m:sSubPr>
          <m:e>
            <m:r>
              <w:rPr>
                <w:rFonts w:ascii="Cambria Math" w:hAnsi="Cambria Math" w:cs="Arial"/>
              </w:rPr>
              <m:t>l</m:t>
            </m:r>
          </m:e>
          <m:sub>
            <m:r>
              <w:rPr>
                <w:rFonts w:ascii="Cambria Math" w:hAnsi="Cambria Math" w:cs="Arial"/>
              </w:rPr>
              <m:t>t</m:t>
            </m:r>
          </m:sub>
        </m:sSub>
        <m:sSub>
          <m:sSubPr>
            <m:ctrlPr>
              <w:rPr>
                <w:rFonts w:ascii="Cambria Math" w:hAnsi="Cambria Math" w:cs="Arial"/>
                <w:i/>
              </w:rPr>
            </m:ctrlPr>
          </m:sSubPr>
          <m:e>
            <m:r>
              <w:rPr>
                <w:rFonts w:ascii="Cambria Math" w:hAnsi="Cambria Math" w:cs="Arial"/>
              </w:rPr>
              <m:t>F</m:t>
            </m:r>
          </m:e>
          <m:sub>
            <m:r>
              <w:rPr>
                <w:rFonts w:ascii="Cambria Math" w:hAnsi="Cambria Math" w:cs="Arial"/>
              </w:rPr>
              <m:t>t</m:t>
            </m:r>
          </m:sub>
        </m:sSub>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S7</w:t>
      </w:r>
    </w:p>
    <w:p w14:paraId="5D48DF45"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Here, </w:t>
      </w:r>
      <w:proofErr w:type="spellStart"/>
      <w:r w:rsidRPr="00C15625">
        <w:rPr>
          <w:rFonts w:ascii="Arial" w:hAnsi="Arial" w:cs="Arial"/>
          <w:i/>
        </w:rPr>
        <w:t>l</w:t>
      </w:r>
      <w:r w:rsidRPr="00C15625">
        <w:rPr>
          <w:rFonts w:ascii="Arial" w:hAnsi="Arial" w:cs="Arial"/>
          <w:i/>
          <w:vertAlign w:val="subscript"/>
        </w:rPr>
        <w:t>t</w:t>
      </w:r>
      <w:proofErr w:type="spellEnd"/>
      <w:r w:rsidRPr="00C15625">
        <w:rPr>
          <w:rFonts w:ascii="Arial" w:hAnsi="Arial" w:cs="Arial"/>
        </w:rPr>
        <w:t xml:space="preserve"> is the proportion of animals surviving to day </w:t>
      </w:r>
      <w:r w:rsidRPr="00C15625">
        <w:rPr>
          <w:rFonts w:ascii="Arial" w:hAnsi="Arial" w:cs="Arial"/>
          <w:i/>
        </w:rPr>
        <w:t>t</w:t>
      </w:r>
      <w:r w:rsidRPr="00C15625">
        <w:rPr>
          <w:rFonts w:ascii="Arial" w:hAnsi="Arial" w:cs="Arial"/>
        </w:rPr>
        <w:t xml:space="preserve"> and </w:t>
      </w:r>
      <w:r w:rsidRPr="00C15625">
        <w:rPr>
          <w:rFonts w:ascii="Arial" w:hAnsi="Arial" w:cs="Arial"/>
          <w:i/>
        </w:rPr>
        <w:t>F</w:t>
      </w:r>
      <w:r w:rsidRPr="00C15625">
        <w:rPr>
          <w:rFonts w:ascii="Arial" w:hAnsi="Arial" w:cs="Arial"/>
          <w:i/>
          <w:vertAlign w:val="subscript"/>
        </w:rPr>
        <w:t>t</w:t>
      </w:r>
      <w:r w:rsidRPr="00C15625">
        <w:rPr>
          <w:rFonts w:ascii="Arial" w:hAnsi="Arial" w:cs="Arial"/>
        </w:rPr>
        <w:t xml:space="preserve"> is the average fecundity on day </w:t>
      </w:r>
      <w:r w:rsidRPr="00C15625">
        <w:rPr>
          <w:rFonts w:ascii="Arial" w:hAnsi="Arial" w:cs="Arial"/>
          <w:i/>
        </w:rPr>
        <w:t>t</w:t>
      </w:r>
      <w:r w:rsidRPr="00C15625">
        <w:rPr>
          <w:rFonts w:ascii="Arial" w:hAnsi="Arial" w:cs="Arial"/>
        </w:rPr>
        <w:t>.  We estimated death rate (</w:t>
      </w:r>
      <w:r w:rsidRPr="00C15625">
        <w:rPr>
          <w:rFonts w:ascii="Arial" w:hAnsi="Arial" w:cs="Arial"/>
          <w:i/>
        </w:rPr>
        <w:t>d</w:t>
      </w:r>
      <w:r w:rsidRPr="00C15625">
        <w:rPr>
          <w:rFonts w:ascii="Arial" w:hAnsi="Arial" w:cs="Arial"/>
        </w:rPr>
        <w:t xml:space="preserve">) by assuming that time until death followed an exponential </w:t>
      </w:r>
      <w:r w:rsidRPr="00C15625">
        <w:rPr>
          <w:rFonts w:ascii="Arial" w:hAnsi="Arial" w:cs="Arial"/>
        </w:rPr>
        <w:lastRenderedPageBreak/>
        <w:t>distribution.  This distribution provides the likelihood (</w:t>
      </w:r>
      <w:r w:rsidRPr="00C15625">
        <w:rPr>
          <w:rFonts w:ascii="Cambria Math" w:hAnsi="Cambria Math" w:cs="Arial"/>
        </w:rPr>
        <w:t>𝓁</w:t>
      </w:r>
      <w:r w:rsidRPr="00C15625">
        <w:rPr>
          <w:rFonts w:ascii="Arial" w:hAnsi="Arial" w:cs="Arial"/>
        </w:rPr>
        <w:t>) of constant death rate (</w:t>
      </w:r>
      <w:r w:rsidRPr="00C15625">
        <w:rPr>
          <w:rFonts w:ascii="Arial" w:hAnsi="Arial" w:cs="Arial"/>
          <w:i/>
        </w:rPr>
        <w:t>d</w:t>
      </w:r>
      <w:r w:rsidRPr="00C15625">
        <w:rPr>
          <w:rFonts w:ascii="Arial" w:hAnsi="Arial" w:cs="Arial"/>
        </w:rPr>
        <w:t>) given the time-until-death data for each host (</w:t>
      </w:r>
      <w:r w:rsidRPr="00C15625">
        <w:rPr>
          <w:rFonts w:ascii="Arial" w:hAnsi="Arial" w:cs="Arial"/>
          <w:i/>
        </w:rPr>
        <w:t>t</w:t>
      </w:r>
      <w:r w:rsidRPr="00C15625">
        <w:rPr>
          <w:rFonts w:ascii="Arial" w:hAnsi="Arial" w:cs="Arial"/>
          <w:i/>
          <w:vertAlign w:val="subscript"/>
        </w:rPr>
        <w:t>d</w:t>
      </w:r>
      <w:r w:rsidRPr="00C15625">
        <w:rPr>
          <w:rFonts w:ascii="Arial" w:hAnsi="Arial" w:cs="Arial"/>
        </w:rPr>
        <w:t>):</w:t>
      </w:r>
    </w:p>
    <w:p w14:paraId="4FAA479C"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               </w:t>
      </w:r>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d</m:t>
                </m:r>
              </m:sub>
            </m:sSub>
          </m:e>
        </m:d>
        <m:r>
          <w:rPr>
            <w:rFonts w:ascii="Cambria Math" w:hAnsi="Cambria Math" w:cs="Arial"/>
          </w:rPr>
          <m:t xml:space="preserve">=d </m:t>
        </m:r>
        <m:r>
          <m:rPr>
            <m:sty m:val="p"/>
          </m:rPr>
          <w:rPr>
            <w:rFonts w:ascii="Cambria Math" w:hAnsi="Cambria Math" w:cs="Arial"/>
          </w:rPr>
          <m:t>exp</m:t>
        </m:r>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d</m:t>
            </m:r>
          </m:sub>
        </m:sSub>
        <m:r>
          <w:rPr>
            <w:rFonts w:ascii="Cambria Math" w:hAnsi="Cambria Math" w:cs="Arial"/>
          </w:rPr>
          <m:t>)</m:t>
        </m:r>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S8</w:t>
      </w:r>
    </w:p>
    <w:p w14:paraId="528A1AF1"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Since not all hosts died by the end of the experiment, we included the “censored” observations using the likelihood that the animal survived at least to the end of the experiment, </w:t>
      </w:r>
      <w:proofErr w:type="spellStart"/>
      <w:r w:rsidRPr="00C15625">
        <w:rPr>
          <w:rFonts w:ascii="Arial" w:hAnsi="Arial" w:cs="Arial"/>
          <w:i/>
        </w:rPr>
        <w:t>t</w:t>
      </w:r>
      <w:r w:rsidRPr="00C15625">
        <w:rPr>
          <w:rFonts w:ascii="Arial" w:hAnsi="Arial" w:cs="Arial"/>
          <w:i/>
          <w:vertAlign w:val="subscript"/>
        </w:rPr>
        <w:t>e</w:t>
      </w:r>
      <w:proofErr w:type="spellEnd"/>
      <w:r w:rsidRPr="00C15625">
        <w:rPr>
          <w:rFonts w:ascii="Arial" w:hAnsi="Arial" w:cs="Arial"/>
        </w:rPr>
        <w:t xml:space="preserve"> = 23 days:</w:t>
      </w:r>
    </w:p>
    <w:p w14:paraId="17385F47"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               </w:t>
      </w:r>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d</m:t>
                </m:r>
              </m:sub>
            </m:sSub>
            <m:r>
              <w:rPr>
                <w:rFonts w:ascii="Cambria Math" w:hAnsi="Cambria Math" w:cs="Arial"/>
              </w:rPr>
              <m:t>&gt;</m:t>
            </m:r>
            <m:sSub>
              <m:sSubPr>
                <m:ctrlPr>
                  <w:rPr>
                    <w:rFonts w:ascii="Cambria Math" w:hAnsi="Cambria Math" w:cs="Arial"/>
                    <w:i/>
                  </w:rPr>
                </m:ctrlPr>
              </m:sSubPr>
              <m:e>
                <m:r>
                  <w:rPr>
                    <w:rFonts w:ascii="Cambria Math" w:hAnsi="Cambria Math" w:cs="Arial"/>
                  </w:rPr>
                  <m:t>t</m:t>
                </m:r>
              </m:e>
              <m:sub>
                <m:r>
                  <w:rPr>
                    <w:rFonts w:ascii="Cambria Math" w:hAnsi="Cambria Math" w:cs="Arial"/>
                  </w:rPr>
                  <m:t>e</m:t>
                </m:r>
              </m:sub>
            </m:sSub>
          </m:e>
        </m:d>
        <m:r>
          <w:rPr>
            <w:rFonts w:ascii="Cambria Math" w:hAnsi="Cambria Math" w:cs="Arial"/>
          </w:rPr>
          <m:t>=</m:t>
        </m:r>
        <m:r>
          <m:rPr>
            <m:sty m:val="p"/>
          </m:rPr>
          <w:rPr>
            <w:rFonts w:ascii="Cambria Math" w:hAnsi="Cambria Math" w:cs="Arial"/>
          </w:rPr>
          <m:t>exp</m:t>
        </m:r>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e</m:t>
            </m:r>
          </m:sub>
        </m:sSub>
        <m:r>
          <w:rPr>
            <w:rFonts w:ascii="Cambria Math" w:hAnsi="Cambria Math" w:cs="Arial"/>
          </w:rPr>
          <m:t>)</m:t>
        </m:r>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S9</w:t>
      </w:r>
    </w:p>
    <w:p w14:paraId="68ABE475"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We found the maximum likelihood estimate of </w:t>
      </w:r>
      <w:r w:rsidRPr="00C15625">
        <w:rPr>
          <w:rFonts w:ascii="Arial" w:hAnsi="Arial" w:cs="Arial"/>
          <w:i/>
        </w:rPr>
        <w:t>d</w:t>
      </w:r>
      <w:r w:rsidRPr="00C15625">
        <w:rPr>
          <w:rFonts w:ascii="Arial" w:hAnsi="Arial" w:cs="Arial"/>
        </w:rPr>
        <w:t xml:space="preserve"> by minimizing the sum of these negative log-transformed likelihoods (</w:t>
      </w:r>
      <w:proofErr w:type="spellStart"/>
      <w:r w:rsidRPr="00C15625">
        <w:rPr>
          <w:rFonts w:ascii="Arial" w:hAnsi="Arial" w:cs="Arial"/>
        </w:rPr>
        <w:t>eqs</w:t>
      </w:r>
      <w:proofErr w:type="spellEnd"/>
      <w:r w:rsidRPr="00C15625">
        <w:rPr>
          <w:rFonts w:ascii="Arial" w:hAnsi="Arial" w:cs="Arial"/>
        </w:rPr>
        <w:t xml:space="preserve">. 8 and 9).  With our </w:t>
      </w:r>
      <w:r w:rsidRPr="00C15625">
        <w:rPr>
          <w:rFonts w:ascii="Arial" w:hAnsi="Arial" w:cs="Arial"/>
          <w:i/>
        </w:rPr>
        <w:t>r</w:t>
      </w:r>
      <w:r w:rsidRPr="00C15625">
        <w:rPr>
          <w:rFonts w:ascii="Arial" w:hAnsi="Arial" w:cs="Arial"/>
        </w:rPr>
        <w:t xml:space="preserve"> and </w:t>
      </w:r>
      <w:r w:rsidRPr="00C15625">
        <w:rPr>
          <w:rFonts w:ascii="Arial" w:hAnsi="Arial" w:cs="Arial"/>
          <w:i/>
        </w:rPr>
        <w:t>d</w:t>
      </w:r>
      <w:r w:rsidRPr="00C15625">
        <w:rPr>
          <w:rFonts w:ascii="Arial" w:hAnsi="Arial" w:cs="Arial"/>
        </w:rPr>
        <w:t xml:space="preserve"> estimates, we bootstrapped 95% confidence intervals for genotype-specific birth rates.  Then, with estimates of </w:t>
      </w:r>
      <w:r w:rsidRPr="00C15625">
        <w:rPr>
          <w:rFonts w:ascii="Arial" w:hAnsi="Arial" w:cs="Arial"/>
          <w:i/>
        </w:rPr>
        <w:t>f</w:t>
      </w:r>
      <w:r w:rsidRPr="00C15625">
        <w:rPr>
          <w:rFonts w:ascii="Arial" w:hAnsi="Arial" w:cs="Arial"/>
        </w:rPr>
        <w:t xml:space="preserve">, </w:t>
      </w:r>
      <w:r w:rsidRPr="00C15625">
        <w:rPr>
          <w:rFonts w:ascii="Arial" w:hAnsi="Arial" w:cs="Arial"/>
          <w:i/>
        </w:rPr>
        <w:t>R</w:t>
      </w:r>
      <w:r w:rsidRPr="00C15625">
        <w:rPr>
          <w:rFonts w:ascii="Arial" w:hAnsi="Arial" w:cs="Arial"/>
        </w:rPr>
        <w:t xml:space="preserve">, and </w:t>
      </w:r>
      <w:r w:rsidRPr="00C15625">
        <w:rPr>
          <w:rFonts w:ascii="Arial" w:hAnsi="Arial" w:cs="Arial"/>
          <w:i/>
        </w:rPr>
        <w:t>b</w:t>
      </w:r>
      <w:r w:rsidRPr="00C15625">
        <w:rPr>
          <w:rFonts w:ascii="Arial" w:hAnsi="Arial" w:cs="Arial"/>
        </w:rPr>
        <w:t xml:space="preserve">, we calculated </w:t>
      </w:r>
      <w:r w:rsidRPr="00C15625">
        <w:rPr>
          <w:rFonts w:ascii="Arial" w:hAnsi="Arial" w:cs="Arial"/>
          <w:i/>
        </w:rPr>
        <w:t>e</w:t>
      </w:r>
      <w:r w:rsidRPr="00C15625">
        <w:rPr>
          <w:rFonts w:ascii="Arial" w:hAnsi="Arial" w:cs="Arial"/>
        </w:rPr>
        <w:t xml:space="preserve"> and bootstrapped confidence intervals around it.</w:t>
      </w:r>
    </w:p>
    <w:p w14:paraId="25684927" w14:textId="77777777" w:rsidR="00707A50" w:rsidRPr="00C15625" w:rsidRDefault="00707A50" w:rsidP="00941F90">
      <w:pPr>
        <w:pStyle w:val="NoSpacing"/>
        <w:spacing w:line="480" w:lineRule="auto"/>
        <w:rPr>
          <w:rFonts w:ascii="Arial" w:hAnsi="Arial" w:cs="Arial"/>
        </w:rPr>
      </w:pPr>
      <w:r w:rsidRPr="00C15625">
        <w:rPr>
          <w:rFonts w:ascii="Arial" w:hAnsi="Arial" w:cs="Arial"/>
          <w:b/>
          <w:i/>
        </w:rPr>
        <w:tab/>
        <w:t xml:space="preserve">Parameter estimation (v): </w:t>
      </w:r>
      <w:r w:rsidRPr="00C15625">
        <w:rPr>
          <w:rFonts w:ascii="Arial" w:hAnsi="Arial" w:cs="Arial"/>
        </w:rPr>
        <w:t>We estimated virulence (</w:t>
      </w:r>
      <w:r w:rsidRPr="00C15625">
        <w:rPr>
          <w:rFonts w:ascii="Arial" w:hAnsi="Arial" w:cs="Arial"/>
          <w:i/>
        </w:rPr>
        <w:t>v</w:t>
      </w:r>
      <w:r w:rsidRPr="00C15625">
        <w:rPr>
          <w:rFonts w:ascii="Arial" w:hAnsi="Arial" w:cs="Arial"/>
        </w:rPr>
        <w:t>) as the difference in death rate between infected and uninfected hosts from the life table experiment.  We estimated background death rate (</w:t>
      </w:r>
      <w:r w:rsidRPr="00C15625">
        <w:rPr>
          <w:rFonts w:ascii="Arial" w:hAnsi="Arial" w:cs="Arial"/>
          <w:i/>
        </w:rPr>
        <w:t>d</w:t>
      </w:r>
      <w:r w:rsidRPr="00C15625">
        <w:rPr>
          <w:rFonts w:ascii="Arial" w:hAnsi="Arial" w:cs="Arial"/>
        </w:rPr>
        <w:t>) of uninfected hosts as described above (</w:t>
      </w:r>
      <w:proofErr w:type="spellStart"/>
      <w:r w:rsidRPr="00C15625">
        <w:rPr>
          <w:rFonts w:ascii="Arial" w:hAnsi="Arial" w:cs="Arial"/>
        </w:rPr>
        <w:t>eqs</w:t>
      </w:r>
      <w:proofErr w:type="spellEnd"/>
      <w:r w:rsidRPr="00C15625">
        <w:rPr>
          <w:rFonts w:ascii="Arial" w:hAnsi="Arial" w:cs="Arial"/>
        </w:rPr>
        <w:t>. 8 and 9).  We calculated overall death rate of infected hosts (</w:t>
      </w:r>
      <w:r w:rsidRPr="00C15625">
        <w:rPr>
          <w:rFonts w:ascii="Arial" w:hAnsi="Arial" w:cs="Arial"/>
          <w:i/>
        </w:rPr>
        <w:t>d + v</w:t>
      </w:r>
      <w:r w:rsidRPr="00C15625">
        <w:rPr>
          <w:rFonts w:ascii="Arial" w:hAnsi="Arial" w:cs="Arial"/>
        </w:rPr>
        <w:t>) using the same equations.  Then we calculated virulence (</w:t>
      </w:r>
      <w:r w:rsidRPr="00C15625">
        <w:rPr>
          <w:rFonts w:ascii="Arial" w:hAnsi="Arial" w:cs="Arial"/>
          <w:i/>
        </w:rPr>
        <w:t>v</w:t>
      </w:r>
      <w:r w:rsidRPr="00C15625">
        <w:rPr>
          <w:rFonts w:ascii="Arial" w:hAnsi="Arial" w:cs="Arial"/>
        </w:rPr>
        <w:t xml:space="preserve">) as the difference and bootstrapped confidence intervals around it (Fig. S1).  </w:t>
      </w:r>
    </w:p>
    <w:p w14:paraId="2CCB1F2E" w14:textId="77777777" w:rsidR="00707A50" w:rsidRPr="00C15625" w:rsidRDefault="00707A50" w:rsidP="00941F90">
      <w:pPr>
        <w:pStyle w:val="NoSpacing"/>
        <w:spacing w:line="480" w:lineRule="auto"/>
        <w:ind w:firstLine="720"/>
        <w:rPr>
          <w:rFonts w:ascii="Arial" w:hAnsi="Arial" w:cs="Arial"/>
        </w:rPr>
      </w:pPr>
      <w:r w:rsidRPr="00C15625">
        <w:rPr>
          <w:rFonts w:ascii="Arial" w:hAnsi="Arial" w:cs="Arial"/>
          <w:b/>
          <w:i/>
        </w:rPr>
        <w:t xml:space="preserve">Parameter estimation (d): </w:t>
      </w:r>
      <w:r w:rsidRPr="00C15625">
        <w:rPr>
          <w:rFonts w:ascii="Arial" w:hAnsi="Arial" w:cs="Arial"/>
        </w:rPr>
        <w:t xml:space="preserve">Although estimating virulence and birth rate required estimating background death rate, </w:t>
      </w:r>
      <w:r w:rsidRPr="00C15625">
        <w:rPr>
          <w:rFonts w:ascii="Arial" w:hAnsi="Arial" w:cs="Arial"/>
          <w:i/>
        </w:rPr>
        <w:t>d</w:t>
      </w:r>
      <w:r w:rsidRPr="00C15625">
        <w:rPr>
          <w:rFonts w:ascii="Arial" w:hAnsi="Arial" w:cs="Arial"/>
        </w:rPr>
        <w:t xml:space="preserve">, our life table experiment was not designed to provide precise and accurate estimates for </w:t>
      </w:r>
      <w:r w:rsidRPr="00C15625">
        <w:rPr>
          <w:rFonts w:ascii="Arial" w:hAnsi="Arial" w:cs="Arial"/>
          <w:i/>
        </w:rPr>
        <w:t>d</w:t>
      </w:r>
      <w:r w:rsidRPr="00C15625">
        <w:rPr>
          <w:rFonts w:ascii="Arial" w:hAnsi="Arial" w:cs="Arial"/>
        </w:rPr>
        <w:t xml:space="preserve">.  We would need a longer experiment that would allow more uninfected hosts to die naturally.  As such, our current parameters likely underestimate </w:t>
      </w:r>
      <w:r w:rsidRPr="00C15625">
        <w:rPr>
          <w:rFonts w:ascii="Arial" w:hAnsi="Arial" w:cs="Arial"/>
          <w:i/>
        </w:rPr>
        <w:t>d</w:t>
      </w:r>
      <w:r w:rsidRPr="00C15625">
        <w:rPr>
          <w:rFonts w:ascii="Arial" w:hAnsi="Arial" w:cs="Arial"/>
        </w:rPr>
        <w:t xml:space="preserve">.  Because of this uncertainty in </w:t>
      </w:r>
      <w:r w:rsidRPr="00C15625">
        <w:rPr>
          <w:rFonts w:ascii="Arial" w:hAnsi="Arial" w:cs="Arial"/>
          <w:i/>
        </w:rPr>
        <w:t>d</w:t>
      </w:r>
      <w:r w:rsidRPr="00C15625">
        <w:rPr>
          <w:rFonts w:ascii="Arial" w:hAnsi="Arial" w:cs="Arial"/>
        </w:rPr>
        <w:t xml:space="preserve">, we use a reasonable estimate (0.05 </w:t>
      </w:r>
      <w:proofErr w:type="gramStart"/>
      <w:r w:rsidRPr="00C15625">
        <w:rPr>
          <w:rFonts w:ascii="Arial" w:hAnsi="Arial" w:cs="Arial"/>
        </w:rPr>
        <w:t>day</w:t>
      </w:r>
      <w:r w:rsidRPr="00C15625">
        <w:rPr>
          <w:rFonts w:ascii="Arial" w:hAnsi="Arial" w:cs="Arial"/>
          <w:vertAlign w:val="superscript"/>
        </w:rPr>
        <w:t>-1</w:t>
      </w:r>
      <w:proofErr w:type="gramEnd"/>
      <w:r w:rsidRPr="00C15625">
        <w:rPr>
          <w:rFonts w:ascii="Arial" w:hAnsi="Arial" w:cs="Arial"/>
        </w:rPr>
        <w:t xml:space="preserve">) in all of our simulations (Hite </w:t>
      </w:r>
      <w:r w:rsidRPr="00C15625">
        <w:rPr>
          <w:rFonts w:ascii="Arial" w:hAnsi="Arial" w:cs="Arial"/>
          <w:i/>
        </w:rPr>
        <w:t>et al.</w:t>
      </w:r>
      <w:r w:rsidRPr="00C15625">
        <w:rPr>
          <w:rFonts w:ascii="Arial" w:hAnsi="Arial" w:cs="Arial"/>
        </w:rPr>
        <w:t xml:space="preserve"> unpublished manuscript).  Thus, variation in other traits (with better estimates) drives qualitative differences in synthetic indices and simulations.</w:t>
      </w:r>
    </w:p>
    <w:p w14:paraId="07780287" w14:textId="77777777" w:rsidR="00707A50" w:rsidRPr="00C15625" w:rsidRDefault="00707A50" w:rsidP="00941F90">
      <w:pPr>
        <w:pStyle w:val="NoSpacing"/>
        <w:spacing w:line="480" w:lineRule="auto"/>
        <w:rPr>
          <w:rFonts w:ascii="Arial" w:hAnsi="Arial" w:cs="Arial"/>
        </w:rPr>
      </w:pPr>
    </w:p>
    <w:p w14:paraId="2205AE37" w14:textId="77777777" w:rsidR="00707A50" w:rsidRPr="00C15625" w:rsidRDefault="00707A50" w:rsidP="00941F90">
      <w:pPr>
        <w:pStyle w:val="NoSpacing"/>
        <w:spacing w:line="480" w:lineRule="auto"/>
        <w:rPr>
          <w:rFonts w:ascii="Arial" w:hAnsi="Arial" w:cs="Arial"/>
          <w:b/>
        </w:rPr>
      </w:pPr>
    </w:p>
    <w:p w14:paraId="4EF93E29" w14:textId="77777777" w:rsidR="00707A50" w:rsidRPr="00C15625" w:rsidRDefault="00707A50" w:rsidP="00941F90">
      <w:pPr>
        <w:pStyle w:val="NoSpacing"/>
        <w:spacing w:line="480" w:lineRule="auto"/>
        <w:rPr>
          <w:rFonts w:ascii="Arial" w:hAnsi="Arial" w:cs="Arial"/>
          <w:b/>
        </w:rPr>
      </w:pPr>
    </w:p>
    <w:p w14:paraId="4AD27DFD" w14:textId="77777777" w:rsidR="00707A50" w:rsidRPr="00C15625" w:rsidRDefault="00707A50" w:rsidP="00941F90">
      <w:pPr>
        <w:pStyle w:val="NoSpacing"/>
        <w:spacing w:line="480" w:lineRule="auto"/>
        <w:rPr>
          <w:rFonts w:ascii="Arial" w:hAnsi="Arial" w:cs="Arial"/>
          <w:b/>
        </w:rPr>
      </w:pPr>
      <w:r w:rsidRPr="00C15625">
        <w:rPr>
          <w:rFonts w:ascii="Arial" w:hAnsi="Arial" w:cs="Arial"/>
          <w:b/>
        </w:rPr>
        <w:lastRenderedPageBreak/>
        <w:t>Estimation of spore yield (</w:t>
      </w:r>
      <w:r w:rsidRPr="00C15625">
        <w:rPr>
          <w:rFonts w:ascii="Arial" w:hAnsi="Arial" w:cs="Arial"/>
          <w:b/>
          <w:i/>
        </w:rPr>
        <w:t>σ</w:t>
      </w:r>
      <w:r w:rsidRPr="00C15625">
        <w:rPr>
          <w:rFonts w:ascii="Arial" w:hAnsi="Arial" w:cs="Arial"/>
          <w:b/>
        </w:rPr>
        <w:t>) as a function of resources (</w:t>
      </w:r>
      <w:r w:rsidRPr="00C15625">
        <w:rPr>
          <w:rFonts w:ascii="Arial" w:hAnsi="Arial" w:cs="Arial"/>
          <w:b/>
          <w:i/>
        </w:rPr>
        <w:t>R</w:t>
      </w:r>
      <w:r w:rsidRPr="00C15625">
        <w:rPr>
          <w:rFonts w:ascii="Arial" w:hAnsi="Arial" w:cs="Arial"/>
          <w:b/>
        </w:rPr>
        <w:t>)</w:t>
      </w:r>
    </w:p>
    <w:p w14:paraId="08383D9D" w14:textId="77777777" w:rsidR="00707A50" w:rsidRPr="00C15625" w:rsidRDefault="00707A50" w:rsidP="00941F90">
      <w:pPr>
        <w:pStyle w:val="NoSpacing"/>
        <w:spacing w:line="480" w:lineRule="auto"/>
        <w:rPr>
          <w:rFonts w:ascii="Arial" w:hAnsi="Arial" w:cs="Arial"/>
        </w:rPr>
      </w:pPr>
      <w:r w:rsidRPr="00C15625">
        <w:rPr>
          <w:rFonts w:ascii="Arial" w:hAnsi="Arial" w:cs="Arial"/>
          <w:b/>
        </w:rPr>
        <w:tab/>
      </w:r>
      <w:r w:rsidRPr="00C15625">
        <w:rPr>
          <w:rFonts w:ascii="Arial" w:hAnsi="Arial" w:cs="Arial"/>
        </w:rPr>
        <w:t>Although spore yield (</w:t>
      </w:r>
      <w:r w:rsidRPr="00C15625">
        <w:rPr>
          <w:rFonts w:ascii="Arial" w:hAnsi="Arial" w:cs="Arial"/>
          <w:i/>
        </w:rPr>
        <w:t>σ</w:t>
      </w:r>
      <w:r w:rsidRPr="00C15625">
        <w:rPr>
          <w:rFonts w:ascii="Arial" w:hAnsi="Arial" w:cs="Arial"/>
        </w:rPr>
        <w:t>) increases with resources (</w:t>
      </w:r>
      <w:r w:rsidRPr="00C15625">
        <w:rPr>
          <w:rFonts w:ascii="Arial" w:hAnsi="Arial" w:cs="Arial"/>
          <w:i/>
        </w:rPr>
        <w:t>R</w:t>
      </w:r>
      <w:r w:rsidRPr="00C15625">
        <w:rPr>
          <w:rFonts w:ascii="Arial" w:hAnsi="Arial" w:cs="Arial"/>
        </w:rPr>
        <w:t xml:space="preserve">), we only measured spore yield at one resource level (using dead infected hosts from the life table experiment).  We ground these hosts with an automatic pestle, counted their spores with a </w:t>
      </w:r>
      <w:proofErr w:type="spellStart"/>
      <w:r w:rsidRPr="00C15625">
        <w:rPr>
          <w:rFonts w:ascii="Arial" w:hAnsi="Arial" w:cs="Arial"/>
        </w:rPr>
        <w:t>haemocytometer</w:t>
      </w:r>
      <w:proofErr w:type="spellEnd"/>
      <w:r w:rsidRPr="00C15625">
        <w:rPr>
          <w:rFonts w:ascii="Arial" w:hAnsi="Arial" w:cs="Arial"/>
        </w:rPr>
        <w:t xml:space="preserve">, and bootstrapped 95% confidence intervals for genotype-specific spore yields (Fig. 1 A).  Then, we fit a function to pre-existing data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2009)</w:t>
      </w:r>
      <w:r w:rsidRPr="00C15625">
        <w:rPr>
          <w:rFonts w:ascii="Arial" w:hAnsi="Arial" w:cs="Arial"/>
        </w:rPr>
        <w:t xml:space="preserve"> to describe how spore yield increases with resources in our model (Box 1):</w:t>
      </w:r>
    </w:p>
    <w:p w14:paraId="70A05652" w14:textId="77777777" w:rsidR="00707A50" w:rsidRPr="00C15625" w:rsidRDefault="00707A50" w:rsidP="00941F90">
      <w:pPr>
        <w:pStyle w:val="NoSpacing"/>
        <w:spacing w:line="480" w:lineRule="auto"/>
        <w:rPr>
          <w:rFonts w:ascii="Arial" w:hAnsi="Arial" w:cs="Arial"/>
        </w:rPr>
      </w:pPr>
      <m:oMath>
        <m:r>
          <w:rPr>
            <w:rFonts w:ascii="Cambria Math" w:hAnsi="Cambria Math" w:cs="Arial"/>
          </w:rPr>
          <m:t xml:space="preserve">                 σ</m:t>
        </m:r>
        <m:d>
          <m:dPr>
            <m:ctrlPr>
              <w:rPr>
                <w:rFonts w:ascii="Cambria Math" w:hAnsi="Cambria Math" w:cs="Arial"/>
                <w:i/>
              </w:rPr>
            </m:ctrlPr>
          </m:dPr>
          <m:e>
            <m:r>
              <w:rPr>
                <w:rFonts w:ascii="Cambria Math" w:hAnsi="Cambria Math" w:cs="Arial"/>
              </w:rPr>
              <m:t>R</m:t>
            </m:r>
          </m:e>
        </m:d>
        <m:r>
          <w:rPr>
            <w:rFonts w:ascii="Cambria Math" w:hAnsi="Cambria Math" w:cs="Arial"/>
          </w:rPr>
          <m:t>=</m:t>
        </m:r>
        <m:f>
          <m:fPr>
            <m:ctrlPr>
              <w:rPr>
                <w:rFonts w:ascii="Cambria Math" w:hAnsi="Cambria Math" w:cs="Arial"/>
                <w:i/>
              </w:rPr>
            </m:ctrlPr>
          </m:fPr>
          <m:num>
            <m:acc>
              <m:accPr>
                <m:ctrlPr>
                  <w:rPr>
                    <w:rFonts w:ascii="Cambria Math" w:hAnsi="Cambria Math" w:cs="Arial"/>
                    <w:i/>
                  </w:rPr>
                </m:ctrlPr>
              </m:accPr>
              <m:e>
                <m:r>
                  <w:rPr>
                    <w:rFonts w:ascii="Cambria Math" w:hAnsi="Cambria Math" w:cs="Arial"/>
                  </w:rPr>
                  <m:t xml:space="preserve"> σ</m:t>
                </m:r>
              </m:e>
            </m:acc>
            <m:r>
              <w:rPr>
                <w:rFonts w:ascii="Cambria Math" w:hAnsi="Cambria Math" w:cs="Arial"/>
              </w:rPr>
              <m:t>R</m:t>
            </m:r>
          </m:num>
          <m:den>
            <m:r>
              <w:rPr>
                <w:rFonts w:ascii="Cambria Math" w:hAnsi="Cambria Math" w:cs="Arial"/>
              </w:rPr>
              <m:t>h+R</m:t>
            </m:r>
          </m:den>
        </m:f>
      </m:oMath>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S10</w:t>
      </w:r>
    </w:p>
    <w:p w14:paraId="521C8106"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Here, </w:t>
      </w:r>
      <w:r w:rsidRPr="00C15625">
        <w:rPr>
          <w:rFonts w:ascii="Arial" w:hAnsi="Arial" w:cs="Arial"/>
          <w:i/>
        </w:rPr>
        <w:t>h</w:t>
      </w:r>
      <w:r w:rsidRPr="00C15625">
        <w:rPr>
          <w:rFonts w:ascii="Arial" w:hAnsi="Arial" w:cs="Arial"/>
        </w:rPr>
        <w:t xml:space="preserve"> is the half saturation constant of spores growing within a host, </w:t>
      </w:r>
      <w:r w:rsidRPr="00C15625">
        <w:rPr>
          <w:rFonts w:ascii="Arial" w:hAnsi="Arial" w:cs="Arial"/>
          <w:i/>
        </w:rPr>
        <w:t xml:space="preserve">R </w:t>
      </w:r>
      <w:r w:rsidRPr="00C15625">
        <w:rPr>
          <w:rFonts w:ascii="Arial" w:hAnsi="Arial" w:cs="Arial"/>
        </w:rPr>
        <w:t>is the current concentration of resources (µg L</w:t>
      </w:r>
      <w:r w:rsidRPr="00C15625">
        <w:rPr>
          <w:rFonts w:ascii="Arial" w:hAnsi="Arial" w:cs="Arial"/>
          <w:vertAlign w:val="superscript"/>
        </w:rPr>
        <w:t>-1</w:t>
      </w:r>
      <w:r w:rsidRPr="00C15625">
        <w:rPr>
          <w:rFonts w:ascii="Arial" w:hAnsi="Arial" w:cs="Arial"/>
        </w:rPr>
        <w:t xml:space="preserve"> </w:t>
      </w:r>
      <w:proofErr w:type="spellStart"/>
      <w:r w:rsidRPr="00C15625">
        <w:rPr>
          <w:rFonts w:ascii="Arial" w:hAnsi="Arial" w:cs="Arial"/>
        </w:rPr>
        <w:t>chl</w:t>
      </w:r>
      <w:proofErr w:type="spellEnd"/>
      <w:r w:rsidRPr="00C15625">
        <w:rPr>
          <w:rFonts w:ascii="Arial" w:hAnsi="Arial" w:cs="Arial"/>
        </w:rPr>
        <w:t>-</w:t>
      </w:r>
      <w:r w:rsidRPr="00C15625">
        <w:rPr>
          <w:rFonts w:ascii="Arial" w:hAnsi="Arial" w:cs="Arial"/>
          <w:i/>
        </w:rPr>
        <w:t>a</w:t>
      </w:r>
      <w:r w:rsidRPr="00C15625">
        <w:rPr>
          <w:rFonts w:ascii="Arial" w:hAnsi="Arial" w:cs="Arial"/>
        </w:rPr>
        <w:t>), and</w:t>
      </w:r>
      <m:oMath>
        <m:r>
          <w:rPr>
            <w:rFonts w:ascii="Cambria Math" w:hAnsi="Cambria Math" w:cs="Arial"/>
          </w:rPr>
          <m:t xml:space="preserve"> </m:t>
        </m:r>
        <m:acc>
          <m:accPr>
            <m:ctrlPr>
              <w:rPr>
                <w:rFonts w:ascii="Cambria Math" w:hAnsi="Cambria Math" w:cs="Arial"/>
                <w:i/>
              </w:rPr>
            </m:ctrlPr>
          </m:accPr>
          <m:e>
            <m:r>
              <w:rPr>
                <w:rFonts w:ascii="Cambria Math" w:hAnsi="Cambria Math" w:cs="Arial"/>
              </w:rPr>
              <m:t xml:space="preserve"> σ</m:t>
            </m:r>
          </m:e>
        </m:acc>
      </m:oMath>
      <w:r w:rsidRPr="00C15625">
        <w:rPr>
          <w:rFonts w:ascii="Arial" w:hAnsi="Arial" w:cs="Arial"/>
        </w:rPr>
        <w:t xml:space="preserve"> is the maximum spore yield for a genotype.  The half saturation constant </w:t>
      </w:r>
      <w:r w:rsidRPr="00C15625">
        <w:rPr>
          <w:rFonts w:ascii="Arial" w:hAnsi="Arial" w:cs="Arial"/>
          <w:i/>
        </w:rPr>
        <w:t>h</w:t>
      </w:r>
      <w:r w:rsidRPr="00C15625">
        <w:rPr>
          <w:rFonts w:ascii="Arial" w:hAnsi="Arial" w:cs="Arial"/>
        </w:rPr>
        <w:t xml:space="preserve"> was fitted to a single host genotype with spore yields estimated at four resource concentrations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2009)</w:t>
      </w:r>
      <w:r w:rsidRPr="00C15625">
        <w:rPr>
          <w:rFonts w:ascii="Arial" w:hAnsi="Arial" w:cs="Arial"/>
        </w:rPr>
        <w:t xml:space="preserve"> (see Fig. S2 for data and confidence intervals).  Then, we converted the units of </w:t>
      </w:r>
      <w:r w:rsidRPr="00C15625">
        <w:rPr>
          <w:rFonts w:ascii="Arial" w:hAnsi="Arial" w:cs="Arial"/>
          <w:i/>
        </w:rPr>
        <w:t>h</w:t>
      </w:r>
      <w:r w:rsidRPr="00C15625">
        <w:rPr>
          <w:rFonts w:ascii="Arial" w:hAnsi="Arial" w:cs="Arial"/>
        </w:rPr>
        <w:t xml:space="preserve"> from mg L</w:t>
      </w:r>
      <w:r w:rsidRPr="00C15625">
        <w:rPr>
          <w:rFonts w:ascii="Arial" w:hAnsi="Arial" w:cs="Arial"/>
          <w:vertAlign w:val="superscript"/>
        </w:rPr>
        <w:t>-1</w:t>
      </w:r>
      <w:r w:rsidRPr="00C15625">
        <w:rPr>
          <w:rFonts w:ascii="Arial" w:hAnsi="Arial" w:cs="Arial"/>
        </w:rPr>
        <w:t xml:space="preserve"> dry weight to µg L</w:t>
      </w:r>
      <w:r w:rsidRPr="00C15625">
        <w:rPr>
          <w:rFonts w:ascii="Arial" w:hAnsi="Arial" w:cs="Arial"/>
          <w:vertAlign w:val="superscript"/>
        </w:rPr>
        <w:t>-1</w:t>
      </w:r>
      <w:r w:rsidRPr="00C15625">
        <w:rPr>
          <w:rFonts w:ascii="Arial" w:hAnsi="Arial" w:cs="Arial"/>
        </w:rPr>
        <w:t xml:space="preserve"> </w:t>
      </w:r>
      <w:proofErr w:type="spellStart"/>
      <w:r w:rsidRPr="00C15625">
        <w:rPr>
          <w:rFonts w:ascii="Arial" w:hAnsi="Arial" w:cs="Arial"/>
        </w:rPr>
        <w:t>chl</w:t>
      </w:r>
      <w:proofErr w:type="spellEnd"/>
      <w:r w:rsidRPr="00C15625">
        <w:rPr>
          <w:rFonts w:ascii="Arial" w:hAnsi="Arial" w:cs="Arial"/>
        </w:rPr>
        <w:t>-</w:t>
      </w:r>
      <w:r w:rsidRPr="00C15625">
        <w:rPr>
          <w:rFonts w:ascii="Arial" w:hAnsi="Arial" w:cs="Arial"/>
          <w:i/>
        </w:rPr>
        <w:t>a</w:t>
      </w:r>
      <w:r w:rsidRPr="00C15625">
        <w:rPr>
          <w:rFonts w:ascii="Arial" w:hAnsi="Arial" w:cs="Arial"/>
        </w:rPr>
        <w:t>, using a regression of algal dry weight versus fluorescence (not shown).  We estimated maximum spore yield (</w:t>
      </w:r>
      <m:oMath>
        <m:acc>
          <m:accPr>
            <m:ctrlPr>
              <w:rPr>
                <w:rFonts w:ascii="Cambria Math" w:hAnsi="Cambria Math" w:cs="Arial"/>
                <w:i/>
              </w:rPr>
            </m:ctrlPr>
          </m:accPr>
          <m:e>
            <m:r>
              <w:rPr>
                <w:rFonts w:ascii="Cambria Math" w:hAnsi="Cambria Math" w:cs="Arial"/>
              </w:rPr>
              <m:t xml:space="preserve"> σ</m:t>
            </m:r>
          </m:e>
        </m:acc>
      </m:oMath>
      <w:r w:rsidRPr="00C15625">
        <w:rPr>
          <w:rFonts w:ascii="Arial" w:hAnsi="Arial" w:cs="Arial"/>
        </w:rPr>
        <w:t>) for each genotype as:</w:t>
      </w:r>
    </w:p>
    <w:p w14:paraId="2A8E98F9"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               </w:t>
      </w:r>
      <m:oMath>
        <m:acc>
          <m:accPr>
            <m:ctrlPr>
              <w:rPr>
                <w:rFonts w:ascii="Cambria Math" w:hAnsi="Cambria Math" w:cs="Arial"/>
                <w:i/>
              </w:rPr>
            </m:ctrlPr>
          </m:accPr>
          <m:e>
            <m:r>
              <w:rPr>
                <w:rFonts w:ascii="Cambria Math" w:hAnsi="Cambria Math" w:cs="Arial"/>
              </w:rPr>
              <m:t xml:space="preserve"> σ</m:t>
            </m:r>
          </m:e>
        </m:acc>
        <m:r>
          <w:rPr>
            <w:rFonts w:ascii="Cambria Math" w:hAnsi="Cambria Math" w:cs="Arial"/>
          </w:rPr>
          <m:t>=</m:t>
        </m:r>
        <m:f>
          <m:fPr>
            <m:ctrlPr>
              <w:rPr>
                <w:rFonts w:ascii="Cambria Math" w:hAnsi="Cambria Math" w:cs="Arial"/>
                <w:i/>
              </w:rPr>
            </m:ctrlPr>
          </m:fPr>
          <m:num>
            <m:r>
              <w:rPr>
                <w:rFonts w:ascii="Cambria Math" w:hAnsi="Cambria Math" w:cs="Arial"/>
              </w:rPr>
              <m:t>σ</m:t>
            </m:r>
            <m:d>
              <m:dPr>
                <m:ctrlPr>
                  <w:rPr>
                    <w:rFonts w:ascii="Cambria Math" w:hAnsi="Cambria Math" w:cs="Arial"/>
                    <w:i/>
                  </w:rPr>
                </m:ctrlPr>
              </m:dPr>
              <m:e>
                <m:r>
                  <w:rPr>
                    <w:rFonts w:ascii="Cambria Math" w:hAnsi="Cambria Math" w:cs="Arial"/>
                  </w:rPr>
                  <m:t>h+R</m:t>
                </m:r>
              </m:e>
            </m:d>
          </m:num>
          <m:den>
            <m:r>
              <w:rPr>
                <w:rFonts w:ascii="Cambria Math" w:hAnsi="Cambria Math" w:cs="Arial"/>
              </w:rPr>
              <m:t>R</m:t>
            </m:r>
          </m:den>
        </m:f>
      </m:oMath>
      <w:r w:rsidRPr="00C15625">
        <w:rPr>
          <w:rFonts w:ascii="Arial" w:hAnsi="Arial" w:cs="Arial"/>
        </w:rPr>
        <w:t xml:space="preserve"> </w:t>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r>
      <w:r w:rsidRPr="00C15625">
        <w:rPr>
          <w:rFonts w:ascii="Arial" w:hAnsi="Arial" w:cs="Arial"/>
        </w:rPr>
        <w:tab/>
        <w:t>eq. S11</w:t>
      </w:r>
    </w:p>
    <w:p w14:paraId="3B8F6179"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Here, </w:t>
      </w:r>
      <w:r w:rsidRPr="00C15625">
        <w:rPr>
          <w:rFonts w:ascii="Arial" w:hAnsi="Arial" w:cs="Arial"/>
          <w:i/>
        </w:rPr>
        <w:t xml:space="preserve">σ </w:t>
      </w:r>
      <w:r w:rsidRPr="00C15625">
        <w:rPr>
          <w:rFonts w:ascii="Arial" w:hAnsi="Arial" w:cs="Arial"/>
        </w:rPr>
        <w:t xml:space="preserve">is the average spore yield measured from the life table (Fig. 1 A), </w:t>
      </w:r>
      <w:r w:rsidRPr="00C15625">
        <w:rPr>
          <w:rFonts w:ascii="Arial" w:hAnsi="Arial" w:cs="Arial"/>
          <w:i/>
        </w:rPr>
        <w:t>R</w:t>
      </w:r>
      <w:r w:rsidRPr="00C15625">
        <w:rPr>
          <w:rFonts w:ascii="Arial" w:hAnsi="Arial" w:cs="Arial"/>
        </w:rPr>
        <w:t xml:space="preserve"> is the concentration of resources used in the life table (measured in µg L</w:t>
      </w:r>
      <w:r w:rsidRPr="00C15625">
        <w:rPr>
          <w:rFonts w:ascii="Arial" w:hAnsi="Arial" w:cs="Arial"/>
          <w:vertAlign w:val="superscript"/>
        </w:rPr>
        <w:t>-1</w:t>
      </w:r>
      <w:r w:rsidRPr="00C15625">
        <w:rPr>
          <w:rFonts w:ascii="Arial" w:hAnsi="Arial" w:cs="Arial"/>
        </w:rPr>
        <w:t xml:space="preserve"> of ethanol-extracted chlorophyll </w:t>
      </w:r>
      <w:r w:rsidRPr="00C15625">
        <w:rPr>
          <w:rFonts w:ascii="Arial" w:hAnsi="Arial" w:cs="Arial"/>
          <w:i/>
        </w:rPr>
        <w:t>a</w:t>
      </w:r>
      <w:r w:rsidRPr="00C15625">
        <w:rPr>
          <w:rFonts w:ascii="Arial" w:hAnsi="Arial" w:cs="Arial"/>
        </w:rPr>
        <w:t xml:space="preserve">), and </w:t>
      </w:r>
      <w:proofErr w:type="gramStart"/>
      <w:r w:rsidRPr="00C15625">
        <w:rPr>
          <w:rFonts w:ascii="Arial" w:hAnsi="Arial" w:cs="Arial"/>
          <w:i/>
        </w:rPr>
        <w:t>h</w:t>
      </w:r>
      <w:proofErr w:type="gramEnd"/>
    </w:p>
    <w:p w14:paraId="069B30B5"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is the fitted half saturation constant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2009)</w:t>
      </w:r>
      <w:r w:rsidRPr="00C15625">
        <w:rPr>
          <w:rFonts w:ascii="Arial" w:hAnsi="Arial" w:cs="Arial"/>
        </w:rPr>
        <w:t xml:space="preserve"> (Fig. 2).</w:t>
      </w:r>
    </w:p>
    <w:p w14:paraId="0AA849C1" w14:textId="77777777" w:rsidR="00707A50" w:rsidRDefault="00707A50" w:rsidP="00A728FE">
      <w:pPr>
        <w:pStyle w:val="NoSpacing"/>
        <w:spacing w:line="480" w:lineRule="auto"/>
        <w:rPr>
          <w:rFonts w:ascii="Arial" w:hAnsi="Arial" w:cs="Arial"/>
          <w:b/>
        </w:rPr>
      </w:pPr>
    </w:p>
    <w:p w14:paraId="752214DA" w14:textId="77777777" w:rsidR="00707A50" w:rsidRDefault="00707A50" w:rsidP="00A728FE">
      <w:pPr>
        <w:pStyle w:val="NoSpacing"/>
        <w:spacing w:line="480" w:lineRule="auto"/>
        <w:rPr>
          <w:rFonts w:ascii="Arial" w:hAnsi="Arial" w:cs="Arial"/>
          <w:b/>
        </w:rPr>
      </w:pPr>
      <w:r>
        <w:rPr>
          <w:rFonts w:ascii="Arial" w:hAnsi="Arial" w:cs="Arial"/>
          <w:b/>
        </w:rPr>
        <w:t>Other parameters: algal growth rate (</w:t>
      </w:r>
      <w:r w:rsidRPr="00A728FE">
        <w:rPr>
          <w:rFonts w:ascii="Arial" w:hAnsi="Arial" w:cs="Arial"/>
          <w:b/>
          <w:i/>
        </w:rPr>
        <w:t>r</w:t>
      </w:r>
      <w:r>
        <w:rPr>
          <w:rFonts w:ascii="Arial" w:hAnsi="Arial" w:cs="Arial"/>
          <w:b/>
        </w:rPr>
        <w:t>) and carrying capacity (</w:t>
      </w:r>
      <w:r w:rsidRPr="00A728FE">
        <w:rPr>
          <w:rFonts w:ascii="Arial" w:hAnsi="Arial" w:cs="Arial"/>
          <w:b/>
          <w:i/>
        </w:rPr>
        <w:t>K</w:t>
      </w:r>
      <w:r>
        <w:rPr>
          <w:rFonts w:ascii="Arial" w:hAnsi="Arial" w:cs="Arial"/>
          <w:b/>
        </w:rPr>
        <w:t>); spore loss rate (</w:t>
      </w:r>
      <w:r w:rsidRPr="00A728FE">
        <w:rPr>
          <w:rFonts w:ascii="Arial" w:hAnsi="Arial" w:cs="Arial"/>
          <w:b/>
          <w:i/>
        </w:rPr>
        <w:t>m</w:t>
      </w:r>
      <w:r>
        <w:rPr>
          <w:rFonts w:ascii="Arial" w:hAnsi="Arial" w:cs="Arial"/>
          <w:b/>
        </w:rPr>
        <w:t>)</w:t>
      </w:r>
    </w:p>
    <w:p w14:paraId="3786E1B0" w14:textId="77777777" w:rsidR="00707A50" w:rsidRDefault="00707A50" w:rsidP="00A728FE">
      <w:pPr>
        <w:pStyle w:val="NoSpacing"/>
        <w:spacing w:line="480" w:lineRule="auto"/>
        <w:ind w:firstLine="720"/>
        <w:rPr>
          <w:rFonts w:ascii="Arial" w:hAnsi="Arial" w:cs="Arial"/>
          <w:b/>
        </w:rPr>
      </w:pPr>
      <w:r w:rsidRPr="00E01285">
        <w:rPr>
          <w:rFonts w:ascii="Arial" w:hAnsi="Arial" w:cs="Arial"/>
        </w:rPr>
        <w:t xml:space="preserve">The estimate for algal </w:t>
      </w:r>
      <w:r w:rsidRPr="00E01285">
        <w:rPr>
          <w:rFonts w:ascii="Arial" w:hAnsi="Arial" w:cs="Arial"/>
          <w:i/>
        </w:rPr>
        <w:t>K</w:t>
      </w:r>
      <w:r w:rsidRPr="00E01285">
        <w:rPr>
          <w:rFonts w:ascii="Arial" w:hAnsi="Arial" w:cs="Arial"/>
        </w:rPr>
        <w:t xml:space="preserve"> (250 µg L</w:t>
      </w:r>
      <w:r w:rsidRPr="00E01285">
        <w:rPr>
          <w:rFonts w:ascii="Arial" w:hAnsi="Arial" w:cs="Arial"/>
          <w:vertAlign w:val="superscript"/>
        </w:rPr>
        <w:t>-1</w:t>
      </w:r>
      <w:r w:rsidRPr="00E01285">
        <w:rPr>
          <w:rFonts w:ascii="Arial" w:hAnsi="Arial" w:cs="Arial"/>
        </w:rPr>
        <w:t xml:space="preserve"> chlorophyll-</w:t>
      </w:r>
      <w:r w:rsidRPr="00E01285">
        <w:rPr>
          <w:rFonts w:ascii="Arial" w:hAnsi="Arial" w:cs="Arial"/>
          <w:i/>
        </w:rPr>
        <w:t>a</w:t>
      </w:r>
      <w:r w:rsidRPr="00E01285">
        <w:rPr>
          <w:rFonts w:ascii="Arial" w:hAnsi="Arial" w:cs="Arial"/>
        </w:rPr>
        <w:t>) was the average ethanol-extracted chlorophyll-</w:t>
      </w:r>
      <w:r w:rsidRPr="00E01285">
        <w:rPr>
          <w:rFonts w:ascii="Arial" w:hAnsi="Arial" w:cs="Arial"/>
          <w:i/>
        </w:rPr>
        <w:t>a</w:t>
      </w:r>
      <w:r w:rsidRPr="00E01285">
        <w:rPr>
          <w:rFonts w:ascii="Arial" w:hAnsi="Arial" w:cs="Arial"/>
        </w:rPr>
        <w:t xml:space="preserve"> from algae-only mesocosm tanks over the epidemic period (measured with a fluorometer; not shown).  We assumed a reasonable estimate for maximal algal growth rate (</w:t>
      </w:r>
      <w:r w:rsidRPr="00E01285">
        <w:rPr>
          <w:rFonts w:ascii="Arial" w:hAnsi="Arial" w:cs="Arial"/>
          <w:i/>
        </w:rPr>
        <w:t>r</w:t>
      </w:r>
      <w:r w:rsidRPr="00E01285">
        <w:rPr>
          <w:rFonts w:ascii="Arial" w:hAnsi="Arial" w:cs="Arial"/>
        </w:rPr>
        <w:t xml:space="preserve"> = </w:t>
      </w:r>
      <w:r w:rsidRPr="00E01285">
        <w:rPr>
          <w:rFonts w:ascii="Arial" w:hAnsi="Arial" w:cs="Arial"/>
        </w:rPr>
        <w:lastRenderedPageBreak/>
        <w:t xml:space="preserve">0.9 </w:t>
      </w:r>
      <w:proofErr w:type="gramStart"/>
      <w:r w:rsidRPr="00E01285">
        <w:rPr>
          <w:rFonts w:ascii="Arial" w:hAnsi="Arial" w:cs="Arial"/>
        </w:rPr>
        <w:t>day</w:t>
      </w:r>
      <w:r w:rsidRPr="00E01285">
        <w:rPr>
          <w:rFonts w:ascii="Arial" w:hAnsi="Arial" w:cs="Arial"/>
          <w:vertAlign w:val="superscript"/>
        </w:rPr>
        <w:t>-1</w:t>
      </w:r>
      <w:proofErr w:type="gramEnd"/>
      <w:r w:rsidRPr="00E01285">
        <w:rPr>
          <w:rFonts w:ascii="Arial" w:hAnsi="Arial" w:cs="Arial"/>
        </w:rPr>
        <w:t xml:space="preserve">) </w:t>
      </w:r>
      <w:r w:rsidRPr="00E01285">
        <w:rPr>
          <w:rFonts w:ascii="Arial" w:hAnsi="Arial" w:cs="Arial"/>
          <w:noProof/>
        </w:rPr>
        <w:t>(Sterner &amp; Elser 2002)</w:t>
      </w:r>
      <w:r>
        <w:rPr>
          <w:rFonts w:ascii="Arial" w:hAnsi="Arial" w:cs="Arial"/>
        </w:rPr>
        <w:t>.  Our e</w:t>
      </w:r>
      <w:r w:rsidRPr="00E01285">
        <w:rPr>
          <w:rFonts w:ascii="Arial" w:hAnsi="Arial" w:cs="Arial"/>
        </w:rPr>
        <w:t xml:space="preserve">stimates for spore loss rate </w:t>
      </w:r>
      <w:r w:rsidRPr="00E01285">
        <w:rPr>
          <w:rFonts w:ascii="Arial" w:hAnsi="Arial" w:cs="Arial"/>
          <w:i/>
        </w:rPr>
        <w:t xml:space="preserve">m </w:t>
      </w:r>
      <w:r w:rsidRPr="00E01285">
        <w:rPr>
          <w:rFonts w:ascii="Arial" w:hAnsi="Arial" w:cs="Arial"/>
        </w:rPr>
        <w:t xml:space="preserve">(0.2 </w:t>
      </w:r>
      <w:proofErr w:type="gramStart"/>
      <w:r w:rsidRPr="00E01285">
        <w:rPr>
          <w:rFonts w:ascii="Arial" w:hAnsi="Arial" w:cs="Arial"/>
        </w:rPr>
        <w:t>day</w:t>
      </w:r>
      <w:r w:rsidRPr="00E01285">
        <w:rPr>
          <w:rFonts w:ascii="Arial" w:hAnsi="Arial" w:cs="Arial"/>
          <w:vertAlign w:val="superscript"/>
        </w:rPr>
        <w:t>-1</w:t>
      </w:r>
      <w:proofErr w:type="gramEnd"/>
      <w:r>
        <w:rPr>
          <w:rFonts w:ascii="Arial" w:hAnsi="Arial" w:cs="Arial"/>
        </w:rPr>
        <w:t>) was</w:t>
      </w:r>
      <w:r w:rsidRPr="00E01285">
        <w:rPr>
          <w:rFonts w:ascii="Arial" w:hAnsi="Arial" w:cs="Arial"/>
        </w:rPr>
        <w:t xml:space="preserve"> based on prior knowledge of our study system</w:t>
      </w:r>
      <w:r>
        <w:rPr>
          <w:rFonts w:ascii="Arial" w:hAnsi="Arial" w:cs="Arial"/>
        </w:rPr>
        <w:t xml:space="preserve"> </w:t>
      </w:r>
      <w:r>
        <w:rPr>
          <w:rFonts w:ascii="Arial" w:hAnsi="Arial" w:cs="Arial"/>
          <w:noProof/>
        </w:rPr>
        <w:t>(Civitello</w:t>
      </w:r>
      <w:r w:rsidRPr="00A728FE">
        <w:rPr>
          <w:rFonts w:ascii="Arial" w:hAnsi="Arial" w:cs="Arial"/>
          <w:i/>
          <w:noProof/>
        </w:rPr>
        <w:t xml:space="preserve"> et al.</w:t>
      </w:r>
      <w:r>
        <w:rPr>
          <w:rFonts w:ascii="Arial" w:hAnsi="Arial" w:cs="Arial"/>
          <w:noProof/>
        </w:rPr>
        <w:t xml:space="preserve"> 2013)</w:t>
      </w:r>
      <w:r w:rsidRPr="00E01285">
        <w:rPr>
          <w:rFonts w:ascii="Arial" w:hAnsi="Arial" w:cs="Arial"/>
        </w:rPr>
        <w:t xml:space="preserve">.  </w:t>
      </w:r>
    </w:p>
    <w:p w14:paraId="4C8CE565" w14:textId="77777777" w:rsidR="00707A50" w:rsidRPr="00C15625" w:rsidRDefault="00707A50" w:rsidP="00941F90">
      <w:pPr>
        <w:pStyle w:val="NoSpacing"/>
        <w:spacing w:line="480" w:lineRule="auto"/>
        <w:rPr>
          <w:rFonts w:ascii="Arial" w:hAnsi="Arial" w:cs="Arial"/>
        </w:rPr>
      </w:pPr>
    </w:p>
    <w:p w14:paraId="54491FF8" w14:textId="77777777" w:rsidR="00707A50" w:rsidRPr="00C15625" w:rsidRDefault="00707A50" w:rsidP="00941F90">
      <w:pPr>
        <w:pStyle w:val="NoSpacing"/>
        <w:spacing w:line="480" w:lineRule="auto"/>
        <w:rPr>
          <w:rFonts w:ascii="Arial" w:hAnsi="Arial" w:cs="Arial"/>
        </w:rPr>
      </w:pPr>
      <w:r w:rsidRPr="00C15625">
        <w:rPr>
          <w:rFonts w:ascii="Arial" w:hAnsi="Arial" w:cs="Arial"/>
          <w:b/>
        </w:rPr>
        <w:t>Synthetic indices of competitive ability (</w:t>
      </w:r>
      <w:r w:rsidRPr="00C15625">
        <w:rPr>
          <w:rFonts w:ascii="Arial" w:hAnsi="Arial" w:cs="Arial"/>
          <w:b/>
          <w:i/>
        </w:rPr>
        <w:t>R*</w:t>
      </w:r>
      <w:r w:rsidRPr="00C15625">
        <w:rPr>
          <w:rFonts w:ascii="Arial" w:hAnsi="Arial" w:cs="Arial"/>
          <w:b/>
        </w:rPr>
        <w:t>) and disease spread (</w:t>
      </w:r>
      <w:r w:rsidRPr="00C15625">
        <w:rPr>
          <w:rFonts w:ascii="Arial" w:hAnsi="Arial" w:cs="Arial"/>
          <w:b/>
          <w:i/>
        </w:rPr>
        <w:t>R</w:t>
      </w:r>
      <w:r w:rsidRPr="00C15625">
        <w:rPr>
          <w:rFonts w:ascii="Arial" w:hAnsi="Arial" w:cs="Arial"/>
          <w:b/>
          <w:i/>
          <w:vertAlign w:val="subscript"/>
        </w:rPr>
        <w:t>0</w:t>
      </w:r>
      <w:r w:rsidRPr="00C15625">
        <w:rPr>
          <w:rFonts w:ascii="Arial" w:hAnsi="Arial" w:cs="Arial"/>
          <w:b/>
        </w:rPr>
        <w:t>)</w:t>
      </w:r>
    </w:p>
    <w:p w14:paraId="145C437D" w14:textId="77777777" w:rsidR="00707A50" w:rsidRPr="00C15625" w:rsidRDefault="00707A50" w:rsidP="00941F90">
      <w:pPr>
        <w:pStyle w:val="NoSpacing"/>
        <w:spacing w:line="480" w:lineRule="auto"/>
        <w:ind w:firstLine="720"/>
        <w:rPr>
          <w:rFonts w:ascii="Arial" w:hAnsi="Arial" w:cs="Arial"/>
        </w:rPr>
      </w:pPr>
      <w:r w:rsidRPr="00C15625">
        <w:rPr>
          <w:rFonts w:ascii="Arial" w:hAnsi="Arial" w:cs="Arial"/>
        </w:rPr>
        <w:t xml:space="preserve">For each clonal genotype of the focal host and for the competitor/diluter, we derived </w:t>
      </w:r>
      <w:r w:rsidRPr="00C15625">
        <w:rPr>
          <w:rFonts w:ascii="Arial" w:hAnsi="Arial" w:cs="Arial"/>
          <w:i/>
        </w:rPr>
        <w:t>R*</w:t>
      </w:r>
      <w:r w:rsidRPr="00C15625">
        <w:rPr>
          <w:rFonts w:ascii="Arial" w:hAnsi="Arial" w:cs="Arial"/>
        </w:rPr>
        <w:t xml:space="preserve"> by solving for the disease-free boundary equilibrium of our model (Box 1): </w:t>
      </w:r>
    </w:p>
    <w:p w14:paraId="3295D672" w14:textId="77777777" w:rsidR="00707A50" w:rsidRPr="00C15625" w:rsidRDefault="00000000" w:rsidP="00941F90">
      <w:pPr>
        <w:pStyle w:val="NoSpacing"/>
        <w:spacing w:line="480" w:lineRule="auto"/>
        <w:rPr>
          <w:rFonts w:ascii="Arial" w:hAnsi="Arial" w:cs="Arial"/>
        </w:rPr>
      </w:pPr>
      <m:oMath>
        <m:sSup>
          <m:sSupPr>
            <m:ctrlPr>
              <w:rPr>
                <w:rFonts w:ascii="Cambria Math" w:hAnsi="Cambria Math" w:cs="Arial"/>
                <w:i/>
              </w:rPr>
            </m:ctrlPr>
          </m:sSupPr>
          <m:e>
            <m:r>
              <w:rPr>
                <w:rFonts w:ascii="Cambria Math" w:hAnsi="Cambria Math" w:cs="Arial"/>
              </w:rPr>
              <m:t xml:space="preserve">               R</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ef</m:t>
            </m:r>
          </m:den>
        </m:f>
      </m:oMath>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t>eq. S12</w:t>
      </w:r>
    </w:p>
    <w:p w14:paraId="3950AA8E" w14:textId="77777777" w:rsidR="00707A50" w:rsidRPr="00C15625" w:rsidRDefault="00707A50" w:rsidP="00941F90">
      <w:pPr>
        <w:pStyle w:val="NoSpacing"/>
        <w:spacing w:line="480" w:lineRule="auto"/>
        <w:rPr>
          <w:rFonts w:ascii="Arial" w:hAnsi="Arial" w:cs="Arial"/>
        </w:rPr>
      </w:pPr>
      <w:r w:rsidRPr="00C15625">
        <w:rPr>
          <w:rFonts w:ascii="Arial" w:hAnsi="Arial" w:cs="Arial"/>
        </w:rPr>
        <w:t xml:space="preserve">We derived </w:t>
      </w:r>
      <w:r w:rsidRPr="00C15625">
        <w:rPr>
          <w:rFonts w:ascii="Arial" w:hAnsi="Arial" w:cs="Arial"/>
          <w:i/>
        </w:rPr>
        <w:t>R</w:t>
      </w:r>
      <w:r w:rsidRPr="00C15625">
        <w:rPr>
          <w:rFonts w:ascii="Arial" w:hAnsi="Arial" w:cs="Arial"/>
          <w:i/>
          <w:vertAlign w:val="subscript"/>
        </w:rPr>
        <w:t>0</w:t>
      </w:r>
      <w:r w:rsidRPr="00C15625">
        <w:rPr>
          <w:rFonts w:ascii="Arial" w:hAnsi="Arial" w:cs="Arial"/>
        </w:rPr>
        <w:t xml:space="preserve"> using the next generation matrix approach, yielding: </w:t>
      </w:r>
    </w:p>
    <w:p w14:paraId="66ABECF0" w14:textId="77777777" w:rsidR="00707A50" w:rsidRPr="00C15625" w:rsidRDefault="00000000" w:rsidP="00941F90">
      <w:pPr>
        <w:pStyle w:val="NoSpacing"/>
        <w:spacing w:line="480" w:lineRule="auto"/>
        <w:rPr>
          <w:rFonts w:ascii="Arial" w:hAnsi="Arial" w:cs="Arial"/>
        </w:rPr>
      </w:pPr>
      <m:oMath>
        <m:sSub>
          <m:sSubPr>
            <m:ctrlPr>
              <w:rPr>
                <w:rFonts w:ascii="Cambria Math" w:hAnsi="Cambria Math" w:cs="Arial"/>
                <w:i/>
              </w:rPr>
            </m:ctrlPr>
          </m:sSubPr>
          <m:e>
            <m:r>
              <w:rPr>
                <w:rFonts w:ascii="Cambria Math" w:hAnsi="Cambria Math" w:cs="Arial"/>
              </w:rPr>
              <m:t xml:space="preserve">               R</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(fu</m:t>
            </m:r>
            <m:sSubSup>
              <m:sSubSupPr>
                <m:ctrlPr>
                  <w:rPr>
                    <w:rFonts w:ascii="Cambria Math" w:hAnsi="Cambria Math" w:cs="Arial"/>
                    <w:i/>
                  </w:rPr>
                </m:ctrlPr>
              </m:sSubSupPr>
              <m:e>
                <m:r>
                  <w:rPr>
                    <w:rFonts w:ascii="Cambria Math" w:hAnsi="Cambria Math" w:cs="Arial"/>
                  </w:rPr>
                  <m:t>S</m:t>
                </m:r>
              </m:e>
              <m:sub>
                <m:r>
                  <w:rPr>
                    <w:rFonts w:ascii="Cambria Math" w:hAnsi="Cambria Math" w:cs="Arial"/>
                  </w:rPr>
                  <m:t>b</m:t>
                </m:r>
              </m:sub>
              <m:sup>
                <m:r>
                  <w:rPr>
                    <w:rFonts w:ascii="Cambria Math" w:hAnsi="Cambria Math" w:cs="Arial"/>
                  </w:rPr>
                  <m:t>*</m:t>
                </m:r>
              </m:sup>
            </m:sSubSup>
            <m:r>
              <w:rPr>
                <w:rFonts w:ascii="Cambria Math" w:hAnsi="Cambria Math" w:cs="Arial"/>
              </w:rPr>
              <m:t>)σ</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m:t>
                    </m:r>
                  </m:sup>
                </m:sSup>
              </m:e>
            </m:d>
          </m:num>
          <m:den>
            <m:r>
              <w:rPr>
                <w:rFonts w:ascii="Cambria Math" w:hAnsi="Cambria Math" w:cs="Arial"/>
              </w:rPr>
              <m:t>m+(f</m:t>
            </m:r>
            <m:sSubSup>
              <m:sSubSupPr>
                <m:ctrlPr>
                  <w:rPr>
                    <w:rFonts w:ascii="Cambria Math" w:hAnsi="Cambria Math" w:cs="Arial"/>
                    <w:i/>
                  </w:rPr>
                </m:ctrlPr>
              </m:sSubSupPr>
              <m:e>
                <m:r>
                  <w:rPr>
                    <w:rFonts w:ascii="Cambria Math" w:hAnsi="Cambria Math" w:cs="Arial"/>
                  </w:rPr>
                  <m:t>S</m:t>
                </m:r>
              </m:e>
              <m:sub>
                <m:r>
                  <w:rPr>
                    <w:rFonts w:ascii="Cambria Math" w:hAnsi="Cambria Math" w:cs="Arial"/>
                  </w:rPr>
                  <m:t>b</m:t>
                </m:r>
              </m:sub>
              <m:sup>
                <m:r>
                  <w:rPr>
                    <w:rFonts w:ascii="Cambria Math" w:hAnsi="Cambria Math" w:cs="Arial"/>
                  </w:rPr>
                  <m:t>*</m:t>
                </m:r>
              </m:sup>
            </m:sSubSup>
            <m:r>
              <w:rPr>
                <w:rFonts w:ascii="Cambria Math" w:hAnsi="Cambria Math" w:cs="Arial"/>
              </w:rPr>
              <m:t xml:space="preserve">) </m:t>
            </m:r>
          </m:den>
        </m:f>
      </m:oMath>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t>eq. S13</w:t>
      </w:r>
    </w:p>
    <w:p w14:paraId="6CADADD8" w14:textId="77777777" w:rsidR="00707A50" w:rsidRPr="00C15625" w:rsidRDefault="00707A50" w:rsidP="00941F90">
      <w:pPr>
        <w:pStyle w:val="NoSpacing"/>
        <w:spacing w:line="480" w:lineRule="auto"/>
        <w:rPr>
          <w:rFonts w:ascii="Arial" w:hAnsi="Arial" w:cs="Arial"/>
        </w:rPr>
      </w:pPr>
      <w:r w:rsidRPr="00C15625">
        <w:rPr>
          <w:rFonts w:ascii="Arial" w:hAnsi="Arial" w:cs="Arial"/>
        </w:rPr>
        <w:t>which is the ratio of gains from infection (</w:t>
      </w:r>
      <w:proofErr w:type="spellStart"/>
      <w:r w:rsidRPr="00C15625">
        <w:rPr>
          <w:rFonts w:ascii="Arial" w:hAnsi="Arial" w:cs="Arial"/>
          <w:i/>
        </w:rPr>
        <w:t>fuS</w:t>
      </w:r>
      <w:r w:rsidRPr="00C15625">
        <w:rPr>
          <w:rFonts w:ascii="Arial" w:hAnsi="Arial" w:cs="Arial"/>
          <w:i/>
          <w:vertAlign w:val="subscript"/>
        </w:rPr>
        <w:t>b</w:t>
      </w:r>
      <w:proofErr w:type="spellEnd"/>
      <w:r w:rsidRPr="00C15625">
        <w:rPr>
          <w:rFonts w:ascii="Arial" w:hAnsi="Arial" w:cs="Arial"/>
          <w:i/>
        </w:rPr>
        <w:t>*</w:t>
      </w:r>
      <w:r w:rsidRPr="00C15625">
        <w:rPr>
          <w:rFonts w:ascii="Arial" w:hAnsi="Arial" w:cs="Arial"/>
        </w:rPr>
        <w:t>) and spore release (</w:t>
      </w:r>
      <w:r w:rsidRPr="00C15625">
        <w:rPr>
          <w:rFonts w:ascii="Arial" w:hAnsi="Arial" w:cs="Arial"/>
          <w:i/>
        </w:rPr>
        <w:t>σ(R*</w:t>
      </w:r>
      <w:r w:rsidRPr="00C15625">
        <w:rPr>
          <w:rFonts w:ascii="Arial" w:hAnsi="Arial" w:cs="Arial"/>
        </w:rPr>
        <w:t>), following eq. S11), in the numerator, to losses of spores from spore mortality (</w:t>
      </w:r>
      <w:r w:rsidRPr="00C15625">
        <w:rPr>
          <w:rFonts w:ascii="Arial" w:hAnsi="Arial" w:cs="Arial"/>
          <w:i/>
        </w:rPr>
        <w:t>m</w:t>
      </w:r>
      <w:r w:rsidRPr="00C15625">
        <w:rPr>
          <w:rFonts w:ascii="Arial" w:hAnsi="Arial" w:cs="Arial"/>
        </w:rPr>
        <w:t>) and consumption (</w:t>
      </w:r>
      <w:proofErr w:type="spellStart"/>
      <w:r w:rsidRPr="00C15625">
        <w:rPr>
          <w:rFonts w:ascii="Arial" w:hAnsi="Arial" w:cs="Arial"/>
          <w:i/>
        </w:rPr>
        <w:t>fS</w:t>
      </w:r>
      <w:r w:rsidRPr="00C15625">
        <w:rPr>
          <w:rFonts w:ascii="Arial" w:hAnsi="Arial" w:cs="Arial"/>
          <w:i/>
          <w:vertAlign w:val="subscript"/>
        </w:rPr>
        <w:t>b</w:t>
      </w:r>
      <w:proofErr w:type="spellEnd"/>
      <w:r w:rsidRPr="00C15625">
        <w:rPr>
          <w:rFonts w:ascii="Arial" w:hAnsi="Arial" w:cs="Arial"/>
          <w:i/>
        </w:rPr>
        <w:t>*</w:t>
      </w:r>
      <w:r w:rsidRPr="00C15625">
        <w:rPr>
          <w:rFonts w:ascii="Arial" w:hAnsi="Arial" w:cs="Arial"/>
        </w:rPr>
        <w:t xml:space="preserve">) (in the denominator).  Here, </w:t>
      </w:r>
      <w:r w:rsidRPr="00C15625">
        <w:rPr>
          <w:rFonts w:ascii="Arial" w:hAnsi="Arial" w:cs="Arial"/>
          <w:i/>
        </w:rPr>
        <w:t>S</w:t>
      </w:r>
      <w:r w:rsidRPr="00C15625">
        <w:rPr>
          <w:rFonts w:ascii="Arial" w:hAnsi="Arial" w:cs="Arial"/>
          <w:i/>
          <w:vertAlign w:val="subscript"/>
        </w:rPr>
        <w:t>b</w:t>
      </w:r>
      <w:r w:rsidRPr="00C15625">
        <w:rPr>
          <w:rFonts w:ascii="Arial" w:hAnsi="Arial" w:cs="Arial"/>
          <w:i/>
        </w:rPr>
        <w:t>*</w:t>
      </w:r>
      <w:r w:rsidRPr="00C15625">
        <w:rPr>
          <w:rFonts w:ascii="Arial" w:hAnsi="Arial" w:cs="Arial"/>
        </w:rPr>
        <w:t xml:space="preserve"> is </w:t>
      </w:r>
      <w:proofErr w:type="spellStart"/>
      <w:r w:rsidRPr="00C15625">
        <w:rPr>
          <w:rFonts w:ascii="Arial" w:hAnsi="Arial" w:cs="Arial"/>
        </w:rPr>
        <w:t>equilibrial</w:t>
      </w:r>
      <w:proofErr w:type="spellEnd"/>
      <w:r w:rsidRPr="00C15625">
        <w:rPr>
          <w:rFonts w:ascii="Arial" w:hAnsi="Arial" w:cs="Arial"/>
        </w:rPr>
        <w:t xml:space="preserve"> host density at the disease-free boundary equilibrium: </w:t>
      </w:r>
    </w:p>
    <w:p w14:paraId="5DF31E92" w14:textId="77777777" w:rsidR="00707A50" w:rsidRPr="00C15625" w:rsidRDefault="00000000" w:rsidP="00941F90">
      <w:pPr>
        <w:pStyle w:val="NoSpacing"/>
        <w:spacing w:line="480" w:lineRule="auto"/>
        <w:rPr>
          <w:rFonts w:ascii="Arial" w:hAnsi="Arial" w:cs="Arial"/>
        </w:rPr>
      </w:pPr>
      <m:oMath>
        <m:sSubSup>
          <m:sSubSupPr>
            <m:ctrlPr>
              <w:rPr>
                <w:rFonts w:ascii="Cambria Math" w:hAnsi="Cambria Math" w:cs="Arial"/>
                <w:i/>
              </w:rPr>
            </m:ctrlPr>
          </m:sSubSupPr>
          <m:e>
            <m:r>
              <w:rPr>
                <w:rFonts w:ascii="Cambria Math" w:hAnsi="Cambria Math" w:cs="Arial"/>
              </w:rPr>
              <m:t xml:space="preserve">               S</m:t>
            </m:r>
          </m:e>
          <m:sub>
            <m:r>
              <w:rPr>
                <w:rFonts w:ascii="Cambria Math" w:hAnsi="Cambria Math" w:cs="Arial"/>
              </w:rPr>
              <m:t>b</m:t>
            </m:r>
          </m:sub>
          <m:sup>
            <m:r>
              <w:rPr>
                <w:rFonts w:ascii="Cambria Math" w:hAnsi="Cambria Math" w:cs="Arial"/>
              </w:rPr>
              <m:t>*</m:t>
            </m:r>
          </m:sup>
        </m:sSubSup>
        <m:r>
          <w:rPr>
            <w:rFonts w:ascii="Cambria Math" w:hAnsi="Cambria Math" w:cs="Arial"/>
          </w:rPr>
          <m:t>=</m:t>
        </m:r>
        <m:f>
          <m:fPr>
            <m:ctrlPr>
              <w:rPr>
                <w:rFonts w:ascii="Cambria Math" w:hAnsi="Cambria Math" w:cs="Arial"/>
                <w:i/>
              </w:rPr>
            </m:ctrlPr>
          </m:fPr>
          <m:num>
            <m:r>
              <w:rPr>
                <w:rFonts w:ascii="Cambria Math" w:hAnsi="Cambria Math" w:cs="Arial"/>
              </w:rPr>
              <m:t>r</m:t>
            </m:r>
          </m:num>
          <m:den>
            <m:r>
              <w:rPr>
                <w:rFonts w:ascii="Cambria Math" w:hAnsi="Cambria Math" w:cs="Arial"/>
              </w:rPr>
              <m:t>f</m:t>
            </m:r>
          </m:den>
        </m:f>
        <m:d>
          <m:dPr>
            <m:ctrlPr>
              <w:rPr>
                <w:rFonts w:ascii="Cambria Math" w:hAnsi="Cambria Math" w:cs="Arial"/>
                <w:i/>
              </w:rPr>
            </m:ctrlPr>
          </m:dPr>
          <m:e>
            <m:r>
              <w:rPr>
                <w:rFonts w:ascii="Cambria Math" w:hAnsi="Cambria Math" w:cs="Arial"/>
              </w:rPr>
              <m:t>1-</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R</m:t>
                    </m:r>
                  </m:e>
                  <m:sup>
                    <m:r>
                      <w:rPr>
                        <w:rFonts w:ascii="Cambria Math" w:hAnsi="Cambria Math" w:cs="Arial"/>
                      </w:rPr>
                      <m:t>*</m:t>
                    </m:r>
                  </m:sup>
                </m:sSup>
              </m:num>
              <m:den>
                <m:r>
                  <w:rPr>
                    <w:rFonts w:ascii="Cambria Math" w:hAnsi="Cambria Math" w:cs="Arial"/>
                  </w:rPr>
                  <m:t>K</m:t>
                </m:r>
              </m:den>
            </m:f>
          </m:e>
        </m:d>
        <m:r>
          <w:rPr>
            <w:rFonts w:ascii="Cambria Math" w:hAnsi="Cambria Math" w:cs="Arial"/>
          </w:rPr>
          <m:t xml:space="preserve"> </m:t>
        </m:r>
      </m:oMath>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r>
      <w:r w:rsidR="00707A50" w:rsidRPr="00C15625">
        <w:rPr>
          <w:rFonts w:ascii="Arial" w:hAnsi="Arial" w:cs="Arial"/>
        </w:rPr>
        <w:tab/>
        <w:t>eq. S14</w:t>
      </w:r>
    </w:p>
    <w:p w14:paraId="52E89E7B" w14:textId="77777777" w:rsidR="00707A50" w:rsidRPr="00C15625" w:rsidRDefault="00707A50" w:rsidP="007330B1">
      <w:pPr>
        <w:pStyle w:val="NoSpacing"/>
        <w:spacing w:line="480" w:lineRule="auto"/>
        <w:rPr>
          <w:rFonts w:ascii="Arial" w:hAnsi="Arial" w:cs="Arial"/>
        </w:rPr>
      </w:pPr>
      <w:r w:rsidRPr="00C15625">
        <w:rPr>
          <w:rFonts w:ascii="Arial" w:hAnsi="Arial" w:cs="Arial"/>
        </w:rPr>
        <w:t xml:space="preserve">where </w:t>
      </w:r>
      <w:r w:rsidRPr="00C15625">
        <w:rPr>
          <w:rFonts w:ascii="Arial" w:hAnsi="Arial" w:cs="Arial"/>
          <w:i/>
        </w:rPr>
        <w:t>K</w:t>
      </w:r>
      <w:r w:rsidRPr="00C15625">
        <w:rPr>
          <w:rFonts w:ascii="Arial" w:hAnsi="Arial" w:cs="Arial"/>
        </w:rPr>
        <w:t xml:space="preserve"> is the carrying capacity of the algal resource (without hosts), </w:t>
      </w:r>
      <w:proofErr w:type="spellStart"/>
      <w:r w:rsidRPr="00C15625">
        <w:rPr>
          <w:rFonts w:ascii="Arial" w:hAnsi="Arial" w:cs="Arial"/>
          <w:i/>
        </w:rPr>
        <w:t>r</w:t>
      </w:r>
      <w:proofErr w:type="spellEnd"/>
      <w:r w:rsidRPr="00C15625">
        <w:rPr>
          <w:rFonts w:ascii="Arial" w:hAnsi="Arial" w:cs="Arial"/>
        </w:rPr>
        <w:t xml:space="preserve"> is maximal growth rate of the algal resource, and </w:t>
      </w:r>
      <w:r w:rsidRPr="00C15625">
        <w:rPr>
          <w:rFonts w:ascii="Arial" w:hAnsi="Arial" w:cs="Arial"/>
          <w:i/>
        </w:rPr>
        <w:t>R*</w:t>
      </w:r>
      <w:r w:rsidRPr="00C15625">
        <w:rPr>
          <w:rFonts w:ascii="Arial" w:hAnsi="Arial" w:cs="Arial"/>
        </w:rPr>
        <w:t xml:space="preserve"> is the minimal resource requirement of the focal host or competitor/diluter (eq. 12).  We generated 95% confidence intervals around </w:t>
      </w:r>
      <w:r w:rsidRPr="00C15625">
        <w:rPr>
          <w:rFonts w:ascii="Arial" w:hAnsi="Arial" w:cs="Arial"/>
          <w:i/>
        </w:rPr>
        <w:t>R*</w:t>
      </w:r>
      <w:r w:rsidRPr="00C15625">
        <w:rPr>
          <w:rFonts w:ascii="Arial" w:hAnsi="Arial" w:cs="Arial"/>
        </w:rPr>
        <w:t xml:space="preserve"> and </w:t>
      </w:r>
      <w:r w:rsidRPr="00C15625">
        <w:rPr>
          <w:rFonts w:ascii="Arial" w:hAnsi="Arial" w:cs="Arial"/>
          <w:i/>
        </w:rPr>
        <w:t>R</w:t>
      </w:r>
      <w:r w:rsidRPr="00C15625">
        <w:rPr>
          <w:rFonts w:ascii="Arial" w:hAnsi="Arial" w:cs="Arial"/>
          <w:i/>
          <w:vertAlign w:val="subscript"/>
        </w:rPr>
        <w:t>0</w:t>
      </w:r>
      <w:r w:rsidRPr="00C15625">
        <w:rPr>
          <w:rFonts w:ascii="Arial" w:hAnsi="Arial" w:cs="Arial"/>
        </w:rPr>
        <w:t xml:space="preserve"> by bootstrapping over variation in </w:t>
      </w:r>
      <w:proofErr w:type="gramStart"/>
      <w:r w:rsidRPr="00C15625">
        <w:rPr>
          <w:rFonts w:ascii="Arial" w:hAnsi="Arial" w:cs="Arial"/>
        </w:rPr>
        <w:t>all of</w:t>
      </w:r>
      <w:proofErr w:type="gramEnd"/>
      <w:r w:rsidRPr="00C15625">
        <w:rPr>
          <w:rFonts w:ascii="Arial" w:hAnsi="Arial" w:cs="Arial"/>
        </w:rPr>
        <w:t xml:space="preserve"> the parameters involved (</w:t>
      </w:r>
      <w:r w:rsidRPr="00C15625">
        <w:rPr>
          <w:rFonts w:ascii="Arial" w:hAnsi="Arial" w:cs="Arial"/>
          <w:i/>
        </w:rPr>
        <w:t>f</w:t>
      </w:r>
      <w:r w:rsidRPr="00C15625">
        <w:rPr>
          <w:rFonts w:ascii="Arial" w:hAnsi="Arial" w:cs="Arial"/>
        </w:rPr>
        <w:t xml:space="preserve">, </w:t>
      </w:r>
      <w:r w:rsidRPr="00C15625">
        <w:rPr>
          <w:rFonts w:ascii="Arial" w:hAnsi="Arial" w:cs="Arial"/>
          <w:i/>
        </w:rPr>
        <w:t>u</w:t>
      </w:r>
      <w:r w:rsidRPr="00C15625">
        <w:rPr>
          <w:rFonts w:ascii="Arial" w:hAnsi="Arial" w:cs="Arial"/>
        </w:rPr>
        <w:t xml:space="preserve">, </w:t>
      </w:r>
      <w:r w:rsidRPr="00C15625">
        <w:rPr>
          <w:rFonts w:ascii="Arial" w:hAnsi="Arial" w:cs="Arial"/>
          <w:i/>
        </w:rPr>
        <w:t>e</w:t>
      </w:r>
      <w:r w:rsidRPr="00C15625">
        <w:rPr>
          <w:rFonts w:ascii="Arial" w:hAnsi="Arial" w:cs="Arial"/>
        </w:rPr>
        <w:t xml:space="preserve">, and </w:t>
      </w:r>
      <w:r w:rsidRPr="00C15625">
        <w:rPr>
          <w:rFonts w:ascii="Arial" w:hAnsi="Arial" w:cs="Arial"/>
          <w:i/>
        </w:rPr>
        <w:t>σ</w:t>
      </w:r>
      <w:r w:rsidRPr="00C15625">
        <w:rPr>
          <w:rFonts w:ascii="Arial" w:hAnsi="Arial" w:cs="Arial"/>
        </w:rPr>
        <w:t xml:space="preserve">). </w:t>
      </w:r>
    </w:p>
    <w:p w14:paraId="4114AD8C" w14:textId="77777777" w:rsidR="00707A50" w:rsidRDefault="00707A50">
      <w:pPr>
        <w:spacing w:after="160" w:line="259" w:lineRule="auto"/>
        <w:rPr>
          <w:rFonts w:ascii="Arial" w:hAnsi="Arial" w:cs="Arial"/>
          <w:b/>
        </w:rPr>
      </w:pPr>
      <w:r>
        <w:rPr>
          <w:rFonts w:ascii="Arial" w:hAnsi="Arial" w:cs="Arial"/>
          <w:b/>
        </w:rPr>
        <w:br w:type="page"/>
      </w:r>
    </w:p>
    <w:p w14:paraId="5152BE08" w14:textId="77777777" w:rsidR="00707A50" w:rsidRPr="00C15625" w:rsidRDefault="00707A50" w:rsidP="006E3997">
      <w:pPr>
        <w:pStyle w:val="NoSpacing"/>
        <w:spacing w:line="480" w:lineRule="auto"/>
        <w:rPr>
          <w:rFonts w:ascii="Arial" w:hAnsi="Arial" w:cs="Arial"/>
          <w:b/>
        </w:rPr>
      </w:pPr>
      <w:r w:rsidRPr="00C15625">
        <w:rPr>
          <w:rFonts w:ascii="Arial" w:hAnsi="Arial" w:cs="Arial"/>
          <w:b/>
        </w:rPr>
        <w:lastRenderedPageBreak/>
        <w:t>SUPPORTING REFERENCES</w:t>
      </w:r>
    </w:p>
    <w:p w14:paraId="6E512181" w14:textId="77777777" w:rsidR="00707A50" w:rsidRPr="00A728FE" w:rsidRDefault="00707A50" w:rsidP="0099326C">
      <w:pPr>
        <w:pStyle w:val="EndNoteBibliography"/>
        <w:spacing w:after="0"/>
        <w:ind w:left="720" w:hanging="720"/>
      </w:pPr>
      <w:r w:rsidRPr="00A728FE">
        <w:t>1.</w:t>
      </w:r>
    </w:p>
    <w:p w14:paraId="397F4195" w14:textId="77777777" w:rsidR="00707A50" w:rsidRPr="00A728FE" w:rsidRDefault="00707A50" w:rsidP="0099326C">
      <w:pPr>
        <w:pStyle w:val="EndNoteBibliography"/>
        <w:spacing w:after="0"/>
        <w:ind w:left="720" w:hanging="720"/>
      </w:pPr>
      <w:r w:rsidRPr="00A728FE">
        <w:t xml:space="preserve">Civitello, D.J., Penczykowski, R.M., Hite, J.L., Duffy, M.A. &amp; Hall, S.R. (2013). Potassium stimulates fungal epidemics in Daphnia by increasing host and parasite reproduction. </w:t>
      </w:r>
      <w:r w:rsidRPr="00A728FE">
        <w:rPr>
          <w:i/>
        </w:rPr>
        <w:t>Ecology</w:t>
      </w:r>
      <w:r w:rsidRPr="00A728FE">
        <w:t>, 94, 380-388.</w:t>
      </w:r>
    </w:p>
    <w:p w14:paraId="6203C45F" w14:textId="77777777" w:rsidR="00707A50" w:rsidRPr="00A728FE" w:rsidRDefault="00707A50" w:rsidP="0099326C">
      <w:pPr>
        <w:pStyle w:val="EndNoteBibliography"/>
        <w:spacing w:after="0"/>
        <w:ind w:left="720" w:hanging="720"/>
      </w:pPr>
      <w:r w:rsidRPr="00A728FE">
        <w:t>2.</w:t>
      </w:r>
    </w:p>
    <w:p w14:paraId="45916925" w14:textId="77777777" w:rsidR="00707A50" w:rsidRPr="00A728FE" w:rsidRDefault="00707A50" w:rsidP="0099326C">
      <w:pPr>
        <w:pStyle w:val="EndNoteBibliography"/>
        <w:spacing w:after="0"/>
        <w:ind w:left="720" w:hanging="720"/>
      </w:pPr>
      <w:r w:rsidRPr="00A728FE">
        <w:t xml:space="preserve">Hall, S.R., Becker, C.R., Duffy, M.A. &amp; Caceres, C.E. (2010). Variation in Resource Acquisition and Use among Host Clones Creates Key Epidemiological Trade-Offs. </w:t>
      </w:r>
      <w:r w:rsidRPr="00A728FE">
        <w:rPr>
          <w:i/>
        </w:rPr>
        <w:t>Am. Nat.</w:t>
      </w:r>
      <w:r w:rsidRPr="00A728FE">
        <w:t>, 176, 557-565.</w:t>
      </w:r>
    </w:p>
    <w:p w14:paraId="767B9B36" w14:textId="77777777" w:rsidR="00707A50" w:rsidRPr="00A728FE" w:rsidRDefault="00707A50" w:rsidP="0099326C">
      <w:pPr>
        <w:pStyle w:val="EndNoteBibliography"/>
        <w:spacing w:after="0"/>
        <w:ind w:left="720" w:hanging="720"/>
      </w:pPr>
      <w:r w:rsidRPr="00A728FE">
        <w:t>3.</w:t>
      </w:r>
    </w:p>
    <w:p w14:paraId="7EFE6099" w14:textId="77777777" w:rsidR="00707A50" w:rsidRPr="00A728FE" w:rsidRDefault="00707A50" w:rsidP="0099326C">
      <w:pPr>
        <w:pStyle w:val="EndNoteBibliography"/>
        <w:spacing w:after="0"/>
        <w:ind w:left="720" w:hanging="720"/>
      </w:pPr>
      <w:r w:rsidRPr="00A728FE">
        <w:t xml:space="preserve">Hall, S.R., Simonis, J.L., Nisbet, R.M., Tessier, A.J. &amp; Caceres, C.E. (2009). Resource Ecology of Virulence in a Planktonic Host-Parasite System: An Explanation Using Dynamic Energy Budgets. </w:t>
      </w:r>
      <w:r w:rsidRPr="00A728FE">
        <w:rPr>
          <w:i/>
        </w:rPr>
        <w:t>Am. Nat.</w:t>
      </w:r>
      <w:r w:rsidRPr="00A728FE">
        <w:t>, 174, 149-162.</w:t>
      </w:r>
    </w:p>
    <w:p w14:paraId="7FCCC2B1" w14:textId="77777777" w:rsidR="00707A50" w:rsidRPr="00A728FE" w:rsidRDefault="00707A50" w:rsidP="0099326C">
      <w:pPr>
        <w:pStyle w:val="EndNoteBibliography"/>
        <w:spacing w:after="0"/>
        <w:ind w:left="720" w:hanging="720"/>
      </w:pPr>
      <w:r w:rsidRPr="00A728FE">
        <w:t>4.</w:t>
      </w:r>
    </w:p>
    <w:p w14:paraId="6D55FCE7" w14:textId="77777777" w:rsidR="00707A50" w:rsidRPr="00A728FE" w:rsidRDefault="00707A50" w:rsidP="0099326C">
      <w:pPr>
        <w:pStyle w:val="EndNoteBibliography"/>
        <w:spacing w:after="0"/>
        <w:ind w:left="720" w:hanging="720"/>
      </w:pPr>
      <w:r w:rsidRPr="00A728FE">
        <w:t xml:space="preserve">Sarnelle, O. &amp; Wilson, A.E. (2008). Type III functional response in Daphnia. </w:t>
      </w:r>
      <w:r w:rsidRPr="00A728FE">
        <w:rPr>
          <w:i/>
        </w:rPr>
        <w:t>Ecology</w:t>
      </w:r>
      <w:r w:rsidRPr="00A728FE">
        <w:t>, 89, 1723-1732.</w:t>
      </w:r>
    </w:p>
    <w:p w14:paraId="16D42CD2" w14:textId="77777777" w:rsidR="00707A50" w:rsidRPr="00A728FE" w:rsidRDefault="00707A50" w:rsidP="0099326C">
      <w:pPr>
        <w:pStyle w:val="EndNoteBibliography"/>
        <w:spacing w:after="0"/>
        <w:ind w:left="720" w:hanging="720"/>
      </w:pPr>
      <w:r w:rsidRPr="00A728FE">
        <w:t>5.</w:t>
      </w:r>
    </w:p>
    <w:p w14:paraId="64C8345A" w14:textId="77777777" w:rsidR="00707A50" w:rsidRPr="00A728FE" w:rsidRDefault="00707A50" w:rsidP="0099326C">
      <w:pPr>
        <w:pStyle w:val="EndNoteBibliography"/>
        <w:spacing w:after="0"/>
        <w:ind w:left="720" w:hanging="720"/>
      </w:pPr>
      <w:r w:rsidRPr="00A728FE">
        <w:t xml:space="preserve">Sterner, R.W. &amp; Elser, J.J. (2002). </w:t>
      </w:r>
      <w:r w:rsidRPr="00A728FE">
        <w:rPr>
          <w:i/>
        </w:rPr>
        <w:t>Ecological Stoichiometry: The Biology of Elements from Molecules to the Biosphere</w:t>
      </w:r>
      <w:r w:rsidRPr="00A728FE">
        <w:t>. Princeton University Press.</w:t>
      </w:r>
    </w:p>
    <w:p w14:paraId="6F8D4625" w14:textId="77777777" w:rsidR="00707A50" w:rsidRPr="00C15625" w:rsidRDefault="00707A50" w:rsidP="002C255B">
      <w:pPr>
        <w:pStyle w:val="NoSpacing"/>
      </w:pPr>
    </w:p>
    <w:p w14:paraId="19C8F766" w14:textId="77777777" w:rsidR="00707A50" w:rsidRPr="00C15625" w:rsidRDefault="00707A50">
      <w:pPr>
        <w:spacing w:after="160" w:line="259" w:lineRule="auto"/>
      </w:pPr>
    </w:p>
    <w:p w14:paraId="4DC7C491" w14:textId="77777777" w:rsidR="00707A50" w:rsidRPr="00C15625" w:rsidRDefault="00707A50">
      <w:pPr>
        <w:spacing w:after="160" w:line="259" w:lineRule="auto"/>
      </w:pPr>
      <w:r w:rsidRPr="00C15625">
        <w:br w:type="page"/>
      </w:r>
    </w:p>
    <w:p w14:paraId="03CCD794" w14:textId="77777777" w:rsidR="00707A50" w:rsidRPr="00C15625" w:rsidRDefault="00707A50" w:rsidP="00117FD0">
      <w:pPr>
        <w:pStyle w:val="NoSpacing"/>
        <w:spacing w:line="480" w:lineRule="auto"/>
        <w:rPr>
          <w:rFonts w:ascii="Arial" w:hAnsi="Arial" w:cs="Arial"/>
          <w:b/>
        </w:rPr>
      </w:pPr>
      <w:r w:rsidRPr="00C15625">
        <w:rPr>
          <w:rFonts w:ascii="Arial" w:hAnsi="Arial" w:cs="Arial"/>
          <w:b/>
          <w:noProof/>
        </w:rPr>
        <w:lastRenderedPageBreak/>
        <w:drawing>
          <wp:inline distT="0" distB="0" distL="0" distR="0" wp14:anchorId="2C6D088F" wp14:editId="6DEE211A">
            <wp:extent cx="1943100" cy="14701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S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1511" cy="1514320"/>
                    </a:xfrm>
                    <a:prstGeom prst="rect">
                      <a:avLst/>
                    </a:prstGeom>
                  </pic:spPr>
                </pic:pic>
              </a:graphicData>
            </a:graphic>
          </wp:inline>
        </w:drawing>
      </w:r>
    </w:p>
    <w:p w14:paraId="647707A1" w14:textId="77777777" w:rsidR="00707A50" w:rsidRPr="00C15625" w:rsidRDefault="00707A50" w:rsidP="00117FD0">
      <w:pPr>
        <w:pStyle w:val="NoSpacing"/>
        <w:spacing w:line="480" w:lineRule="auto"/>
        <w:rPr>
          <w:rFonts w:ascii="Arial" w:hAnsi="Arial" w:cs="Arial"/>
        </w:rPr>
      </w:pPr>
      <w:r w:rsidRPr="00C15625">
        <w:rPr>
          <w:rFonts w:ascii="Arial" w:hAnsi="Arial" w:cs="Arial"/>
          <w:b/>
        </w:rPr>
        <w:t>Figure S1.</w:t>
      </w:r>
      <w:r w:rsidRPr="00C15625">
        <w:rPr>
          <w:rFonts w:ascii="Arial" w:hAnsi="Arial" w:cs="Arial"/>
        </w:rPr>
        <w:t xml:space="preserve">  Variation in increased death due to virulence.  Because our life table experiment was not long enough to reliably estimate background death rate </w:t>
      </w:r>
      <w:r w:rsidRPr="00C15625">
        <w:rPr>
          <w:rFonts w:ascii="Arial" w:hAnsi="Arial" w:cs="Arial"/>
          <w:i/>
        </w:rPr>
        <w:t>d</w:t>
      </w:r>
      <w:r w:rsidRPr="00C15625">
        <w:rPr>
          <w:rFonts w:ascii="Arial" w:hAnsi="Arial" w:cs="Arial"/>
        </w:rPr>
        <w:t xml:space="preserve">, (not enough hosts died of natural causes), we used </w:t>
      </w:r>
      <w:r w:rsidRPr="00C15625">
        <w:rPr>
          <w:rFonts w:ascii="Arial" w:hAnsi="Arial" w:cs="Arial"/>
          <w:i/>
        </w:rPr>
        <w:t>d</w:t>
      </w:r>
      <w:r w:rsidRPr="00C15625">
        <w:rPr>
          <w:rFonts w:ascii="Arial" w:hAnsi="Arial" w:cs="Arial"/>
        </w:rPr>
        <w:t xml:space="preserve"> = 0.05 day</w:t>
      </w:r>
      <w:r w:rsidRPr="00C15625">
        <w:rPr>
          <w:rFonts w:ascii="Arial" w:hAnsi="Arial" w:cs="Arial"/>
          <w:vertAlign w:val="superscript"/>
        </w:rPr>
        <w:t>-1</w:t>
      </w:r>
      <w:r w:rsidRPr="00C15625">
        <w:rPr>
          <w:rFonts w:ascii="Arial" w:hAnsi="Arial" w:cs="Arial"/>
        </w:rPr>
        <w:t xml:space="preserve"> in all simulations.  However, we estimated virulence </w:t>
      </w:r>
      <w:r w:rsidRPr="00C15625">
        <w:rPr>
          <w:rFonts w:ascii="Arial" w:hAnsi="Arial" w:cs="Arial"/>
          <w:i/>
        </w:rPr>
        <w:t>v</w:t>
      </w:r>
      <w:r w:rsidRPr="00C15625">
        <w:rPr>
          <w:rFonts w:ascii="Arial" w:hAnsi="Arial" w:cs="Arial"/>
        </w:rPr>
        <w:t xml:space="preserve"> (increased death rate due to infection) for each genotype because infected hosts all died within two weeks of the life table experiment.  Death rate of infected hosts was then </w:t>
      </w:r>
      <w:proofErr w:type="spellStart"/>
      <w:r w:rsidRPr="00C15625">
        <w:rPr>
          <w:rFonts w:ascii="Arial" w:hAnsi="Arial" w:cs="Arial"/>
          <w:i/>
        </w:rPr>
        <w:t>d+v</w:t>
      </w:r>
      <w:proofErr w:type="spellEnd"/>
      <w:r w:rsidRPr="00C15625">
        <w:rPr>
          <w:rFonts w:ascii="Arial" w:hAnsi="Arial" w:cs="Arial"/>
        </w:rPr>
        <w:t xml:space="preserve">.  Error bars are 95% confidence intervals.  </w:t>
      </w:r>
    </w:p>
    <w:p w14:paraId="456C948A" w14:textId="77777777" w:rsidR="00707A50" w:rsidRPr="00C15625" w:rsidRDefault="00707A50" w:rsidP="00117FD0">
      <w:pPr>
        <w:pStyle w:val="NoSpacing"/>
        <w:spacing w:line="480" w:lineRule="auto"/>
        <w:rPr>
          <w:rFonts w:ascii="Arial" w:hAnsi="Arial" w:cs="Arial"/>
          <w:b/>
        </w:rPr>
      </w:pPr>
      <w:r w:rsidRPr="00C15625">
        <w:rPr>
          <w:rFonts w:ascii="Arial" w:hAnsi="Arial" w:cs="Arial"/>
          <w:b/>
          <w:noProof/>
        </w:rPr>
        <w:drawing>
          <wp:inline distT="0" distB="0" distL="0" distR="0" wp14:anchorId="6378C367" wp14:editId="2AED21E8">
            <wp:extent cx="2663872" cy="2659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S2.tif"/>
                    <pic:cNvPicPr/>
                  </pic:nvPicPr>
                  <pic:blipFill>
                    <a:blip r:embed="rId7">
                      <a:extLst>
                        <a:ext uri="{28A0092B-C50C-407E-A947-70E740481C1C}">
                          <a14:useLocalDpi xmlns:a14="http://schemas.microsoft.com/office/drawing/2010/main" val="0"/>
                        </a:ext>
                      </a:extLst>
                    </a:blip>
                    <a:stretch>
                      <a:fillRect/>
                    </a:stretch>
                  </pic:blipFill>
                  <pic:spPr>
                    <a:xfrm>
                      <a:off x="0" y="0"/>
                      <a:ext cx="2670478" cy="2665975"/>
                    </a:xfrm>
                    <a:prstGeom prst="rect">
                      <a:avLst/>
                    </a:prstGeom>
                  </pic:spPr>
                </pic:pic>
              </a:graphicData>
            </a:graphic>
          </wp:inline>
        </w:drawing>
      </w:r>
    </w:p>
    <w:p w14:paraId="718B3EEE" w14:textId="77777777" w:rsidR="00707A50" w:rsidRPr="00C15625" w:rsidRDefault="00707A50" w:rsidP="00C154A4">
      <w:pPr>
        <w:pStyle w:val="NoSpacing"/>
        <w:spacing w:line="480" w:lineRule="auto"/>
        <w:rPr>
          <w:rFonts w:ascii="Arial" w:hAnsi="Arial" w:cs="Arial"/>
        </w:rPr>
      </w:pPr>
      <w:r w:rsidRPr="00C15625">
        <w:rPr>
          <w:rFonts w:ascii="Arial" w:hAnsi="Arial" w:cs="Arial"/>
          <w:b/>
        </w:rPr>
        <w:t xml:space="preserve">Figure S2. </w:t>
      </w:r>
      <w:r w:rsidRPr="00C15625">
        <w:rPr>
          <w:rFonts w:ascii="Arial" w:hAnsi="Arial" w:cs="Arial"/>
        </w:rPr>
        <w:t xml:space="preserve">A functional form for the increase of spore yield with density of algal resources, </w:t>
      </w:r>
      <w:r w:rsidRPr="00C15625">
        <w:rPr>
          <w:rFonts w:ascii="Arial" w:hAnsi="Arial" w:cs="Arial"/>
          <w:i/>
        </w:rPr>
        <w:t>σ(R)</w:t>
      </w:r>
      <w:r w:rsidRPr="00C15625">
        <w:rPr>
          <w:rFonts w:ascii="Arial" w:hAnsi="Arial" w:cs="Arial"/>
        </w:rPr>
        <w:t xml:space="preserve">, using previously published data </w:t>
      </w:r>
      <w:r w:rsidRPr="00C15625">
        <w:rPr>
          <w:rFonts w:ascii="Arial" w:hAnsi="Arial" w:cs="Arial"/>
          <w:noProof/>
        </w:rPr>
        <w:t>(Hall</w:t>
      </w:r>
      <w:r w:rsidRPr="00C15625">
        <w:rPr>
          <w:rFonts w:ascii="Arial" w:hAnsi="Arial" w:cs="Arial"/>
          <w:i/>
          <w:noProof/>
        </w:rPr>
        <w:t xml:space="preserve"> et al.</w:t>
      </w:r>
      <w:r w:rsidRPr="00C15625">
        <w:rPr>
          <w:rFonts w:ascii="Arial" w:hAnsi="Arial" w:cs="Arial"/>
          <w:noProof/>
        </w:rPr>
        <w:t xml:space="preserve"> 2009)</w:t>
      </w:r>
      <w:r w:rsidRPr="00C15625">
        <w:rPr>
          <w:rFonts w:ascii="Arial" w:hAnsi="Arial" w:cs="Arial"/>
        </w:rPr>
        <w:t>.  We used the half saturation constant (</w:t>
      </w:r>
      <w:r w:rsidRPr="00C15625">
        <w:rPr>
          <w:rFonts w:ascii="Arial" w:hAnsi="Arial" w:cs="Arial"/>
          <w:i/>
        </w:rPr>
        <w:t>h</w:t>
      </w:r>
      <w:r w:rsidRPr="00C15625">
        <w:rPr>
          <w:rFonts w:ascii="Arial" w:hAnsi="Arial" w:cs="Arial"/>
        </w:rPr>
        <w:t xml:space="preserve">) of the type II function to then map spore yield to resources for the focal hosts here (after estimating maximal spore yield, </w:t>
      </w:r>
      <m:oMath>
        <m:acc>
          <m:accPr>
            <m:ctrlPr>
              <w:rPr>
                <w:rFonts w:ascii="Cambria Math" w:hAnsi="Cambria Math" w:cs="Arial"/>
                <w:i/>
              </w:rPr>
            </m:ctrlPr>
          </m:accPr>
          <m:e>
            <m:r>
              <w:rPr>
                <w:rFonts w:ascii="Cambria Math" w:hAnsi="Cambria Math" w:cs="Arial"/>
              </w:rPr>
              <m:t xml:space="preserve"> σ,</m:t>
            </m:r>
          </m:e>
        </m:acc>
        <m:r>
          <w:rPr>
            <w:rFonts w:ascii="Cambria Math" w:hAnsi="Cambria Math" w:cs="Arial"/>
          </w:rPr>
          <m:t xml:space="preserve"> </m:t>
        </m:r>
      </m:oMath>
      <w:r w:rsidRPr="00C15625">
        <w:rPr>
          <w:rFonts w:ascii="Arial" w:hAnsi="Arial" w:cs="Arial"/>
        </w:rPr>
        <w:t xml:space="preserve">for each clone and converting </w:t>
      </w:r>
      <w:r w:rsidRPr="00C15625">
        <w:rPr>
          <w:rFonts w:ascii="Arial" w:hAnsi="Arial" w:cs="Arial"/>
          <w:i/>
        </w:rPr>
        <w:t>h</w:t>
      </w:r>
      <w:r w:rsidRPr="00C15625">
        <w:rPr>
          <w:rFonts w:ascii="Arial" w:hAnsi="Arial" w:cs="Arial"/>
        </w:rPr>
        <w:t xml:space="preserve"> into appropriate </w:t>
      </w:r>
      <w:proofErr w:type="spellStart"/>
      <w:r w:rsidRPr="00C15625">
        <w:rPr>
          <w:rFonts w:ascii="Arial" w:hAnsi="Arial" w:cs="Arial"/>
        </w:rPr>
        <w:t>chl</w:t>
      </w:r>
      <w:proofErr w:type="spellEnd"/>
      <w:r w:rsidRPr="00C15625">
        <w:rPr>
          <w:rFonts w:ascii="Arial" w:hAnsi="Arial" w:cs="Arial"/>
        </w:rPr>
        <w:t>-</w:t>
      </w:r>
      <w:r w:rsidRPr="00C15625">
        <w:rPr>
          <w:rFonts w:ascii="Arial" w:hAnsi="Arial" w:cs="Arial"/>
          <w:i/>
        </w:rPr>
        <w:t>a</w:t>
      </w:r>
      <w:r w:rsidRPr="00C15625">
        <w:rPr>
          <w:rFonts w:ascii="Arial" w:hAnsi="Arial" w:cs="Arial"/>
        </w:rPr>
        <w:t xml:space="preserve"> units).  Parameter estimates are given with bootstrapped 95% confidence intervals; the grey 95% envelope was also bootstrapped.</w:t>
      </w:r>
    </w:p>
    <w:p w14:paraId="05FA37A3" w14:textId="77777777" w:rsidR="00707A50" w:rsidRPr="00C15625" w:rsidRDefault="00707A50" w:rsidP="00EC0A50">
      <w:pPr>
        <w:pStyle w:val="NoSpacing"/>
        <w:spacing w:line="480" w:lineRule="auto"/>
        <w:rPr>
          <w:rFonts w:ascii="Arial" w:hAnsi="Arial" w:cs="Arial"/>
          <w:b/>
        </w:rPr>
      </w:pPr>
      <w:r w:rsidRPr="00C15625">
        <w:rPr>
          <w:rFonts w:ascii="Arial" w:hAnsi="Arial" w:cs="Arial"/>
          <w:b/>
        </w:rPr>
        <w:lastRenderedPageBreak/>
        <w:t>Appendix S2</w:t>
      </w:r>
    </w:p>
    <w:p w14:paraId="6B350F66" w14:textId="77777777" w:rsidR="00707A50" w:rsidRPr="00C15625" w:rsidRDefault="00707A50" w:rsidP="00EC0A50">
      <w:pPr>
        <w:pStyle w:val="NoSpacing"/>
        <w:spacing w:line="480" w:lineRule="auto"/>
        <w:rPr>
          <w:rFonts w:ascii="Arial" w:hAnsi="Arial" w:cs="Arial"/>
        </w:rPr>
      </w:pPr>
      <w:r w:rsidRPr="00C15625">
        <w:rPr>
          <w:rFonts w:ascii="Arial" w:hAnsi="Arial" w:cs="Arial"/>
        </w:rPr>
        <w:t xml:space="preserve">In this Supplementary Appendix, we display an additional figure showing the total host densities in all simulations and mesocosm experiments.  </w:t>
      </w:r>
    </w:p>
    <w:p w14:paraId="6D9CBC2E" w14:textId="77777777" w:rsidR="00707A50" w:rsidRPr="00C15625" w:rsidRDefault="00E93329" w:rsidP="00EC0A50">
      <w:pPr>
        <w:pStyle w:val="NoSpacing"/>
        <w:spacing w:line="480" w:lineRule="auto"/>
        <w:rPr>
          <w:rFonts w:ascii="Arial" w:hAnsi="Arial" w:cs="Arial"/>
        </w:rPr>
      </w:pPr>
      <w:r>
        <w:rPr>
          <w:rFonts w:ascii="Arial" w:hAnsi="Arial" w:cs="Arial"/>
          <w:noProof/>
        </w:rPr>
        <w:drawing>
          <wp:inline distT="0" distB="0" distL="0" distR="0" wp14:anchorId="663A92CD" wp14:editId="701EB449">
            <wp:extent cx="5943600" cy="546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dens.tif"/>
                    <pic:cNvPicPr/>
                  </pic:nvPicPr>
                  <pic:blipFill>
                    <a:blip r:embed="rId8">
                      <a:extLst>
                        <a:ext uri="{28A0092B-C50C-407E-A947-70E740481C1C}">
                          <a14:useLocalDpi xmlns:a14="http://schemas.microsoft.com/office/drawing/2010/main" val="0"/>
                        </a:ext>
                      </a:extLst>
                    </a:blip>
                    <a:stretch>
                      <a:fillRect/>
                    </a:stretch>
                  </pic:blipFill>
                  <pic:spPr>
                    <a:xfrm>
                      <a:off x="0" y="0"/>
                      <a:ext cx="5943600" cy="5467985"/>
                    </a:xfrm>
                    <a:prstGeom prst="rect">
                      <a:avLst/>
                    </a:prstGeom>
                  </pic:spPr>
                </pic:pic>
              </a:graphicData>
            </a:graphic>
          </wp:inline>
        </w:drawing>
      </w:r>
    </w:p>
    <w:p w14:paraId="30EC21C7" w14:textId="77777777" w:rsidR="00707A50" w:rsidRPr="00EF5427" w:rsidRDefault="00707A50" w:rsidP="00EC0A50">
      <w:pPr>
        <w:pStyle w:val="NoSpacing"/>
        <w:spacing w:line="480" w:lineRule="auto"/>
        <w:rPr>
          <w:rFonts w:ascii="Arial" w:hAnsi="Arial" w:cs="Arial"/>
        </w:rPr>
      </w:pPr>
      <w:r w:rsidRPr="00C15625">
        <w:rPr>
          <w:rFonts w:ascii="Arial" w:hAnsi="Arial" w:cs="Arial"/>
          <w:b/>
        </w:rPr>
        <w:t xml:space="preserve">Figure S3.  </w:t>
      </w:r>
      <w:r w:rsidRPr="00C15625">
        <w:rPr>
          <w:rFonts w:ascii="Arial" w:hAnsi="Arial" w:cs="Arial"/>
        </w:rPr>
        <w:t>Variation in density of total (susceptible and infected) focal hosts and competitor/diluters depends on competitive ability (</w:t>
      </w:r>
      <w:r w:rsidRPr="00C15625">
        <w:rPr>
          <w:rFonts w:ascii="Arial" w:hAnsi="Arial" w:cs="Arial"/>
          <w:i/>
        </w:rPr>
        <w:t>R*</w:t>
      </w:r>
      <w:r w:rsidRPr="00C15625">
        <w:rPr>
          <w:rFonts w:ascii="Arial" w:hAnsi="Arial" w:cs="Arial"/>
        </w:rPr>
        <w:t>) and the potential for disease spread (</w:t>
      </w:r>
      <w:r w:rsidRPr="00C15625">
        <w:rPr>
          <w:rFonts w:ascii="Arial" w:hAnsi="Arial" w:cs="Arial"/>
          <w:i/>
        </w:rPr>
        <w:t>R</w:t>
      </w:r>
      <w:r w:rsidRPr="00C15625">
        <w:rPr>
          <w:rFonts w:ascii="Arial" w:hAnsi="Arial" w:cs="Arial"/>
          <w:i/>
          <w:vertAlign w:val="subscript"/>
        </w:rPr>
        <w:t>0</w:t>
      </w:r>
      <w:r w:rsidRPr="00C15625">
        <w:rPr>
          <w:rFonts w:ascii="Arial" w:hAnsi="Arial" w:cs="Arial"/>
        </w:rPr>
        <w:t>) among three focal host genotypes.  Solid lines: focal hosts alone; dashed lines: focal hosts with competitor/diluters; blue dotted lines: competitor/diluters with focal hosts.  Error bars are standard errors.</w:t>
      </w:r>
    </w:p>
    <w:p w14:paraId="6DD8ACE0" w14:textId="77777777" w:rsidR="00000000" w:rsidRDefault="00000000"/>
    <w:sectPr w:rsidR="00D15FC3" w:rsidSect="002E35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A2BF" w14:textId="77777777" w:rsidR="000B1D50" w:rsidRDefault="000B1D50">
      <w:pPr>
        <w:spacing w:after="0" w:line="240" w:lineRule="auto"/>
      </w:pPr>
      <w:r>
        <w:separator/>
      </w:r>
    </w:p>
  </w:endnote>
  <w:endnote w:type="continuationSeparator" w:id="0">
    <w:p w14:paraId="15150306" w14:textId="77777777" w:rsidR="000B1D50" w:rsidRDefault="000B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86B5" w14:textId="77777777" w:rsidR="000B1D50" w:rsidRDefault="000B1D50">
      <w:pPr>
        <w:spacing w:after="0" w:line="240" w:lineRule="auto"/>
      </w:pPr>
      <w:r>
        <w:separator/>
      </w:r>
    </w:p>
  </w:footnote>
  <w:footnote w:type="continuationSeparator" w:id="0">
    <w:p w14:paraId="6147578C" w14:textId="77777777" w:rsidR="000B1D50" w:rsidRDefault="000B1D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241260"/>
      <w:docPartObj>
        <w:docPartGallery w:val="Page Numbers (Top of Page)"/>
        <w:docPartUnique/>
      </w:docPartObj>
    </w:sdtPr>
    <w:sdtEndPr>
      <w:rPr>
        <w:noProof/>
      </w:rPr>
    </w:sdtEndPr>
    <w:sdtContent>
      <w:p w14:paraId="6740999D" w14:textId="77777777" w:rsidR="00000000" w:rsidRDefault="00707A50">
        <w:pPr>
          <w:pStyle w:val="Header"/>
          <w:jc w:val="right"/>
        </w:pPr>
        <w:r>
          <w:fldChar w:fldCharType="begin"/>
        </w:r>
        <w:r>
          <w:instrText xml:space="preserve"> PAGE   \* MERGEFORMAT </w:instrText>
        </w:r>
        <w:r>
          <w:fldChar w:fldCharType="separate"/>
        </w:r>
        <w:r w:rsidR="00E93329">
          <w:rPr>
            <w:noProof/>
          </w:rPr>
          <w:t>11</w:t>
        </w:r>
        <w:r>
          <w:rPr>
            <w:noProof/>
          </w:rPr>
          <w:fldChar w:fldCharType="end"/>
        </w:r>
      </w:p>
    </w:sdtContent>
  </w:sdt>
  <w:p w14:paraId="34520071"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707A50"/>
    <w:rsid w:val="00054B35"/>
    <w:rsid w:val="000B1D50"/>
    <w:rsid w:val="00707A50"/>
    <w:rsid w:val="007C754E"/>
    <w:rsid w:val="0099326C"/>
    <w:rsid w:val="009F2900"/>
    <w:rsid w:val="00E93329"/>
    <w:rsid w:val="00EC0A52"/>
    <w:rsid w:val="00F36C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C9AE"/>
  <w15:chartTrackingRefBased/>
  <w15:docId w15:val="{4C01F84B-3E24-4880-9920-F3A0A3E6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A5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7A50"/>
    <w:pPr>
      <w:spacing w:after="0" w:line="240" w:lineRule="auto"/>
    </w:pPr>
    <w:rPr>
      <w:rFonts w:eastAsiaTheme="minorEastAsia"/>
    </w:rPr>
  </w:style>
  <w:style w:type="paragraph" w:styleId="Header">
    <w:name w:val="header"/>
    <w:basedOn w:val="Normal"/>
    <w:link w:val="HeaderChar"/>
    <w:uiPriority w:val="99"/>
    <w:unhideWhenUsed/>
    <w:rsid w:val="00707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A50"/>
    <w:rPr>
      <w:rFonts w:eastAsiaTheme="minorEastAsia"/>
    </w:rPr>
  </w:style>
  <w:style w:type="character" w:customStyle="1" w:styleId="NoSpacingChar">
    <w:name w:val="No Spacing Char"/>
    <w:basedOn w:val="DefaultParagraphFont"/>
    <w:link w:val="NoSpacing"/>
    <w:uiPriority w:val="1"/>
    <w:rsid w:val="00707A50"/>
    <w:rPr>
      <w:rFonts w:eastAsiaTheme="minorEastAsia"/>
    </w:rPr>
  </w:style>
  <w:style w:type="character" w:styleId="LineNumber">
    <w:name w:val="line number"/>
    <w:basedOn w:val="DefaultParagraphFont"/>
    <w:uiPriority w:val="99"/>
    <w:semiHidden/>
    <w:unhideWhenUsed/>
    <w:rsid w:val="00707A50"/>
  </w:style>
  <w:style w:type="paragraph" w:customStyle="1" w:styleId="EndNoteBibliographyTitle">
    <w:name w:val="EndNote Bibliography Title"/>
    <w:basedOn w:val="Normal"/>
    <w:link w:val="EndNoteBibliographyTitleChar"/>
    <w:rsid w:val="00707A50"/>
    <w:pPr>
      <w:spacing w:after="0"/>
      <w:jc w:val="center"/>
    </w:pPr>
    <w:rPr>
      <w:rFonts w:ascii="Calibri" w:hAnsi="Calibri"/>
      <w:noProof/>
    </w:rPr>
  </w:style>
  <w:style w:type="character" w:customStyle="1" w:styleId="EndNoteBibliographyTitleChar">
    <w:name w:val="EndNote Bibliography Title Char"/>
    <w:basedOn w:val="NoSpacingChar"/>
    <w:link w:val="EndNoteBibliographyTitle"/>
    <w:rsid w:val="00707A50"/>
    <w:rPr>
      <w:rFonts w:ascii="Calibri" w:eastAsiaTheme="minorEastAsia" w:hAnsi="Calibri"/>
      <w:noProof/>
    </w:rPr>
  </w:style>
  <w:style w:type="paragraph" w:customStyle="1" w:styleId="EndNoteBibliography">
    <w:name w:val="EndNote Bibliography"/>
    <w:basedOn w:val="Normal"/>
    <w:link w:val="EndNoteBibliographyChar"/>
    <w:rsid w:val="00707A50"/>
    <w:pPr>
      <w:spacing w:line="240" w:lineRule="auto"/>
    </w:pPr>
    <w:rPr>
      <w:rFonts w:ascii="Calibri" w:hAnsi="Calibri"/>
      <w:noProof/>
    </w:rPr>
  </w:style>
  <w:style w:type="character" w:customStyle="1" w:styleId="EndNoteBibliographyChar">
    <w:name w:val="EndNote Bibliography Char"/>
    <w:basedOn w:val="NoSpacingChar"/>
    <w:link w:val="EndNoteBibliography"/>
    <w:rsid w:val="00707A50"/>
    <w:rPr>
      <w:rFonts w:ascii="Calibri" w:eastAsiaTheme="minorEastAsia"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Relationship Id="rId3" Type="http://schemas.openxmlformats.org/officeDocument/2006/relationships/webSettings" Target="webSettings.xml"/><Relationship Id="rId7" Type="http://schemas.openxmlformats.org/officeDocument/2006/relationships/image" Target="media/image2.t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Daniel Suh</cp:lastModifiedBy>
  <cp:revision>3</cp:revision>
  <dcterms:created xsi:type="dcterms:W3CDTF">2015-05-18T18:13:00Z</dcterms:created>
  <dcterms:modified xsi:type="dcterms:W3CDTF">2023-11-01T21:42:00Z</dcterms:modified>
</cp:coreProperties>
</file>