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Sleep Research Notes</w:t>
      </w:r>
    </w:p>
    <w:p>
      <w:r>
        <w:t>Key insight: the temperature drop of 1–2°C that initiates sleep onset is driven by distal vasodilation (hands and feet), not core cooling.</w:t>
      </w:r>
    </w:p>
    <w:p>
      <w:r>
        <w:t>Action: test 18°C bedroom vs 20°C bedroom for two weeks and track sleep-onset latency using the Oura ring.</w:t>
      </w:r>
    </w:p>
    <w:p>
      <w:r>
        <w:t>Reference: Matthew Walker — 'Why We Sleep', Chapter 7 covers thermoregulation in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