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2F5496"/>
          <w:sz w:val="34"/>
          <w:szCs w:val="34"/>
        </w:rPr>
        <w:t xml:space="preserve">Sprint 4 Progress — Localisation (English / Bangla), continued</w:t>
      </w:r>
    </w:p>
    <w:p>
      <w:pPr>
        <w:spacing w:after="240"/>
      </w:pPr>
      <w:r>
        <w:rPr>
          <w:rFonts w:ascii="Calibri" w:cs="Calibri" w:eastAsia="Calibri" w:hAnsi="Calibri"/>
          <w:i/>
          <w:iCs/>
          <w:color w:val="595959"/>
          <w:sz w:val="20"/>
          <w:szCs w:val="20"/>
        </w:rPr>
        <w:t xml:space="preserve">Digital Career Hub — ICT30017  |  Individual contribution: Ian Rashmika  |  Feature area: Localisation (i18n)</w:t>
      </w:r>
    </w:p>
    <w:p>
      <w:pPr>
        <w:spacing w:after="160" w:line="276"/>
      </w:pPr>
      <w:r>
        <w:rPr>
          <w:rFonts w:ascii="Calibri" w:cs="Calibri" w:eastAsia="Calibri" w:hAnsi="Calibri"/>
          <w:b/>
          <w:bCs/>
          <w:sz w:val="22"/>
          <w:szCs w:val="22"/>
        </w:rPr>
        <w:t xml:space="preserve">Note on this draft: </w:t>
      </w:r>
      <w:r>
        <w:rPr>
          <w:rFonts w:ascii="Calibri" w:cs="Calibri" w:eastAsia="Calibri" w:hAnsi="Calibri"/>
          <w:sz w:val="22"/>
          <w:szCs w:val="22"/>
        </w:rPr>
        <w:t xml:space="preserve">as with the Sprint 3 section, the content below is drawn from the project repository — the actual translation keys wired into each component, the shared dictionary, and the test suite — rather than written generically. Two boxes are marked for you to fill in directly: the screenshot placeholders (this session has no live view of the running app), and one note asking you to name the specific bugs found during the debugging pass, since that detail lives only with you.</w:t>
      </w:r>
    </w:p>
    <w:p>
      <w:pPr>
        <w:spacing w:after="160"/>
      </w:pPr>
    </w:p>
    <w:p>
      <w:pPr>
        <w:pStyle w:val="Heading1"/>
        <w:spacing w:after="160" w:before="320"/>
      </w:pPr>
      <w:r>
        <w:rPr>
          <w:rFonts w:ascii="Calibri" w:cs="Calibri" w:eastAsia="Calibri" w:hAnsi="Calibri"/>
          <w:b/>
          <w:bCs/>
          <w:color w:val="2F5496"/>
          <w:sz w:val="30"/>
          <w:szCs w:val="30"/>
        </w:rPr>
        <w:t xml:space="preserve">Sprint Progress</w:t>
      </w:r>
    </w:p>
    <w:p>
      <w:pPr>
        <w:spacing w:after="160" w:line="276"/>
      </w:pPr>
      <w:r>
        <w:rPr>
          <w:rFonts w:ascii="Calibri" w:cs="Calibri" w:eastAsia="Calibri" w:hAnsi="Calibri"/>
          <w:sz w:val="22"/>
          <w:szCs w:val="22"/>
        </w:rPr>
        <w:t xml:space="preserve">Sprint 3 delivered the localisation infrastructure — the dictionary, the shared language context, server-side response translation, and bilingual database content — across the site's primary pages, but the Resume Review flow was left for this sprint: it is by a wide margin the most text-heavy part of the interface, spanning an upload page, a results page that doubles as the “view a sample” example, and its own error page. This sprint completed that flow and re-verified the pages translated in Sprint 3 alongside it.</w:t>
      </w:r>
    </w:p>
    <w:p>
      <w:pPr>
        <w:pStyle w:val="Heading2"/>
        <w:spacing w:after="140" w:before="280"/>
      </w:pPr>
      <w:r>
        <w:rPr>
          <w:rFonts w:ascii="Calibri" w:cs="Calibri" w:eastAsia="Calibri" w:hAnsi="Calibri"/>
          <w:b/>
          <w:bCs/>
          <w:color w:val="2F5496"/>
          <w:sz w:val="26"/>
          <w:szCs w:val="26"/>
        </w:rPr>
        <w:t xml:space="preserve">1–3. Completing the Resume Review flow</w:t>
      </w:r>
    </w:p>
    <w:p>
      <w:pPr>
        <w:spacing w:after="160" w:line="276"/>
      </w:pPr>
      <w:r>
        <w:rPr>
          <w:rFonts w:ascii="Calibri" w:cs="Calibri" w:eastAsia="Calibri" w:hAnsi="Calibri"/>
          <w:sz w:val="22"/>
          <w:szCs w:val="22"/>
        </w:rPr>
        <w:t xml:space="preserve">All three screens in the flow now read every string through the same useLanguage() hook used everywhere else in the app — t() for interface text, n() for numerals, tc() where a value is not owned by the dictionary — rather than any hardcoded English left over from earlier sprints. Together they account for 122 of the 415 keys now defined in the dictionary (client/src/i18n/en.js / bn.js), just under a third of the entire interface's translated text sitting inside this one feature: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50"/>
      </w:tblGrid>
      <w:tr>
        <w:tc>
          <w:tcPr>
            <w:tcW w:type="dxa" w:w="2400"/>
            <w:shd w:fill="2F5496"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Page</w:t>
            </w:r>
          </w:p>
        </w:tc>
        <w:tc>
          <w:tcPr>
            <w:tcW w:type="dxa" w:w="2000"/>
            <w:shd w:fill="2F5496"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Translation keys wired</w:t>
            </w:r>
          </w:p>
        </w:tc>
        <w:tc>
          <w:tcPr>
            <w:tcW w:type="dxa" w:w="4950"/>
            <w:shd w:fill="2F5496"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it covers</w:t>
            </w:r>
          </w:p>
        </w:tc>
      </w:tr>
      <w:tr>
        <w:tc>
          <w:tcPr>
            <w:tcW w:type="dxa" w:w="2400"/>
            <w:tcMar>
              <w:top w:type="dxa" w:w="100"/>
              <w:left w:type="dxa" w:w="120"/>
              <w:bottom w:type="dxa" w:w="100"/>
              <w:right w:type="dxa" w:w="120"/>
            </w:tcMar>
          </w:tcPr>
          <w:p>
            <w:r>
              <w:rPr>
                <w:rFonts w:ascii="Calibri" w:cs="Calibri" w:eastAsia="Calibri" w:hAnsi="Calibri"/>
                <w:sz w:val="20"/>
                <w:szCs w:val="20"/>
              </w:rPr>
              <w:t xml:space="preserve">Resume Review</w:t>
            </w:r>
          </w:p>
          <w:p>
            <w:r>
              <w:rPr>
                <w:rFonts w:ascii="Calibri" w:cs="Calibri" w:eastAsia="Calibri" w:hAnsi="Calibri"/>
                <w:sz w:val="20"/>
                <w:szCs w:val="20"/>
              </w:rPr>
              <w:t xml:space="preserve">(client/src/pages/ResumeReview.jsx)</w:t>
            </w:r>
          </w:p>
        </w:tc>
        <w:tc>
          <w:tcPr>
            <w:tcW w:type="dxa" w:w="2000"/>
            <w:tcMar>
              <w:top w:type="dxa" w:w="100"/>
              <w:left w:type="dxa" w:w="120"/>
              <w:bottom w:type="dxa" w:w="100"/>
              <w:right w:type="dxa" w:w="120"/>
            </w:tcMar>
          </w:tcPr>
          <w:p>
            <w:r>
              <w:rPr>
                <w:rFonts w:ascii="Calibri" w:cs="Calibri" w:eastAsia="Calibri" w:hAnsi="Calibri"/>
                <w:sz w:val="20"/>
                <w:szCs w:val="20"/>
              </w:rPr>
              <w:t xml:space="preserve">37 keys</w:t>
            </w:r>
          </w:p>
          <w:p>
            <w:r>
              <w:rPr>
                <w:rFonts w:ascii="Calibri" w:cs="Calibri" w:eastAsia="Calibri" w:hAnsi="Calibri"/>
                <w:sz w:val="20"/>
                <w:szCs w:val="20"/>
              </w:rPr>
              <w:t xml:space="preserve">(review.*)</w:t>
            </w:r>
          </w:p>
        </w:tc>
        <w:tc>
          <w:tcPr>
            <w:tcW w:type="dxa" w:w="4950"/>
            <w:tcMar>
              <w:top w:type="dxa" w:w="100"/>
              <w:left w:type="dxa" w:w="120"/>
              <w:bottom w:type="dxa" w:w="100"/>
              <w:right w:type="dxa" w:w="120"/>
            </w:tcMar>
          </w:tcPr>
          <w:p>
            <w:r>
              <w:rPr>
                <w:rFonts w:ascii="Calibri" w:cs="Calibri" w:eastAsia="Calibri" w:hAnsi="Calibri"/>
                <w:sz w:val="20"/>
                <w:szCs w:val="20"/>
              </w:rPr>
              <w:t xml:space="preserve">Market selection (Bangladesh / International, with descriptions), drag-and-drop upload states, job-role and job-ad context fields, cover-letter enhancement toggle, quota messaging for anonymous / exhausted / unlimited users, the sample-review entry point, and the four-step analysing-progress copy.</w:t>
            </w:r>
          </w:p>
        </w:tc>
      </w:tr>
      <w:tr>
        <w:tc>
          <w:tcPr>
            <w:tcW w:type="dxa" w:w="2400"/>
            <w:tcMar>
              <w:top w:type="dxa" w:w="100"/>
              <w:left w:type="dxa" w:w="120"/>
              <w:bottom w:type="dxa" w:w="100"/>
              <w:right w:type="dxa" w:w="120"/>
            </w:tcMar>
          </w:tcPr>
          <w:p>
            <w:r>
              <w:rPr>
                <w:rFonts w:ascii="Calibri" w:cs="Calibri" w:eastAsia="Calibri" w:hAnsi="Calibri"/>
                <w:sz w:val="20"/>
                <w:szCs w:val="20"/>
              </w:rPr>
              <w:t xml:space="preserve">Results / Example</w:t>
            </w:r>
          </w:p>
          <w:p>
            <w:r>
              <w:rPr>
                <w:rFonts w:ascii="Calibri" w:cs="Calibri" w:eastAsia="Calibri" w:hAnsi="Calibri"/>
                <w:sz w:val="20"/>
                <w:szCs w:val="20"/>
              </w:rPr>
              <w:t xml:space="preserve">(client/src/pages/ResultsView.jsx)</w:t>
            </w:r>
          </w:p>
        </w:tc>
        <w:tc>
          <w:tcPr>
            <w:tcW w:type="dxa" w:w="2000"/>
            <w:tcMar>
              <w:top w:type="dxa" w:w="100"/>
              <w:left w:type="dxa" w:w="120"/>
              <w:bottom w:type="dxa" w:w="100"/>
              <w:right w:type="dxa" w:w="120"/>
            </w:tcMar>
          </w:tcPr>
          <w:p>
            <w:r>
              <w:rPr>
                <w:rFonts w:ascii="Calibri" w:cs="Calibri" w:eastAsia="Calibri" w:hAnsi="Calibri"/>
                <w:sz w:val="20"/>
                <w:szCs w:val="20"/>
              </w:rPr>
              <w:t xml:space="preserve">46 keys</w:t>
            </w:r>
          </w:p>
          <w:p>
            <w:r>
              <w:rPr>
                <w:rFonts w:ascii="Calibri" w:cs="Calibri" w:eastAsia="Calibri" w:hAnsi="Calibri"/>
                <w:sz w:val="20"/>
                <w:szCs w:val="20"/>
              </w:rPr>
              <w:t xml:space="preserve">(results.*)</w:t>
            </w:r>
          </w:p>
        </w:tc>
        <w:tc>
          <w:tcPr>
            <w:tcW w:type="dxa" w:w="4950"/>
            <w:tcMar>
              <w:top w:type="dxa" w:w="100"/>
              <w:left w:type="dxa" w:w="120"/>
              <w:bottom w:type="dxa" w:w="100"/>
              <w:right w:type="dxa" w:w="120"/>
            </w:tcMar>
          </w:tcPr>
          <w:p>
            <w:r>
              <w:rPr>
                <w:rFonts w:ascii="Calibri" w:cs="Calibri" w:eastAsia="Calibri" w:hAnsi="Calibri"/>
                <w:sz w:val="20"/>
                <w:szCs w:val="20"/>
              </w:rPr>
              <w:t xml:space="preserve">Score cards for content, format, ATS and language; strengths, weaknesses and recommendations; keyword matched / missing / gaps; ATS tips; PDF preview loading and error states; download and email actions; the re-analyse flow; and the sample-mode notice banner. This one component renders both a real analysis and the “view a sample” example (client/src/data/sampleReview.js), so translating it covers both at once.</w:t>
            </w:r>
          </w:p>
        </w:tc>
      </w:tr>
      <w:tr>
        <w:tc>
          <w:tcPr>
            <w:tcW w:type="dxa" w:w="2400"/>
            <w:tcMar>
              <w:top w:type="dxa" w:w="100"/>
              <w:left w:type="dxa" w:w="120"/>
              <w:bottom w:type="dxa" w:w="100"/>
              <w:right w:type="dxa" w:w="120"/>
            </w:tcMar>
          </w:tcPr>
          <w:p>
            <w:r>
              <w:rPr>
                <w:rFonts w:ascii="Calibri" w:cs="Calibri" w:eastAsia="Calibri" w:hAnsi="Calibri"/>
                <w:sz w:val="20"/>
                <w:szCs w:val="20"/>
              </w:rPr>
              <w:t xml:space="preserve">Analysis Error</w:t>
            </w:r>
          </w:p>
          <w:p>
            <w:r>
              <w:rPr>
                <w:rFonts w:ascii="Calibri" w:cs="Calibri" w:eastAsia="Calibri" w:hAnsi="Calibri"/>
                <w:sz w:val="20"/>
                <w:szCs w:val="20"/>
              </w:rPr>
              <w:t xml:space="preserve">(client/src/pages/ResumeAnalysisError.jsx)</w:t>
            </w:r>
          </w:p>
        </w:tc>
        <w:tc>
          <w:tcPr>
            <w:tcW w:type="dxa" w:w="2000"/>
            <w:tcMar>
              <w:top w:type="dxa" w:w="100"/>
              <w:left w:type="dxa" w:w="120"/>
              <w:bottom w:type="dxa" w:w="100"/>
              <w:right w:type="dxa" w:w="120"/>
            </w:tcMar>
          </w:tcPr>
          <w:p>
            <w:r>
              <w:rPr>
                <w:rFonts w:ascii="Calibri" w:cs="Calibri" w:eastAsia="Calibri" w:hAnsi="Calibri"/>
                <w:sz w:val="20"/>
                <w:szCs w:val="20"/>
              </w:rPr>
              <w:t xml:space="preserve">16 keys</w:t>
            </w:r>
          </w:p>
          <w:p>
            <w:r>
              <w:rPr>
                <w:rFonts w:ascii="Calibri" w:cs="Calibri" w:eastAsia="Calibri" w:hAnsi="Calibri"/>
                <w:sz w:val="20"/>
                <w:szCs w:val="20"/>
              </w:rPr>
              <w:t xml:space="preserve">(reviewError.*)</w:t>
            </w:r>
          </w:p>
        </w:tc>
        <w:tc>
          <w:tcPr>
            <w:tcW w:type="dxa" w:w="4950"/>
            <w:tcMar>
              <w:top w:type="dxa" w:w="100"/>
              <w:left w:type="dxa" w:w="120"/>
              <w:bottom w:type="dxa" w:w="100"/>
              <w:right w:type="dxa" w:w="120"/>
            </w:tcMar>
          </w:tcPr>
          <w:p>
            <w:r>
              <w:rPr>
                <w:rFonts w:ascii="Calibri" w:cs="Calibri" w:eastAsia="Calibri" w:hAnsi="Calibri"/>
                <w:sz w:val="20"/>
                <w:szCs w:val="20"/>
              </w:rPr>
              <w:t xml:space="preserve">A distinct title and body for each failure the resume upload can hit — file too large, wrong file type, unreadable file, AI service busy, rate limited, and a generic fallback — rather than one generic error message in every case.</w:t>
            </w:r>
          </w:p>
        </w:tc>
      </w:tr>
    </w:tbl>
    <w:p>
      <w:pPr>
        <w:spacing w:after="160"/>
      </w:pP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9350"/>
      </w:tblGrid>
      <w:tr>
        <w:tc>
          <w:tcPr>
            <w:tcW w:type="dxa" w:w="9350"/>
            <w:shd w:fill="F2F2F2" w:color="auto" w:val="clear"/>
            <w:tcMar>
              <w:top w:type="dxa" w:w="160"/>
              <w:left w:type="dxa" w:w="200"/>
              <w:bottom w:type="dxa" w:w="160"/>
              <w:right w:type="dxa" w:w="200"/>
            </w:tcMar>
          </w:tcPr>
          <w:p>
            <w:pPr>
              <w:spacing w:after="80"/>
            </w:pPr>
            <w:r>
              <w:rPr>
                <w:rFonts w:ascii="Calibri" w:cs="Calibri" w:eastAsia="Calibri" w:hAnsi="Calibri"/>
                <w:b/>
                <w:bCs/>
                <w:color w:val="7F7F7F"/>
                <w:sz w:val="22"/>
                <w:szCs w:val="22"/>
              </w:rPr>
              <w:t xml:space="preserve">[ Figure 1 — screenshot to be inserted ]</w:t>
            </w:r>
          </w:p>
          <w:p>
            <w:pPr>
              <w:spacing w:after="60"/>
            </w:pPr>
            <w:r>
              <w:rPr>
                <w:rFonts w:ascii="Calibri" w:cs="Calibri" w:eastAsia="Calibri" w:hAnsi="Calibri"/>
                <w:b/>
                <w:bCs/>
                <w:i/>
                <w:iCs/>
                <w:sz w:val="22"/>
                <w:szCs w:val="22"/>
              </w:rPr>
              <w:t xml:space="preserve">Resume Review upload page, EN and BN</w:t>
            </w:r>
          </w:p>
          <w:p>
            <w:r>
              <w:rPr>
                <w:rFonts w:ascii="Calibri" w:cs="Calibri" w:eastAsia="Calibri" w:hAnsi="Calibri"/>
                <w:i/>
                <w:iCs/>
                <w:color w:val="595959"/>
                <w:sz w:val="20"/>
                <w:szCs w:val="20"/>
              </w:rPr>
              <w:t xml:space="preserve">Screenshot the upload page (market selection + drag-and-drop area) once with the toggle on EN and once on BN.</w:t>
            </w:r>
          </w:p>
        </w:tc>
      </w:tr>
    </w:tbl>
    <w:p>
      <w:pPr>
        <w:spacing w:after="160"/>
      </w:pP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9350"/>
      </w:tblGrid>
      <w:tr>
        <w:tc>
          <w:tcPr>
            <w:tcW w:type="dxa" w:w="9350"/>
            <w:shd w:fill="F2F2F2" w:color="auto" w:val="clear"/>
            <w:tcMar>
              <w:top w:type="dxa" w:w="160"/>
              <w:left w:type="dxa" w:w="200"/>
              <w:bottom w:type="dxa" w:w="160"/>
              <w:right w:type="dxa" w:w="200"/>
            </w:tcMar>
          </w:tcPr>
          <w:p>
            <w:pPr>
              <w:spacing w:after="80"/>
            </w:pPr>
            <w:r>
              <w:rPr>
                <w:rFonts w:ascii="Calibri" w:cs="Calibri" w:eastAsia="Calibri" w:hAnsi="Calibri"/>
                <w:b/>
                <w:bCs/>
                <w:color w:val="7F7F7F"/>
                <w:sz w:val="22"/>
                <w:szCs w:val="22"/>
              </w:rPr>
              <w:t xml:space="preserve">[ Figure 2 — screenshot to be inserted ]</w:t>
            </w:r>
          </w:p>
          <w:p>
            <w:pPr>
              <w:spacing w:after="60"/>
            </w:pPr>
            <w:r>
              <w:rPr>
                <w:rFonts w:ascii="Calibri" w:cs="Calibri" w:eastAsia="Calibri" w:hAnsi="Calibri"/>
                <w:b/>
                <w:bCs/>
                <w:i/>
                <w:iCs/>
                <w:sz w:val="22"/>
                <w:szCs w:val="22"/>
              </w:rPr>
              <w:t xml:space="preserve">Resume Review results page, EN and BN (real result or the sample view)</w:t>
            </w:r>
          </w:p>
          <w:p>
            <w:r>
              <w:rPr>
                <w:rFonts w:ascii="Calibri" w:cs="Calibri" w:eastAsia="Calibri" w:hAnsi="Calibri"/>
                <w:i/>
                <w:iCs/>
                <w:color w:val="595959"/>
                <w:sz w:val="20"/>
                <w:szCs w:val="20"/>
              </w:rPr>
              <w:t xml:space="preserve">Screenshot the results page — either a real analysis or via “View a sample” — showing the score cards and one findings section (e.g. Strengths or Keyword Gaps) translated into Bangla.</w:t>
            </w:r>
          </w:p>
        </w:tc>
      </w:tr>
    </w:tbl>
    <w:p>
      <w:pPr>
        <w:spacing w:after="160"/>
      </w:pP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9350"/>
      </w:tblGrid>
      <w:tr>
        <w:tc>
          <w:tcPr>
            <w:tcW w:type="dxa" w:w="9350"/>
            <w:shd w:fill="F2F2F2" w:color="auto" w:val="clear"/>
            <w:tcMar>
              <w:top w:type="dxa" w:w="160"/>
              <w:left w:type="dxa" w:w="200"/>
              <w:bottom w:type="dxa" w:w="160"/>
              <w:right w:type="dxa" w:w="200"/>
            </w:tcMar>
          </w:tcPr>
          <w:p>
            <w:pPr>
              <w:spacing w:after="80"/>
            </w:pPr>
            <w:r>
              <w:rPr>
                <w:rFonts w:ascii="Calibri" w:cs="Calibri" w:eastAsia="Calibri" w:hAnsi="Calibri"/>
                <w:b/>
                <w:bCs/>
                <w:color w:val="7F7F7F"/>
                <w:sz w:val="22"/>
                <w:szCs w:val="22"/>
              </w:rPr>
              <w:t xml:space="preserve">[ Figure 3 — screenshot to be inserted ]</w:t>
            </w:r>
          </w:p>
          <w:p>
            <w:pPr>
              <w:spacing w:after="60"/>
            </w:pPr>
            <w:r>
              <w:rPr>
                <w:rFonts w:ascii="Calibri" w:cs="Calibri" w:eastAsia="Calibri" w:hAnsi="Calibri"/>
                <w:b/>
                <w:bCs/>
                <w:i/>
                <w:iCs/>
                <w:sz w:val="22"/>
                <w:szCs w:val="22"/>
              </w:rPr>
              <w:t xml:space="preserve">A resume analysis error, shown in Bangla</w:t>
            </w:r>
          </w:p>
          <w:p>
            <w:r>
              <w:rPr>
                <w:rFonts w:ascii="Calibri" w:cs="Calibri" w:eastAsia="Calibri" w:hAnsi="Calibri"/>
                <w:i/>
                <w:iCs/>
                <w:color w:val="595959"/>
                <w:sz w:val="20"/>
                <w:szCs w:val="20"/>
              </w:rPr>
              <w:t xml:space="preserve">Trigger one of the upload error states (e.g. drop an oversized file, or a .txt file) with the site set to BN, and screenshot the translated error title and body.</w:t>
            </w:r>
          </w:p>
        </w:tc>
      </w:tr>
    </w:tbl>
    <w:p>
      <w:pPr>
        <w:spacing w:after="160"/>
      </w:pPr>
    </w:p>
    <w:p>
      <w:pPr>
        <w:pStyle w:val="Heading2"/>
        <w:spacing w:after="140" w:before="280"/>
      </w:pPr>
      <w:r>
        <w:rPr>
          <w:rFonts w:ascii="Calibri" w:cs="Calibri" w:eastAsia="Calibri" w:hAnsi="Calibri"/>
          <w:b/>
          <w:bCs/>
          <w:color w:val="2F5496"/>
          <w:sz w:val="26"/>
          <w:szCs w:val="26"/>
        </w:rPr>
        <w:t xml:space="preserve">4. Debugging pass across the Sprint 3 pages</w:t>
      </w:r>
    </w:p>
    <w:p>
      <w:pPr>
        <w:spacing w:after="160" w:line="276"/>
      </w:pPr>
      <w:r>
        <w:rPr>
          <w:rFonts w:ascii="Calibri" w:cs="Calibri" w:eastAsia="Calibri" w:hAnsi="Calibri"/>
          <w:sz w:val="22"/>
          <w:szCs w:val="22"/>
        </w:rPr>
        <w:t xml:space="preserve">Alongside the new pages, this sprint re-checked the pages translated in Sprint 3 — Home, Navbar, Login, Register, Resources, Career Paths and Alumni — for translation regressions, and re-ran the automated dictionary-parity suite (client/src/i18n/parity.test.js) after the 122 Resume Review keys were added, to confirm the dictionary was still in lockstep: every new English key had a Bangla counterpart, no orphan Bangla key existed, and every {placeholder} still matched between the two languages.</w:t>
      </w:r>
    </w:p>
    <w:tbl>
      <w:tblPr>
        <w:tblW w:type="dxa" w:w="9350"/>
        <w:tblBorders>
          <w:top w:val="single" w:color="BFBFBF" w:sz="4"/>
          <w:left w:val="single" w:color="BFBFBF" w:sz="4"/>
          <w:bottom w:val="single" w:color="BFBFBF" w:sz="4"/>
          <w:right w:val="single" w:color="BFBFBF" w:sz="4"/>
          <w:insideH w:val="none" w:color="FFFFFF" w:sz="0"/>
          <w:insideV w:val="none" w:color="FFFFFF" w:sz="0"/>
        </w:tblBorders>
      </w:tblPr>
      <w:tblGrid>
        <w:gridCol w:w="9350"/>
      </w:tblGrid>
      <w:tr>
        <w:tc>
          <w:tcPr>
            <w:tcW w:type="dxa" w:w="9350"/>
            <w:shd w:fill="FFF4DC" w:color="auto" w:val="clear"/>
            <w:tcMar>
              <w:top w:type="dxa" w:w="160"/>
              <w:left w:type="dxa" w:w="200"/>
              <w:bottom w:type="dxa" w:w="160"/>
              <w:right w:type="dxa" w:w="200"/>
            </w:tcMar>
          </w:tcPr>
          <w:p>
            <w:pPr>
              <w:spacing w:after="80"/>
            </w:pPr>
            <w:r>
              <w:rPr>
                <w:rFonts w:ascii="Calibri" w:cs="Calibri" w:eastAsia="Calibri" w:hAnsi="Calibri"/>
                <w:b/>
                <w:bCs/>
                <w:color w:val="7F7F7F"/>
                <w:sz w:val="22"/>
                <w:szCs w:val="22"/>
              </w:rPr>
              <w:t xml:space="preserve">[ Fill in — specific bugs found during debugging ]</w:t>
            </w:r>
          </w:p>
          <w:p>
            <w:pPr>
              <w:spacing w:after="60"/>
            </w:pPr>
            <w:r>
              <w:rPr>
                <w:rFonts w:ascii="Calibri" w:cs="Calibri" w:eastAsia="Calibri" w:hAnsi="Calibri"/>
                <w:b/>
                <w:bCs/>
                <w:i/>
                <w:iCs/>
                <w:sz w:val="22"/>
                <w:szCs w:val="22"/>
              </w:rPr>
              <w:t xml:space="preserve">What actually broke, and how it was fixed</w:t>
            </w:r>
          </w:p>
          <w:p>
            <w:r>
              <w:rPr>
                <w:rFonts w:ascii="Calibri" w:cs="Calibri" w:eastAsia="Calibri" w:hAnsi="Calibri"/>
                <w:i/>
                <w:iCs/>
                <w:color w:val="595959"/>
                <w:sz w:val="20"/>
                <w:szCs w:val="20"/>
              </w:rPr>
              <w:t xml:space="preserve">List the specific issues found during this pass, e.g.: a page that silently fell back to English after a route change, a numeral that stayed in Western digits somewhere it shouldn't have, a placeholder that didn't substitute correctly, a stale translation key referenced after a rename, etc. One or two sentences per bug (what broke → root cause → fix) will read well here — the same style used for the Bangla AI-output bug in the Sprint 3 testing section.</w:t>
            </w:r>
          </w:p>
        </w:tc>
      </w:tr>
    </w:tbl>
    <w:p>
      <w:pPr>
        <w:spacing w:after="160"/>
      </w:pPr>
    </w:p>
    <w:p>
      <w:pPr>
        <w:pStyle w:val="Heading1"/>
        <w:spacing w:after="160" w:before="320"/>
      </w:pPr>
      <w:r>
        <w:rPr>
          <w:rFonts w:ascii="Calibri" w:cs="Calibri" w:eastAsia="Calibri" w:hAnsi="Calibri"/>
          <w:b/>
          <w:bCs/>
          <w:color w:val="2F5496"/>
          <w:sz w:val="30"/>
          <w:szCs w:val="30"/>
        </w:rPr>
        <w:t xml:space="preserve">Sprint Testing Outcomes</w:t>
      </w:r>
    </w:p>
    <w:p>
      <w:pPr>
        <w:pStyle w:val="Heading2"/>
        <w:spacing w:after="140" w:before="280"/>
      </w:pPr>
      <w:r>
        <w:rPr>
          <w:rFonts w:ascii="Calibri" w:cs="Calibri" w:eastAsia="Calibri" w:hAnsi="Calibri"/>
          <w:b/>
          <w:bCs/>
          <w:color w:val="2F5496"/>
          <w:sz w:val="26"/>
          <w:szCs w:val="26"/>
        </w:rPr>
        <w:t xml:space="preserve">Automated tests</w:t>
      </w:r>
    </w:p>
    <w:p>
      <w:pPr>
        <w:spacing w:after="160" w:line="276"/>
      </w:pPr>
      <w:r>
        <w:rPr>
          <w:rFonts w:ascii="Calibri" w:cs="Calibri" w:eastAsia="Calibri" w:hAnsi="Calibri"/>
          <w:sz w:val="22"/>
          <w:szCs w:val="22"/>
        </w:rPr>
        <w:t xml:space="preserve">The dictionary-parity suite is not page-specific — it validates every key in en.js against every key in bn.js regardless of which component uses it — so the 122 keys added for the Resume Review flow were covered by the existing tests without any new test code. All three of its checks passed after the addition: every new English key has a Bangla translation, Bangla defines no key English does not have, and every {placeholder} token (for example {message} in reviewError.fallbackBodyWithDetail) matches between the two versions of each string.</w:t>
      </w:r>
    </w:p>
    <w:p>
      <w:pPr>
        <w:pStyle w:val="Heading2"/>
        <w:spacing w:after="140" w:before="280"/>
      </w:pPr>
      <w:r>
        <w:rPr>
          <w:rFonts w:ascii="Calibri" w:cs="Calibri" w:eastAsia="Calibri" w:hAnsi="Calibri"/>
          <w:b/>
          <w:bCs/>
          <w:color w:val="2F5496"/>
          <w:sz w:val="26"/>
          <w:szCs w:val="26"/>
        </w:rPr>
        <w:t xml:space="preserve">Manual QA — outstanding</w:t>
      </w:r>
    </w:p>
    <w:p>
      <w:pPr>
        <w:spacing w:after="160" w:line="276"/>
      </w:pPr>
      <w:r>
        <w:rPr>
          <w:rFonts w:ascii="Calibri" w:cs="Calibri" w:eastAsia="Calibri" w:hAnsi="Calibri"/>
          <w:sz w:val="22"/>
          <w:szCs w:val="22"/>
        </w:rPr>
        <w:t xml:space="preserve">The team's QA report (docs/qa/QA_REPORT.md) predates this sprint's work: its regression baseline confirms the EN/BN pipeline works using a Resources card as the example, but it was not run against the Resume Review upload, results or error screens in Bangla, since those were not translated yet at the time it was written. Running the same manual method — live browser testing with the language set to BN, including the upload error states — specifically against this flow is the recommended next QA step, alongside the items already carried over from Sprint 3.</w:t>
      </w:r>
    </w:p>
    <w:p>
      <w:pPr>
        <w:pStyle w:val="Heading2"/>
        <w:spacing w:after="140" w:before="280"/>
      </w:pPr>
      <w:r>
        <w:rPr>
          <w:rFonts w:ascii="Calibri" w:cs="Calibri" w:eastAsia="Calibri" w:hAnsi="Calibri"/>
          <w:b/>
          <w:bCs/>
          <w:color w:val="2F5496"/>
          <w:sz w:val="26"/>
          <w:szCs w:val="26"/>
        </w:rPr>
        <w:t xml:space="preserve">Carried over from Sprint 3</w:t>
      </w:r>
    </w:p>
    <w:p>
      <w:pPr>
        <w:spacing w:after="160" w:line="276"/>
      </w:pPr>
      <w:r>
        <w:rPr>
          <w:rFonts w:ascii="Calibri" w:cs="Calibri" w:eastAsia="Calibri" w:hAnsi="Calibri"/>
          <w:sz w:val="22"/>
          <w:szCs w:val="22"/>
        </w:rPr>
        <w:t xml:space="preserve">Two items remain open from the previous sprint and are unaffected by this sprint's work: re-measuring the AI-generated Bangla resume-review output after the prompt-placement fix (docs/bangla_review_testing.md), and capturing the screenshots for both this report and the Sprint 3 report.</w:t>
      </w:r>
    </w:p>
    <w:p>
      <w:pPr>
        <w:pStyle w:val="Heading2"/>
        <w:spacing w:after="140" w:before="280"/>
      </w:pPr>
      <w:r>
        <w:rPr>
          <w:rFonts w:ascii="Calibri" w:cs="Calibri" w:eastAsia="Calibri" w:hAnsi="Calibri"/>
          <w:b/>
          <w:bCs/>
          <w:color w:val="2F5496"/>
          <w:sz w:val="26"/>
          <w:szCs w:val="26"/>
        </w:rPr>
        <w:t xml:space="preserve">Key findings and improvements</w:t>
      </w:r>
    </w:p>
    <w:p>
      <w:pPr>
        <w:spacing w:after="160" w:line="276"/>
      </w:pPr>
      <w:r>
        <w:rPr>
          <w:rFonts w:ascii="Calibri" w:cs="Calibri" w:eastAsia="Calibri" w:hAnsi="Calibri"/>
          <w:sz w:val="22"/>
          <w:szCs w:val="22"/>
        </w:rPr>
        <w:t xml:space="preserve">With this sprint, the interface dictionary covers the platform end-to-end — every page, plus the upload, results and error states of the one flow that generates AI content — with automated parity checks guarding against future drift. The Resume Review flow alone contributed close to a third of all interface strings, which is a reasonable measure of how much of the user-facing text in this application lives inside the AI-feedback experience rather than the site's navigation and static pages. What remains before localisation can be called complete end-to-end is verifying the two carried-over items above: a live re-measurement of AI-generated Bangla quality, and manual QA of the newly translated flow.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2026-08-30T09:15:09.802Z</dcterms:created>
  <dcterms:modified xsi:type="dcterms:W3CDTF">2026-08-30T09:15:09.803Z</dcterms:modified>
</cp:coreProperties>
</file>

<file path=docProps/custom.xml><?xml version="1.0" encoding="utf-8"?>
<Properties xmlns="http://schemas.openxmlformats.org/officeDocument/2006/custom-properties" xmlns:vt="http://schemas.openxmlformats.org/officeDocument/2006/docPropsVTypes"/>
</file>