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i w:val="false"/>
          <w:iCs w:val="false"/>
          <w:sz w:val="32"/>
          <w:szCs w:val="32"/>
        </w:rPr>
        <w:t xml:space="preserve">Appendix [X]: Software Components and Dependencies of the Reasoning Instrument</w:t>
      </w:r>
    </w:p>
    <w:p>
      <w:pPr>
        <w:spacing w:after="120"/>
      </w:pPr>
      <w:r>
        <w:rPr>
          <w:rFonts w:ascii="Times New Roman" w:cs="Times New Roman" w:eastAsia="Times New Roman" w:hAnsi="Times New Roman"/>
          <w:b w:val="false"/>
          <w:bCs w:val="false"/>
          <w:i w:val="false"/>
          <w:iCs w:val="false"/>
          <w:sz w:val="24"/>
          <w:szCs w:val="24"/>
        </w:rPr>
        <w:t xml:space="preserve">The reasoning instrument is a self-contained web application built on the jsPsych behavioral-experiment framework (version 7). It runs entirely within the participant's web browser. All audio recording, voice-activity detection, and speech-to-text transcription are performed locally on the participant's own device; no audio or interaction data is transmitted to any external server during the task. On completion, the participant downloads a single JSON data file, which is then uploaded to the study's survey platform. The tables below list the software components that comprise the instrument, each with its role and, where applicable, its version and source. Components are grouped by function.</w:t>
      </w:r>
    </w:p>
    <w:p>
      <w:pPr>
        <w:spacing w:after="100" w:before="200"/>
      </w:pPr>
      <w:r>
        <w:rPr>
          <w:rFonts w:ascii="Times New Roman" w:cs="Times New Roman" w:eastAsia="Times New Roman" w:hAnsi="Times New Roman"/>
          <w:b/>
          <w:bCs/>
          <w:i w:val="false"/>
          <w:iCs w:val="false"/>
          <w:sz w:val="26"/>
          <w:szCs w:val="26"/>
        </w:rPr>
        <w:t xml:space="preserve">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shd w:fill="D9D9D9" w:color="auto" w:val="clear"/>
            <w:tcMar>
              <w:top w:type="dxa" w:w="60"/>
              <w:left w:type="dxa" w:w="90"/>
              <w:bottom w:type="dxa" w:w="60"/>
              <w:right w:type="dxa" w:w="90"/>
            </w:tcMar>
          </w:tcPr>
          <w:p>
            <w:r>
              <w:rPr>
                <w:rFonts w:ascii="Times New Roman" w:cs="Times New Roman" w:eastAsia="Times New Roman" w:hAnsi="Times New Roman"/>
                <w:b/>
                <w:bCs/>
                <w:i w:val="false"/>
                <w:iCs w:val="false"/>
                <w:sz w:val="24"/>
                <w:szCs w:val="24"/>
              </w:rPr>
              <w:t xml:space="preserve">Component</w:t>
            </w:r>
          </w:p>
        </w:tc>
        <w:tc>
          <w:tcPr>
            <w:tcW w:type="dxa" w:w="1900"/>
            <w:shd w:fill="D9D9D9" w:color="auto" w:val="clear"/>
            <w:tcMar>
              <w:top w:type="dxa" w:w="60"/>
              <w:left w:type="dxa" w:w="90"/>
              <w:bottom w:type="dxa" w:w="60"/>
              <w:right w:type="dxa" w:w="90"/>
            </w:tcMar>
          </w:tcPr>
          <w:p>
            <w:r>
              <w:rPr>
                <w:rFonts w:ascii="Times New Roman" w:cs="Times New Roman" w:eastAsia="Times New Roman" w:hAnsi="Times New Roman"/>
                <w:b/>
                <w:bCs/>
                <w:i w:val="false"/>
                <w:iCs w:val="false"/>
                <w:sz w:val="24"/>
                <w:szCs w:val="24"/>
              </w:rPr>
              <w:t xml:space="preserve">Version / source</w:t>
            </w:r>
          </w:p>
        </w:tc>
        <w:tc>
          <w:tcPr>
            <w:tcW w:type="dxa" w:w="4860"/>
            <w:shd w:fill="D9D9D9" w:color="auto" w:val="clear"/>
            <w:tcMar>
              <w:top w:type="dxa" w:w="60"/>
              <w:left w:type="dxa" w:w="90"/>
              <w:bottom w:type="dxa" w:w="60"/>
              <w:right w:type="dxa" w:w="90"/>
            </w:tcMar>
          </w:tcPr>
          <w:p>
            <w:r>
              <w:rPr>
                <w:rFonts w:ascii="Times New Roman" w:cs="Times New Roman" w:eastAsia="Times New Roman" w:hAnsi="Times New Roman"/>
                <w:b/>
                <w:bCs/>
                <w:i w:val="false"/>
                <w:iCs w:val="false"/>
                <w:sz w:val="24"/>
                <w:szCs w:val="24"/>
              </w:rPr>
              <w:t xml:space="preserve">Role</w:t>
            </w:r>
          </w:p>
        </w:tc>
      </w:tr>
      <w:tr>
        <w:trPr>
          <w:tblHeader w:val="false"/>
        </w:trPr>
        <w:tc>
          <w:tcPr>
            <w:tcW w:type="dxa" w:w="26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jspsych.js</w:t>
            </w:r>
          </w:p>
        </w:tc>
        <w:tc>
          <w:tcPr>
            <w:tcW w:type="dxa" w:w="19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7 (self-hosted)</w:t>
            </w:r>
          </w:p>
        </w:tc>
        <w:tc>
          <w:tcPr>
            <w:tcW w:type="dxa" w:w="486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Core jsPsych engine: constructs the trial timeline, runs trials in order, manages data collection, and provides the plugin architecture on which the other components depend.</w:t>
            </w:r>
          </w:p>
        </w:tc>
      </w:tr>
      <w:tr>
        <w:trPr>
          <w:tblHeader w:val="false"/>
        </w:trPr>
        <w:tc>
          <w:tcPr>
            <w:tcW w:type="dxa" w:w="26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jspsych.css</w:t>
            </w:r>
          </w:p>
        </w:tc>
        <w:tc>
          <w:tcPr>
            <w:tcW w:type="dxa" w:w="19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7 (self-hosted)</w:t>
            </w:r>
          </w:p>
        </w:tc>
        <w:tc>
          <w:tcPr>
            <w:tcW w:type="dxa" w:w="486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The jsPsych base stylesheet governing the experiment container and trial layout.</w:t>
            </w:r>
          </w:p>
        </w:tc>
      </w:tr>
    </w:tbl>
    <w:p>
      <w:pPr>
        <w:spacing w:after="100" w:before="200"/>
      </w:pPr>
      <w:r>
        <w:rPr>
          <w:rFonts w:ascii="Times New Roman" w:cs="Times New Roman" w:eastAsia="Times New Roman" w:hAnsi="Times New Roman"/>
          <w:b/>
          <w:bCs/>
          <w:i w:val="false"/>
          <w:iCs w:val="false"/>
          <w:sz w:val="26"/>
          <w:szCs w:val="26"/>
        </w:rPr>
        <w:t xml:space="preserve">jsPsych plugins in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shd w:fill="D9D9D9" w:color="auto" w:val="clear"/>
            <w:tcMar>
              <w:top w:type="dxa" w:w="60"/>
              <w:left w:type="dxa" w:w="90"/>
              <w:bottom w:type="dxa" w:w="60"/>
              <w:right w:type="dxa" w:w="90"/>
            </w:tcMar>
          </w:tcPr>
          <w:p>
            <w:r>
              <w:rPr>
                <w:rFonts w:ascii="Times New Roman" w:cs="Times New Roman" w:eastAsia="Times New Roman" w:hAnsi="Times New Roman"/>
                <w:b/>
                <w:bCs/>
                <w:i w:val="false"/>
                <w:iCs w:val="false"/>
                <w:sz w:val="24"/>
                <w:szCs w:val="24"/>
              </w:rPr>
              <w:t xml:space="preserve">Component</w:t>
            </w:r>
          </w:p>
        </w:tc>
        <w:tc>
          <w:tcPr>
            <w:tcW w:type="dxa" w:w="1900"/>
            <w:shd w:fill="D9D9D9" w:color="auto" w:val="clear"/>
            <w:tcMar>
              <w:top w:type="dxa" w:w="60"/>
              <w:left w:type="dxa" w:w="90"/>
              <w:bottom w:type="dxa" w:w="60"/>
              <w:right w:type="dxa" w:w="90"/>
            </w:tcMar>
          </w:tcPr>
          <w:p>
            <w:r>
              <w:rPr>
                <w:rFonts w:ascii="Times New Roman" w:cs="Times New Roman" w:eastAsia="Times New Roman" w:hAnsi="Times New Roman"/>
                <w:b/>
                <w:bCs/>
                <w:i w:val="false"/>
                <w:iCs w:val="false"/>
                <w:sz w:val="24"/>
                <w:szCs w:val="24"/>
              </w:rPr>
              <w:t xml:space="preserve">Version / source</w:t>
            </w:r>
          </w:p>
        </w:tc>
        <w:tc>
          <w:tcPr>
            <w:tcW w:type="dxa" w:w="4860"/>
            <w:shd w:fill="D9D9D9" w:color="auto" w:val="clear"/>
            <w:tcMar>
              <w:top w:type="dxa" w:w="60"/>
              <w:left w:type="dxa" w:w="90"/>
              <w:bottom w:type="dxa" w:w="60"/>
              <w:right w:type="dxa" w:w="90"/>
            </w:tcMar>
          </w:tcPr>
          <w:p>
            <w:r>
              <w:rPr>
                <w:rFonts w:ascii="Times New Roman" w:cs="Times New Roman" w:eastAsia="Times New Roman" w:hAnsi="Times New Roman"/>
                <w:b/>
                <w:bCs/>
                <w:i w:val="false"/>
                <w:iCs w:val="false"/>
                <w:sz w:val="24"/>
                <w:szCs w:val="24"/>
              </w:rPr>
              <w:t xml:space="preserve">Role</w:t>
            </w:r>
          </w:p>
        </w:tc>
      </w:tr>
      <w:tr>
        <w:trPr>
          <w:tblHeader w:val="false"/>
        </w:trPr>
        <w:tc>
          <w:tcPr>
            <w:tcW w:type="dxa" w:w="26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plugin-html-keyboard-response.js</w:t>
            </w:r>
          </w:p>
        </w:tc>
        <w:tc>
          <w:tcPr>
            <w:tcW w:type="dxa" w:w="19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7 (self-hosted)</w:t>
            </w:r>
          </w:p>
        </w:tc>
        <w:tc>
          <w:tcPr>
            <w:tcW w:type="dxa" w:w="486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Presents arbitrary HTML content. Every screen in the instrument (the case task, the retrospective replay, and the completion screen) is built on this plugin, configured to accept no keypress so that the study's own interface and on-screen controls govern progression.</w:t>
            </w:r>
          </w:p>
        </w:tc>
      </w:tr>
      <w:tr>
        <w:trPr>
          <w:tblHeader w:val="false"/>
        </w:trPr>
        <w:tc>
          <w:tcPr>
            <w:tcW w:type="dxa" w:w="26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plugin-browser-check.js</w:t>
            </w:r>
          </w:p>
        </w:tc>
        <w:tc>
          <w:tcPr>
            <w:tcW w:type="dxa" w:w="19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7 (self-hosted)</w:t>
            </w:r>
          </w:p>
        </w:tc>
        <w:tc>
          <w:tcPr>
            <w:tcW w:type="dxa" w:w="486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Verifies the participant's browser and device capabilities (for example, viewport dimensions and required feature support) when they enter the study.</w:t>
            </w:r>
          </w:p>
        </w:tc>
      </w:tr>
      <w:tr>
        <w:trPr>
          <w:tblHeader w:val="false"/>
        </w:trPr>
        <w:tc>
          <w:tcPr>
            <w:tcW w:type="dxa" w:w="26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plugin-initialize-microphone.js</w:t>
            </w:r>
          </w:p>
        </w:tc>
        <w:tc>
          <w:tcPr>
            <w:tcW w:type="dxa" w:w="19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7 (self-hosted)</w:t>
            </w:r>
          </w:p>
        </w:tc>
        <w:tc>
          <w:tcPr>
            <w:tcW w:type="dxa" w:w="486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Requests and initializes microphone access so that the retrospective think-aloud can be recorded.</w:t>
            </w:r>
          </w:p>
        </w:tc>
      </w:tr>
    </w:tbl>
    <w:p>
      <w:pPr>
        <w:spacing w:after="100" w:before="200"/>
      </w:pPr>
      <w:r>
        <w:rPr>
          <w:rFonts w:ascii="Times New Roman" w:cs="Times New Roman" w:eastAsia="Times New Roman" w:hAnsi="Times New Roman"/>
          <w:b/>
          <w:bCs/>
          <w:i w:val="false"/>
          <w:iCs w:val="false"/>
          <w:sz w:val="26"/>
          <w:szCs w:val="26"/>
        </w:rPr>
        <w:t xml:space="preserve">Custom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shd w:fill="D9D9D9" w:color="auto" w:val="clear"/>
            <w:tcMar>
              <w:top w:type="dxa" w:w="60"/>
              <w:left w:type="dxa" w:w="90"/>
              <w:bottom w:type="dxa" w:w="60"/>
              <w:right w:type="dxa" w:w="90"/>
            </w:tcMar>
          </w:tcPr>
          <w:p>
            <w:r>
              <w:rPr>
                <w:rFonts w:ascii="Times New Roman" w:cs="Times New Roman" w:eastAsia="Times New Roman" w:hAnsi="Times New Roman"/>
                <w:b/>
                <w:bCs/>
                <w:i w:val="false"/>
                <w:iCs w:val="false"/>
                <w:sz w:val="24"/>
                <w:szCs w:val="24"/>
              </w:rPr>
              <w:t xml:space="preserve">Component</w:t>
            </w:r>
          </w:p>
        </w:tc>
        <w:tc>
          <w:tcPr>
            <w:tcW w:type="dxa" w:w="1900"/>
            <w:shd w:fill="D9D9D9" w:color="auto" w:val="clear"/>
            <w:tcMar>
              <w:top w:type="dxa" w:w="60"/>
              <w:left w:type="dxa" w:w="90"/>
              <w:bottom w:type="dxa" w:w="60"/>
              <w:right w:type="dxa" w:w="90"/>
            </w:tcMar>
          </w:tcPr>
          <w:p>
            <w:r>
              <w:rPr>
                <w:rFonts w:ascii="Times New Roman" w:cs="Times New Roman" w:eastAsia="Times New Roman" w:hAnsi="Times New Roman"/>
                <w:b/>
                <w:bCs/>
                <w:i w:val="false"/>
                <w:iCs w:val="false"/>
                <w:sz w:val="24"/>
                <w:szCs w:val="24"/>
              </w:rPr>
              <w:t xml:space="preserve">Version / source</w:t>
            </w:r>
          </w:p>
        </w:tc>
        <w:tc>
          <w:tcPr>
            <w:tcW w:type="dxa" w:w="4860"/>
            <w:shd w:fill="D9D9D9" w:color="auto" w:val="clear"/>
            <w:tcMar>
              <w:top w:type="dxa" w:w="60"/>
              <w:left w:type="dxa" w:w="90"/>
              <w:bottom w:type="dxa" w:w="60"/>
              <w:right w:type="dxa" w:w="90"/>
            </w:tcMar>
          </w:tcPr>
          <w:p>
            <w:r>
              <w:rPr>
                <w:rFonts w:ascii="Times New Roman" w:cs="Times New Roman" w:eastAsia="Times New Roman" w:hAnsi="Times New Roman"/>
                <w:b/>
                <w:bCs/>
                <w:i w:val="false"/>
                <w:iCs w:val="false"/>
                <w:sz w:val="24"/>
                <w:szCs w:val="24"/>
              </w:rPr>
              <w:t xml:space="preserve">Role</w:t>
            </w:r>
          </w:p>
        </w:tc>
      </w:tr>
      <w:tr>
        <w:trPr>
          <w:tblHeader w:val="false"/>
        </w:trPr>
        <w:tc>
          <w:tcPr>
            <w:tcW w:type="dxa" w:w="26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reanchor.js</w:t>
            </w:r>
          </w:p>
        </w:tc>
        <w:tc>
          <w:tcPr>
            <w:tcW w:type="dxa" w:w="19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Custom (study-specific)</w:t>
            </w:r>
          </w:p>
        </w:tc>
        <w:tc>
          <w:tcPr>
            <w:tcW w:type="dxa" w:w="486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A module written for this study, not part of jsPsych. It re-anchors each transcribed think-aloud utterance onto the case (task) timeline, producing the re-anchored think-aloud data stream.</w:t>
            </w:r>
          </w:p>
        </w:tc>
      </w:tr>
    </w:tbl>
    <w:p>
      <w:pPr>
        <w:spacing w:after="100" w:before="200"/>
      </w:pPr>
      <w:r>
        <w:rPr>
          <w:rFonts w:ascii="Times New Roman" w:cs="Times New Roman" w:eastAsia="Times New Roman" w:hAnsi="Times New Roman"/>
          <w:b/>
          <w:bCs/>
          <w:i w:val="false"/>
          <w:iCs w:val="false"/>
          <w:sz w:val="26"/>
          <w:szCs w:val="26"/>
        </w:rPr>
        <w:t xml:space="preserve">Voice-activity detection (automatic pause)</w:t>
      </w:r>
    </w:p>
    <w:p>
      <w:pPr>
        <w:spacing w:after="120"/>
      </w:pPr>
      <w:r>
        <w:rPr>
          <w:rFonts w:ascii="Times New Roman" w:cs="Times New Roman" w:eastAsia="Times New Roman" w:hAnsi="Times New Roman"/>
          <w:b w:val="false"/>
          <w:bCs w:val="false"/>
          <w:i w:val="false"/>
          <w:iCs w:val="false"/>
          <w:sz w:val="24"/>
          <w:szCs w:val="24"/>
        </w:rPr>
        <w:t xml:space="preserve">The retrospective replay pauses automatically when the participant begins to speak. This behavior is driven by a neural voice-activity detector that runs entirely in the browser. If the detector cannot load, the instrument falls back automatically to a simple audio-energy threshold, and the study continues.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shd w:fill="D9D9D9" w:color="auto" w:val="clear"/>
            <w:tcMar>
              <w:top w:type="dxa" w:w="60"/>
              <w:left w:type="dxa" w:w="90"/>
              <w:bottom w:type="dxa" w:w="60"/>
              <w:right w:type="dxa" w:w="90"/>
            </w:tcMar>
          </w:tcPr>
          <w:p>
            <w:r>
              <w:rPr>
                <w:rFonts w:ascii="Times New Roman" w:cs="Times New Roman" w:eastAsia="Times New Roman" w:hAnsi="Times New Roman"/>
                <w:b/>
                <w:bCs/>
                <w:i w:val="false"/>
                <w:iCs w:val="false"/>
                <w:sz w:val="24"/>
                <w:szCs w:val="24"/>
              </w:rPr>
              <w:t xml:space="preserve">Component</w:t>
            </w:r>
          </w:p>
        </w:tc>
        <w:tc>
          <w:tcPr>
            <w:tcW w:type="dxa" w:w="1900"/>
            <w:shd w:fill="D9D9D9" w:color="auto" w:val="clear"/>
            <w:tcMar>
              <w:top w:type="dxa" w:w="60"/>
              <w:left w:type="dxa" w:w="90"/>
              <w:bottom w:type="dxa" w:w="60"/>
              <w:right w:type="dxa" w:w="90"/>
            </w:tcMar>
          </w:tcPr>
          <w:p>
            <w:r>
              <w:rPr>
                <w:rFonts w:ascii="Times New Roman" w:cs="Times New Roman" w:eastAsia="Times New Roman" w:hAnsi="Times New Roman"/>
                <w:b/>
                <w:bCs/>
                <w:i w:val="false"/>
                <w:iCs w:val="false"/>
                <w:sz w:val="24"/>
                <w:szCs w:val="24"/>
              </w:rPr>
              <w:t xml:space="preserve">Version / source</w:t>
            </w:r>
          </w:p>
        </w:tc>
        <w:tc>
          <w:tcPr>
            <w:tcW w:type="dxa" w:w="4860"/>
            <w:shd w:fill="D9D9D9" w:color="auto" w:val="clear"/>
            <w:tcMar>
              <w:top w:type="dxa" w:w="60"/>
              <w:left w:type="dxa" w:w="90"/>
              <w:bottom w:type="dxa" w:w="60"/>
              <w:right w:type="dxa" w:w="90"/>
            </w:tcMar>
          </w:tcPr>
          <w:p>
            <w:r>
              <w:rPr>
                <w:rFonts w:ascii="Times New Roman" w:cs="Times New Roman" w:eastAsia="Times New Roman" w:hAnsi="Times New Roman"/>
                <w:b/>
                <w:bCs/>
                <w:i w:val="false"/>
                <w:iCs w:val="false"/>
                <w:sz w:val="24"/>
                <w:szCs w:val="24"/>
              </w:rPr>
              <w:t xml:space="preserve">Role</w:t>
            </w:r>
          </w:p>
        </w:tc>
      </w:tr>
      <w:tr>
        <w:trPr>
          <w:tblHeader w:val="false"/>
        </w:trPr>
        <w:tc>
          <w:tcPr>
            <w:tcW w:type="dxa" w:w="26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@ricky0123/vad-web (bundle.min.js, vad.worklet.bundle.min.js)</w:t>
            </w:r>
          </w:p>
        </w:tc>
        <w:tc>
          <w:tcPr>
            <w:tcW w:type="dxa" w:w="19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0.0.19 (self-hosted)</w:t>
            </w:r>
          </w:p>
        </w:tc>
        <w:tc>
          <w:tcPr>
            <w:tcW w:type="dxa" w:w="486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JavaScript library that runs the Silero voice-activity-detection model and reports the onset and offset of speech.</w:t>
            </w:r>
          </w:p>
        </w:tc>
      </w:tr>
      <w:tr>
        <w:trPr>
          <w:tblHeader w:val="false"/>
        </w:trPr>
        <w:tc>
          <w:tcPr>
            <w:tcW w:type="dxa" w:w="26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silero_vad.onnx</w:t>
            </w:r>
          </w:p>
        </w:tc>
        <w:tc>
          <w:tcPr>
            <w:tcW w:type="dxa" w:w="19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Silero VAD (self-hosted)</w:t>
            </w:r>
          </w:p>
        </w:tc>
        <w:tc>
          <w:tcPr>
            <w:tcW w:type="dxa" w:w="486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The voice-activity-detection neural-network model.</w:t>
            </w:r>
          </w:p>
        </w:tc>
      </w:tr>
      <w:tr>
        <w:trPr>
          <w:tblHeader w:val="false"/>
        </w:trPr>
        <w:tc>
          <w:tcPr>
            <w:tcW w:type="dxa" w:w="26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onnxruntime-web (ort.min.js, ort-wasm*.wasm)</w:t>
            </w:r>
          </w:p>
        </w:tc>
        <w:tc>
          <w:tcPr>
            <w:tcW w:type="dxa" w:w="19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1.14.0 (self-hosted)</w:t>
            </w:r>
          </w:p>
        </w:tc>
        <w:tc>
          <w:tcPr>
            <w:tcW w:type="dxa" w:w="486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In-browser runtime that executes the ONNX model. Several WebAssembly builds are provided, and the browser selects the most capable.</w:t>
            </w:r>
          </w:p>
        </w:tc>
      </w:tr>
    </w:tbl>
    <w:p>
      <w:pPr>
        <w:spacing w:after="100" w:before="200"/>
      </w:pPr>
      <w:r>
        <w:rPr>
          <w:rFonts w:ascii="Times New Roman" w:cs="Times New Roman" w:eastAsia="Times New Roman" w:hAnsi="Times New Roman"/>
          <w:b/>
          <w:bCs/>
          <w:i w:val="false"/>
          <w:iCs w:val="false"/>
          <w:sz w:val="26"/>
          <w:szCs w:val="26"/>
        </w:rPr>
        <w:t xml:space="preserve">Speech-to-text transcription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shd w:fill="D9D9D9" w:color="auto" w:val="clear"/>
            <w:tcMar>
              <w:top w:type="dxa" w:w="60"/>
              <w:left w:type="dxa" w:w="90"/>
              <w:bottom w:type="dxa" w:w="60"/>
              <w:right w:type="dxa" w:w="90"/>
            </w:tcMar>
          </w:tcPr>
          <w:p>
            <w:r>
              <w:rPr>
                <w:rFonts w:ascii="Times New Roman" w:cs="Times New Roman" w:eastAsia="Times New Roman" w:hAnsi="Times New Roman"/>
                <w:b/>
                <w:bCs/>
                <w:i w:val="false"/>
                <w:iCs w:val="false"/>
                <w:sz w:val="24"/>
                <w:szCs w:val="24"/>
              </w:rPr>
              <w:t xml:space="preserve">Component</w:t>
            </w:r>
          </w:p>
        </w:tc>
        <w:tc>
          <w:tcPr>
            <w:tcW w:type="dxa" w:w="1900"/>
            <w:shd w:fill="D9D9D9" w:color="auto" w:val="clear"/>
            <w:tcMar>
              <w:top w:type="dxa" w:w="60"/>
              <w:left w:type="dxa" w:w="90"/>
              <w:bottom w:type="dxa" w:w="60"/>
              <w:right w:type="dxa" w:w="90"/>
            </w:tcMar>
          </w:tcPr>
          <w:p>
            <w:r>
              <w:rPr>
                <w:rFonts w:ascii="Times New Roman" w:cs="Times New Roman" w:eastAsia="Times New Roman" w:hAnsi="Times New Roman"/>
                <w:b/>
                <w:bCs/>
                <w:i w:val="false"/>
                <w:iCs w:val="false"/>
                <w:sz w:val="24"/>
                <w:szCs w:val="24"/>
              </w:rPr>
              <w:t xml:space="preserve">Version / source</w:t>
            </w:r>
          </w:p>
        </w:tc>
        <w:tc>
          <w:tcPr>
            <w:tcW w:type="dxa" w:w="4860"/>
            <w:shd w:fill="D9D9D9" w:color="auto" w:val="clear"/>
            <w:tcMar>
              <w:top w:type="dxa" w:w="60"/>
              <w:left w:type="dxa" w:w="90"/>
              <w:bottom w:type="dxa" w:w="60"/>
              <w:right w:type="dxa" w:w="90"/>
            </w:tcMar>
          </w:tcPr>
          <w:p>
            <w:r>
              <w:rPr>
                <w:rFonts w:ascii="Times New Roman" w:cs="Times New Roman" w:eastAsia="Times New Roman" w:hAnsi="Times New Roman"/>
                <w:b/>
                <w:bCs/>
                <w:i w:val="false"/>
                <w:iCs w:val="false"/>
                <w:sz w:val="24"/>
                <w:szCs w:val="24"/>
              </w:rPr>
              <w:t xml:space="preserve">Role</w:t>
            </w:r>
          </w:p>
        </w:tc>
      </w:tr>
      <w:tr>
        <w:trPr>
          <w:tblHeader w:val="false"/>
        </w:trPr>
        <w:tc>
          <w:tcPr>
            <w:tcW w:type="dxa" w:w="26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@xenova/transformers (transformers.js)</w:t>
            </w:r>
          </w:p>
        </w:tc>
        <w:tc>
          <w:tcPr>
            <w:tcW w:type="dxa" w:w="19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2.17.2 (jsDelivr CDN)</w:t>
            </w:r>
          </w:p>
        </w:tc>
        <w:tc>
          <w:tcPr>
            <w:tcW w:type="dxa" w:w="486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Runs the Whisper speech-recognition model in the browser, via WebAssembly, to transcribe the think-aloud audio locally.</w:t>
            </w:r>
          </w:p>
        </w:tc>
      </w:tr>
      <w:tr>
        <w:trPr>
          <w:tblHeader w:val="false"/>
        </w:trPr>
        <w:tc>
          <w:tcPr>
            <w:tcW w:type="dxa" w:w="26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Whisper model (Xenova/whisper-small.en)</w:t>
            </w:r>
          </w:p>
        </w:tc>
        <w:tc>
          <w:tcPr>
            <w:tcW w:type="dxa" w:w="190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Pinned revision (Hugging Face)</w:t>
            </w:r>
          </w:p>
        </w:tc>
        <w:tc>
          <w:tcPr>
            <w:tcW w:type="dxa" w:w="4860"/>
            <w:tcMar>
              <w:top w:type="dxa" w:w="60"/>
              <w:left w:type="dxa" w:w="90"/>
              <w:bottom w:type="dxa" w:w="60"/>
              <w:right w:type="dxa" w:w="90"/>
            </w:tcMar>
          </w:tcPr>
          <w:p>
            <w:r>
              <w:rPr>
                <w:rFonts w:ascii="Times New Roman" w:cs="Times New Roman" w:eastAsia="Times New Roman" w:hAnsi="Times New Roman"/>
                <w:b w:val="false"/>
                <w:bCs w:val="false"/>
                <w:i w:val="false"/>
                <w:iCs w:val="false"/>
                <w:sz w:val="24"/>
                <w:szCs w:val="24"/>
              </w:rPr>
              <w:t xml:space="preserve">The English speech-recognition model weights, pinned to the fixed revision fa16a75f5d91e83ecb6a2ccb690f14d91ef00ca4 so that the model cannot change during data collection.</w:t>
            </w:r>
          </w:p>
        </w:tc>
      </w:tr>
    </w:tbl>
    <w:p>
      <w:pPr>
        <w:spacing w:after="100" w:before="200"/>
      </w:pPr>
      <w:r>
        <w:rPr>
          <w:rFonts w:ascii="Times New Roman" w:cs="Times New Roman" w:eastAsia="Times New Roman" w:hAnsi="Times New Roman"/>
          <w:b/>
          <w:bCs/>
          <w:i w:val="false"/>
          <w:iCs w:val="false"/>
          <w:sz w:val="26"/>
          <w:szCs w:val="26"/>
        </w:rPr>
        <w:t xml:space="preserve">Data locality</w:t>
      </w:r>
    </w:p>
    <w:p>
      <w:pPr>
        <w:spacing w:after="120"/>
      </w:pPr>
      <w:r>
        <w:rPr>
          <w:rFonts w:ascii="Times New Roman" w:cs="Times New Roman" w:eastAsia="Times New Roman" w:hAnsi="Times New Roman"/>
          <w:b w:val="false"/>
          <w:bCs w:val="false"/>
          <w:i w:val="false"/>
          <w:iCs w:val="false"/>
          <w:sz w:val="24"/>
          <w:szCs w:val="24"/>
        </w:rPr>
        <w:t xml:space="preserve">No audio recording, transcript, or model data leaves the participant's browser at any point during the task. Transcription and voice-activity detection run locally in WebAssembly; the jsDelivr content-delivery network and Hugging Face serve only static, read-only model files. The single JSON file the participant downloads at the end is the only data that leaves the device, and it is transferred by the participant's own upload to the survey platform.</w:t>
      </w:r>
    </w:p>
    <w:p>
      <w:pPr>
        <w:spacing w:after="100" w:before="200"/>
      </w:pPr>
      <w:r>
        <w:rPr>
          <w:rFonts w:ascii="Times New Roman" w:cs="Times New Roman" w:eastAsia="Times New Roman" w:hAnsi="Times New Roman"/>
          <w:b/>
          <w:bCs/>
          <w:i w:val="false"/>
          <w:iCs w:val="false"/>
          <w:sz w:val="26"/>
          <w:szCs w:val="26"/>
        </w:rPr>
        <w:t xml:space="preserve">Components not used</w:t>
      </w:r>
    </w:p>
    <w:p>
      <w:pPr>
        <w:spacing w:after="120"/>
      </w:pPr>
      <w:r>
        <w:rPr>
          <w:rFonts w:ascii="Times New Roman" w:cs="Times New Roman" w:eastAsia="Times New Roman" w:hAnsi="Times New Roman"/>
          <w:b w:val="false"/>
          <w:bCs w:val="false"/>
          <w:i w:val="false"/>
          <w:iCs w:val="false"/>
          <w:sz w:val="24"/>
          <w:szCs w:val="24"/>
        </w:rPr>
        <w:t xml:space="preserve">The standard jsPsych distribution ships with additional plugins that this instrument does not use and does not load: the survey-text, preload, call-function, image-keyboard-response, and HTML-audio-response plugins. They are excluded from the built instrument, and their absence does not affect its operation.</w:t>
      </w:r>
    </w:p>
    <w:p>
      <w:pPr>
        <w:spacing w:after="100" w:before="200"/>
      </w:pPr>
      <w:r>
        <w:rPr>
          <w:rFonts w:ascii="Times New Roman" w:cs="Times New Roman" w:eastAsia="Times New Roman" w:hAnsi="Times New Roman"/>
          <w:b/>
          <w:bCs/>
          <w:i w:val="false"/>
          <w:iCs w:val="false"/>
          <w:sz w:val="26"/>
          <w:szCs w:val="26"/>
        </w:rPr>
        <w:t xml:space="preserve">Software references</w:t>
      </w:r>
    </w:p>
    <w:p>
      <w:pPr>
        <w:spacing w:after="120"/>
        <w:ind w:left="720" w:hanging="720"/>
      </w:pPr>
      <w:r>
        <w:rPr>
          <w:rFonts w:ascii="Times New Roman" w:cs="Times New Roman" w:eastAsia="Times New Roman" w:hAnsi="Times New Roman"/>
          <w:b w:val="false"/>
          <w:bCs w:val="false"/>
          <w:i w:val="false"/>
          <w:iCs w:val="false"/>
          <w:sz w:val="24"/>
          <w:szCs w:val="24"/>
        </w:rPr>
        <w:t xml:space="preserve">de Leeuw, J. R., Gilbert, R. A., &amp; Luchterhandt, B. (2023). jsPsych: Enabling an open-source collaborative ecosystem of behavioral experiments. </w:t>
      </w:r>
      <w:r>
        <w:rPr>
          <w:rFonts w:ascii="Times New Roman" w:cs="Times New Roman" w:eastAsia="Times New Roman" w:hAnsi="Times New Roman"/>
          <w:b w:val="false"/>
          <w:bCs w:val="false"/>
          <w:i/>
          <w:iCs/>
          <w:sz w:val="24"/>
          <w:szCs w:val="24"/>
        </w:rPr>
        <w:t xml:space="preserve">Journal of Open Source Software, 8</w:t>
      </w:r>
      <w:r>
        <w:rPr>
          <w:rFonts w:ascii="Times New Roman" w:cs="Times New Roman" w:eastAsia="Times New Roman" w:hAnsi="Times New Roman"/>
          <w:b w:val="false"/>
          <w:bCs w:val="false"/>
          <w:i w:val="false"/>
          <w:iCs w:val="false"/>
          <w:sz w:val="24"/>
          <w:szCs w:val="24"/>
        </w:rPr>
        <w:t xml:space="preserve">(85), 5351. https://doi.org/10.21105/joss.05351</w:t>
      </w:r>
    </w:p>
    <w:p>
      <w:pPr>
        <w:spacing w:after="120"/>
        <w:ind w:left="720" w:hanging="720"/>
      </w:pPr>
      <w:r>
        <w:rPr>
          <w:rFonts w:ascii="Times New Roman" w:cs="Times New Roman" w:eastAsia="Times New Roman" w:hAnsi="Times New Roman"/>
          <w:b w:val="false"/>
          <w:bCs w:val="false"/>
          <w:i w:val="false"/>
          <w:iCs w:val="false"/>
          <w:sz w:val="24"/>
          <w:szCs w:val="24"/>
        </w:rPr>
        <w:t xml:space="preserve">Radford, A., Kim, J. W., Xu, T., Brockman, G., McLeavey, C., &amp; Sutskever, I. (2022). </w:t>
      </w:r>
      <w:r>
        <w:rPr>
          <w:rFonts w:ascii="Times New Roman" w:cs="Times New Roman" w:eastAsia="Times New Roman" w:hAnsi="Times New Roman"/>
          <w:b w:val="false"/>
          <w:bCs w:val="false"/>
          <w:i/>
          <w:iCs/>
          <w:sz w:val="24"/>
          <w:szCs w:val="24"/>
        </w:rPr>
        <w:t xml:space="preserve">Robust speech recognition via large-scale weak supervision</w:t>
      </w:r>
      <w:r>
        <w:rPr>
          <w:rFonts w:ascii="Times New Roman" w:cs="Times New Roman" w:eastAsia="Times New Roman" w:hAnsi="Times New Roman"/>
          <w:b w:val="false"/>
          <w:bCs w:val="false"/>
          <w:i w:val="false"/>
          <w:iCs w:val="false"/>
          <w:sz w:val="24"/>
          <w:szCs w:val="24"/>
        </w:rPr>
        <w:t xml:space="preserve"> (arXiv:2212.04356). arXiv. https://doi.org/10.48550/arXiv.2212.04356</w:t>
      </w:r>
    </w:p>
    <w:p>
      <w:pPr>
        <w:spacing w:after="120"/>
        <w:ind w:left="720" w:hanging="720"/>
      </w:pPr>
      <w:r>
        <w:rPr>
          <w:rFonts w:ascii="Times New Roman" w:cs="Times New Roman" w:eastAsia="Times New Roman" w:hAnsi="Times New Roman"/>
          <w:b w:val="false"/>
          <w:bCs w:val="false"/>
          <w:i w:val="false"/>
          <w:iCs w:val="false"/>
          <w:sz w:val="24"/>
          <w:szCs w:val="24"/>
        </w:rPr>
        <w:t xml:space="preserve">Silero Team. (n.d.). </w:t>
      </w:r>
      <w:r>
        <w:rPr>
          <w:rFonts w:ascii="Times New Roman" w:cs="Times New Roman" w:eastAsia="Times New Roman" w:hAnsi="Times New Roman"/>
          <w:b w:val="false"/>
          <w:bCs w:val="false"/>
          <w:i/>
          <w:iCs/>
          <w:sz w:val="24"/>
          <w:szCs w:val="24"/>
        </w:rPr>
        <w:t xml:space="preserve">Silero VAD</w:t>
      </w:r>
      <w:r>
        <w:rPr>
          <w:rFonts w:ascii="Times New Roman" w:cs="Times New Roman" w:eastAsia="Times New Roman" w:hAnsi="Times New Roman"/>
          <w:b w:val="false"/>
          <w:bCs w:val="false"/>
          <w:i w:val="false"/>
          <w:iCs w:val="false"/>
          <w:sz w:val="24"/>
          <w:szCs w:val="24"/>
        </w:rPr>
        <w:t xml:space="preserve"> [Computer software]. GitHub. https://github.com/snakers4/silero-vad</w:t>
      </w:r>
    </w:p>
    <w:p>
      <w:pPr>
        <w:spacing w:after="120"/>
        <w:ind w:left="720" w:hanging="720"/>
      </w:pPr>
      <w:r>
        <w:rPr>
          <w:rFonts w:ascii="Times New Roman" w:cs="Times New Roman" w:eastAsia="Times New Roman" w:hAnsi="Times New Roman"/>
          <w:b w:val="false"/>
          <w:bCs w:val="false"/>
          <w:i w:val="false"/>
          <w:iCs w:val="false"/>
          <w:sz w:val="24"/>
          <w:szCs w:val="24"/>
        </w:rPr>
        <w:t xml:space="preserve">Xenova. (n.d.). </w:t>
      </w:r>
      <w:r>
        <w:rPr>
          <w:rFonts w:ascii="Times New Roman" w:cs="Times New Roman" w:eastAsia="Times New Roman" w:hAnsi="Times New Roman"/>
          <w:b w:val="false"/>
          <w:bCs w:val="false"/>
          <w:i/>
          <w:iCs/>
          <w:sz w:val="24"/>
          <w:szCs w:val="24"/>
        </w:rPr>
        <w:t xml:space="preserve">Transformers.js</w:t>
      </w:r>
      <w:r>
        <w:rPr>
          <w:rFonts w:ascii="Times New Roman" w:cs="Times New Roman" w:eastAsia="Times New Roman" w:hAnsi="Times New Roman"/>
          <w:b w:val="false"/>
          <w:bCs w:val="false"/>
          <w:i w:val="false"/>
          <w:iCs w:val="false"/>
          <w:sz w:val="24"/>
          <w:szCs w:val="24"/>
        </w:rPr>
        <w:t xml:space="preserve"> (Version 2.17.2) [Computer software]. npm. https://www.npmjs.com/package/@xenova/transformers</w:t>
      </w:r>
    </w:p>
    <w:p>
      <w:pPr>
        <w:spacing w:after="120"/>
        <w:ind w:left="720" w:hanging="720"/>
      </w:pPr>
      <w:r>
        <w:rPr>
          <w:rFonts w:ascii="Times New Roman" w:cs="Times New Roman" w:eastAsia="Times New Roman" w:hAnsi="Times New Roman"/>
          <w:b w:val="false"/>
          <w:bCs w:val="false"/>
          <w:i w:val="false"/>
          <w:iCs w:val="false"/>
          <w:sz w:val="24"/>
          <w:szCs w:val="24"/>
        </w:rPr>
        <w:t xml:space="preserve">Microsoft. (n.d.). </w:t>
      </w:r>
      <w:r>
        <w:rPr>
          <w:rFonts w:ascii="Times New Roman" w:cs="Times New Roman" w:eastAsia="Times New Roman" w:hAnsi="Times New Roman"/>
          <w:b w:val="false"/>
          <w:bCs w:val="false"/>
          <w:i/>
          <w:iCs/>
          <w:sz w:val="24"/>
          <w:szCs w:val="24"/>
        </w:rPr>
        <w:t xml:space="preserve">onnxruntime-web</w:t>
      </w:r>
      <w:r>
        <w:rPr>
          <w:rFonts w:ascii="Times New Roman" w:cs="Times New Roman" w:eastAsia="Times New Roman" w:hAnsi="Times New Roman"/>
          <w:b w:val="false"/>
          <w:bCs w:val="false"/>
          <w:i w:val="false"/>
          <w:iCs w:val="false"/>
          <w:sz w:val="24"/>
          <w:szCs w:val="24"/>
        </w:rPr>
        <w:t xml:space="preserve"> (Version 1.14.0) [Computer software]. npm. https://www.npmjs.com/package/onnxruntime-web</w:t>
      </w:r>
    </w:p>
    <w:p>
      <w:pPr>
        <w:spacing w:after="120"/>
        <w:ind w:left="720" w:hanging="720"/>
      </w:pPr>
      <w:r>
        <w:rPr>
          <w:rFonts w:ascii="Times New Roman" w:cs="Times New Roman" w:eastAsia="Times New Roman" w:hAnsi="Times New Roman"/>
          <w:b w:val="false"/>
          <w:bCs w:val="false"/>
          <w:i w:val="false"/>
          <w:iCs w:val="false"/>
          <w:sz w:val="24"/>
          <w:szCs w:val="24"/>
        </w:rPr>
        <w:t xml:space="preserve">ricky0123. (n.d.). </w:t>
      </w:r>
      <w:r>
        <w:rPr>
          <w:rFonts w:ascii="Times New Roman" w:cs="Times New Roman" w:eastAsia="Times New Roman" w:hAnsi="Times New Roman"/>
          <w:b w:val="false"/>
          <w:bCs w:val="false"/>
          <w:i/>
          <w:iCs/>
          <w:sz w:val="24"/>
          <w:szCs w:val="24"/>
        </w:rPr>
        <w:t xml:space="preserve">vad-web</w:t>
      </w:r>
      <w:r>
        <w:rPr>
          <w:rFonts w:ascii="Times New Roman" w:cs="Times New Roman" w:eastAsia="Times New Roman" w:hAnsi="Times New Roman"/>
          <w:b w:val="false"/>
          <w:bCs w:val="false"/>
          <w:i w:val="false"/>
          <w:iCs w:val="false"/>
          <w:sz w:val="24"/>
          <w:szCs w:val="24"/>
        </w:rPr>
        <w:t xml:space="preserve"> (Version 0.0.19) [Computer software]. npm. https://www.npmjs.com/package/@ricky0123/vad-web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2026-09-11T18:31:57.090Z</dcterms:created>
  <dcterms:modified xsi:type="dcterms:W3CDTF">2026-09-11T18:31:57.091Z</dcterms:modified>
</cp:coreProperties>
</file>

<file path=docProps/custom.xml><?xml version="1.0" encoding="utf-8"?>
<Properties xmlns="http://schemas.openxmlformats.org/officeDocument/2006/custom-properties" xmlns:vt="http://schemas.openxmlformats.org/officeDocument/2006/docPropsVTypes"/>
</file>