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Supplementary Table 1. Definition of parameters calibrated in the CBM-CFS3</w:t>
      </w:r>
    </w:p>
    <w:tbl>
      <w:tblPr>
        <w:tblW w:w="9468" w:type="dxa"/>
        <w:jc w:val="left"/>
        <w:tblInd w:w="108" w:type="dxa"/>
        <w:tblCellMar>
          <w:top w:w="0" w:type="dxa"/>
          <w:left w:w="108" w:type="dxa"/>
          <w:bottom w:w="0" w:type="dxa"/>
          <w:right w:w="108" w:type="dxa"/>
        </w:tblCellMar>
        <w:tblLook w:val="04a0" w:noHBand="0" w:noVBand="1" w:firstColumn="1" w:lastRow="0" w:lastColumn="0" w:firstRow="1"/>
      </w:tblPr>
      <w:tblGrid>
        <w:gridCol w:w="2551"/>
        <w:gridCol w:w="6916"/>
      </w:tblGrid>
      <w:tr>
        <w:trPr>
          <w:trHeight w:val="300" w:hRule="atLeast"/>
        </w:trPr>
        <w:tc>
          <w:tcPr>
            <w:tcW w:w="2551" w:type="dxa"/>
            <w:tcBorders>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Parameter name</w:t>
            </w:r>
          </w:p>
        </w:tc>
        <w:tc>
          <w:tcPr>
            <w:tcW w:w="6916" w:type="dxa"/>
            <w:tcBorders>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Definition</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OtherToBranchSnagSplit</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the litterfall from "other" pool (stumps, branches, and small trees including bark) that becomes snag branches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SS_fr</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fall rate of the softwood and hardwood stem snags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BS_fr</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fall rate of the softwood and hardwood branch snags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CoarseRootTurnProp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death rate of coarse roots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FineRootTurnProp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death rate of fine roots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CoarseRootAGSplit</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fraction of dead coarse roots sent to the aboveground  fast pool</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FineRootAGSplit</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fraction of dead fine roots sent to the aboveground very fast pool</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AGVF_b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aboveground very fast (AGVF; foliar litter and dead fine roots in the soil organic layer)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BGVF_b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belowground very fast (BGVF; dead fine roots in the mineral soil)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AGF_b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aboveground fast (AGF; small and fine woody debris)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BGF_b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belowground fast (BGF; dead coarse roots in the mineral soil)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M_b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medium (M; coarse woody debris)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aboveground slow (AGS; soil organic layer)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belowground slow (BGS: mineral soil organic matter)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SWSS_b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softwood stem snags (SWSS; softwood dead standing stemwood)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SWBS_b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softwood branch snag  (SWBS; softwood dead standing branches of merchantable and non-merchantable sized trees, tops and stumps of merchantable sized trees and non-merchantable sized tree stemwood and bark)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HWSS_b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hardwood stem snags (HWSS; hardwood dead standing stemwood)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HWBS_b</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decay rate of hardwood branch snag (HWBS; hardwood dead standing branches of merchantable and non-merchantable sized trees, tops and stumps of merchantable sized trees and non-merchantable sized tree stemwood and bark)  pool when mean annual temperature is 10</w:t>
            </w:r>
            <w:r>
              <w:rPr>
                <w:rFonts w:eastAsia="Times New Roman" w:cs="Times New Roman"/>
                <w:color w:val="000000"/>
              </w:rPr>
              <w:t>°</w:t>
            </w:r>
            <w:r>
              <w:rPr>
                <w:rFonts w:eastAsia="Times New Roman" w:cs="Times New Roman" w:ascii="Times New Roman" w:hAnsi="Times New Roman"/>
                <w:color w:val="000000"/>
              </w:rPr>
              <w:t>C</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AGVF_q10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temperature sensitivity of AGVF pool </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BGVF_q10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temperature sensitivity of BGVF pool </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AGF_q10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temperature sensitivity of AGF pool </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BGF_q10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BGF pool</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M_q10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temperature sensitivity of M pool </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AGS pool</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BGS pool</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SWSS_q10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SWSS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SWBS_q10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SWBS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HWSS_q10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HWSS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HWBS_q10</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temperature sensitivity of HWBS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AGVF_p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AGVF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BGVF_p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BGVF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AGF_p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AGF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BGF_p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BGF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M_p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M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SWSS_p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SWSS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SWBS_p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SWBS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HWSS_p</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HWSS pool lost to atmosphere</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HWBS_p</w:t>
            </w:r>
          </w:p>
        </w:tc>
        <w:tc>
          <w:tcPr>
            <w:tcW w:w="6916" w:type="dxa"/>
            <w:tcBorders/>
            <w:shd w:color="auto" w:fill="auto" w:val="clear"/>
            <w:vAlign w:val="bottom"/>
          </w:tcPr>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6701"/>
            </w:tblGrid>
            <w:tr>
              <w:trPr>
                <w:trHeight w:val="300" w:hRule="atLeast"/>
              </w:trPr>
              <w:tc>
                <w:tcPr>
                  <w:tcW w:w="6701"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proportion of decayed HWBS pool lost to atmosphere</w:t>
                  </w:r>
                </w:p>
              </w:tc>
            </w:tr>
          </w:tbl>
          <w:p>
            <w:pPr>
              <w:pStyle w:val="Normal"/>
              <w:spacing w:lineRule="auto" w:line="240" w:before="0" w:after="0"/>
              <w:jc w:val="both"/>
              <w:rPr>
                <w:rFonts w:ascii="Calibri" w:hAnsi="Calibri" w:eastAsia="Times New Roman" w:cs="Times New Roman"/>
                <w:color w:val="000000"/>
              </w:rPr>
            </w:pPr>
            <w:r>
              <w:rPr>
                <w:rFonts w:eastAsia="Times New Roman" w:cs="Times New Roman"/>
                <w:color w:val="000000"/>
              </w:rPr>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rb_sw_a</w:t>
            </w:r>
          </w:p>
        </w:tc>
        <w:tc>
          <w:tcPr>
            <w:tcW w:w="6916" w:type="dxa"/>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mc:AlternateContent>
                <mc:Choice Requires="wps">
                  <w:drawing>
                    <wp:anchor behindDoc="0" distT="0" distB="0" distL="0" distR="0" simplePos="0" locked="0" layoutInCell="1" allowOverlap="1" relativeHeight="2" wp14:anchorId="595BEBB5">
                      <wp:simplePos x="0" y="0"/>
                      <wp:positionH relativeFrom="column">
                        <wp:posOffset>1268730</wp:posOffset>
                      </wp:positionH>
                      <wp:positionV relativeFrom="paragraph">
                        <wp:posOffset>-64770</wp:posOffset>
                      </wp:positionV>
                      <wp:extent cx="2048510" cy="373380"/>
                      <wp:effectExtent l="0" t="0" r="0" b="0"/>
                      <wp:wrapNone/>
                      <wp:docPr id="1" name="Text Box 12"/>
                      <a:graphic xmlns:a="http://schemas.openxmlformats.org/drawingml/2006/main">
                        <a:graphicData uri="http://schemas.microsoft.com/office/word/2010/wordprocessingShape">
                          <wps:wsp>
                            <wps:cNvSpPr/>
                            <wps:spPr>
                              <a:xfrm>
                                <a:off x="0" y="0"/>
                                <a:ext cx="2048040" cy="372600"/>
                              </a:xfrm>
                              <a:prstGeom prst="rect">
                                <a:avLst/>
                              </a:prstGeom>
                              <a:noFill/>
                              <a:ln>
                                <a:noFill/>
                              </a:ln>
                            </wps:spPr>
                            <wps:style>
                              <a:lnRef idx="0"/>
                              <a:fillRef idx="0"/>
                              <a:effectRef idx="0"/>
                              <a:fontRef idx="minor"/>
                            </wps:style>
                            <wps:txbx>
                              <w:txbxContent>
                                <w:p>
                                  <w:pPr>
                                    <w:pStyle w:val="NormalWeb"/>
                                    <w:spacing w:beforeAutospacing="0" w:before="0" w:afterAutospacing="0" w:after="0"/>
                                    <w:rPr>
                                      <w:color w:val="000000"/>
                                    </w:rPr>
                                  </w:pPr>
                                  <w:r>
                                    <w:rPr>
                                      <w:color w:val="000000"/>
                                    </w:rPr>
                                  </w:r>
                                  <m:oMath xmlns:m="http://schemas.openxmlformats.org/officeDocument/2006/math">
                                    <m:r>
                                      <w:rPr>
                                        <w:rFonts w:ascii="Cambria Math" w:hAnsi="Cambria Math"/>
                                      </w:rPr>
                                      <m:t xml:space="preserve">r</m:t>
                                    </m:r>
                                    <m:sSub>
                                      <m:e>
                                        <m:r>
                                          <w:rPr>
                                            <w:rFonts w:ascii="Cambria Math" w:hAnsi="Cambria Math"/>
                                          </w:rPr>
                                          <m:t xml:space="preserve">b</m:t>
                                        </m:r>
                                      </m:e>
                                      <m:sub>
                                        <m:r>
                                          <w:rPr>
                                            <w:rFonts w:ascii="Cambria Math" w:hAnsi="Cambria Math"/>
                                          </w:rPr>
                                          <m:t xml:space="preserve">sw</m:t>
                                        </m:r>
                                      </m:sub>
                                    </m:sSub>
                                    <m:r>
                                      <w:rPr>
                                        <w:rFonts w:ascii="Cambria Math" w:hAnsi="Cambria Math"/>
                                      </w:rPr>
                                      <m:t xml:space="preserve">=</m:t>
                                    </m:r>
                                    <m:sSub>
                                      <m:e>
                                        <m:r>
                                          <w:rPr>
                                            <w:rFonts w:ascii="Cambria Math" w:hAnsi="Cambria Math"/>
                                          </w:rPr>
                                          <m:t xml:space="preserve">rb</m:t>
                                        </m:r>
                                      </m:e>
                                      <m:sub/>
                                    </m:sSub>
                                    <m:r>
                                      <w:rPr>
                                        <w:rFonts w:ascii="Cambria Math" w:hAnsi="Cambria Math"/>
                                      </w:rPr>
                                      <m:t xml:space="preserve">×</m:t>
                                    </m:r>
                                    <m:r>
                                      <w:rPr>
                                        <w:rFonts w:ascii="Cambria Math" w:hAnsi="Cambria Math"/>
                                      </w:rPr>
                                      <m:t xml:space="preserve">A</m:t>
                                    </m:r>
                                    <m:sSub>
                                      <m:e>
                                        <m:r>
                                          <w:rPr>
                                            <w:rFonts w:ascii="Cambria Math" w:hAnsi="Cambria Math"/>
                                          </w:rPr>
                                          <m:t xml:space="preserve">B</m:t>
                                        </m:r>
                                      </m:e>
                                      <m:sub>
                                        <m:r>
                                          <w:rPr>
                                            <w:rFonts w:ascii="Cambria Math" w:hAnsi="Cambria Math"/>
                                          </w:rPr>
                                          <m:t xml:space="preserve">sw</m:t>
                                        </m:r>
                                      </m:sub>
                                    </m:sSub>
                                  </m:oMath>
                                </w:p>
                              </w:txbxContent>
                            </wps:txbx>
                            <wps:bodyPr>
                              <a:spAutoFit/>
                            </wps:bodyPr>
                          </wps:wsp>
                        </a:graphicData>
                      </a:graphic>
                    </wp:anchor>
                  </w:drawing>
                </mc:Choice>
                <mc:Fallback>
                  <w:pict>
                    <v:rect id="shape_0" ID="Text Box 12" stroked="f" style="position:absolute;margin-left:99.9pt;margin-top:-5.1pt;width:161.2pt;height:29.3pt" wp14:anchorId="595BEBB5">
                      <w10:wrap type="none"/>
                      <v:fill o:detectmouseclick="t" on="false"/>
                      <v:stroke color="#3465a4" joinstyle="round" endcap="flat"/>
                      <v:textbox>
                        <w:txbxContent>
                          <w:p>
                            <w:pPr>
                              <w:pStyle w:val="NormalWeb"/>
                              <w:spacing w:beforeAutospacing="0" w:before="0" w:afterAutospacing="0" w:after="0"/>
                              <w:rPr>
                                <w:color w:val="000000"/>
                              </w:rPr>
                            </w:pPr>
                            <w:r>
                              <w:rPr>
                                <w:color w:val="000000"/>
                              </w:rPr>
                            </w:r>
                            <m:oMath xmlns:m="http://schemas.openxmlformats.org/officeDocument/2006/math">
                              <m:r>
                                <w:rPr>
                                  <w:rFonts w:ascii="Cambria Math" w:hAnsi="Cambria Math"/>
                                </w:rPr>
                                <m:t xml:space="preserve">r</m:t>
                              </m:r>
                              <m:sSub>
                                <m:e>
                                  <m:r>
                                    <w:rPr>
                                      <w:rFonts w:ascii="Cambria Math" w:hAnsi="Cambria Math"/>
                                    </w:rPr>
                                    <m:t xml:space="preserve">b</m:t>
                                  </m:r>
                                </m:e>
                                <m:sub>
                                  <m:r>
                                    <w:rPr>
                                      <w:rFonts w:ascii="Cambria Math" w:hAnsi="Cambria Math"/>
                                    </w:rPr>
                                    <m:t xml:space="preserve">sw</m:t>
                                  </m:r>
                                </m:sub>
                              </m:sSub>
                              <m:r>
                                <w:rPr>
                                  <w:rFonts w:ascii="Cambria Math" w:hAnsi="Cambria Math"/>
                                </w:rPr>
                                <m:t xml:space="preserve">=</m:t>
                              </m:r>
                              <m:sSub>
                                <m:e>
                                  <m:r>
                                    <w:rPr>
                                      <w:rFonts w:ascii="Cambria Math" w:hAnsi="Cambria Math"/>
                                    </w:rPr>
                                    <m:t xml:space="preserve">rb</m:t>
                                  </m:r>
                                </m:e>
                                <m:sub/>
                              </m:sSub>
                              <m:r>
                                <w:rPr>
                                  <w:rFonts w:ascii="Cambria Math" w:hAnsi="Cambria Math"/>
                                </w:rPr>
                                <m:t xml:space="preserve">×</m:t>
                              </m:r>
                              <m:r>
                                <w:rPr>
                                  <w:rFonts w:ascii="Cambria Math" w:hAnsi="Cambria Math"/>
                                </w:rPr>
                                <m:t xml:space="preserve">A</m:t>
                              </m:r>
                              <m:sSub>
                                <m:e>
                                  <m:r>
                                    <w:rPr>
                                      <w:rFonts w:ascii="Cambria Math" w:hAnsi="Cambria Math"/>
                                    </w:rPr>
                                    <m:t xml:space="preserve">B</m:t>
                                  </m:r>
                                </m:e>
                                <m:sub>
                                  <m:r>
                                    <w:rPr>
                                      <w:rFonts w:ascii="Cambria Math" w:hAnsi="Cambria Math"/>
                                    </w:rPr>
                                    <m:t xml:space="preserve">sw</m:t>
                                  </m:r>
                                </m:sub>
                              </m:sSub>
                            </m:oMath>
                          </w:p>
                        </w:txbxContent>
                      </v:textbox>
                    </v:rect>
                  </w:pict>
                </mc:Fallback>
              </mc:AlternateContent>
              <mc:AlternateContent>
                <mc:Choice Requires="wps">
                  <w:drawing>
                    <wp:anchor behindDoc="0" distT="0" distB="0" distL="0" distR="0" simplePos="0" locked="0" layoutInCell="1" allowOverlap="1" relativeHeight="3" wp14:anchorId="43DBFEC9">
                      <wp:simplePos x="0" y="0"/>
                      <wp:positionH relativeFrom="column">
                        <wp:posOffset>1388110</wp:posOffset>
                      </wp:positionH>
                      <wp:positionV relativeFrom="paragraph">
                        <wp:posOffset>277495</wp:posOffset>
                      </wp:positionV>
                      <wp:extent cx="2343785" cy="394970"/>
                      <wp:effectExtent l="0" t="0" r="0" b="0"/>
                      <wp:wrapNone/>
                      <wp:docPr id="3" name="Text Box 11"/>
                      <a:graphic xmlns:a="http://schemas.openxmlformats.org/drawingml/2006/main">
                        <a:graphicData uri="http://schemas.microsoft.com/office/word/2010/wordprocessingShape">
                          <wps:wsp>
                            <wps:cNvSpPr/>
                            <wps:spPr>
                              <a:xfrm>
                                <a:off x="0" y="0"/>
                                <a:ext cx="2343240" cy="394200"/>
                              </a:xfrm>
                              <a:prstGeom prst="rect">
                                <a:avLst/>
                              </a:prstGeom>
                              <a:noFill/>
                              <a:ln>
                                <a:noFill/>
                              </a:ln>
                            </wps:spPr>
                            <wps:style>
                              <a:lnRef idx="0"/>
                              <a:fillRef idx="0"/>
                              <a:effectRef idx="0"/>
                              <a:fontRef idx="minor"/>
                            </wps:style>
                            <wps:txbx>
                              <w:txbxContent>
                                <w:p>
                                  <w:pPr>
                                    <w:pStyle w:val="NormalWeb"/>
                                    <w:spacing w:beforeAutospacing="0" w:before="0" w:afterAutospacing="0" w:after="0"/>
                                    <w:rPr>
                                      <w:color w:val="000000"/>
                                    </w:rPr>
                                  </w:pPr>
                                  <w:r>
                                    <w:rPr>
                                      <w:color w:val="000000"/>
                                    </w:rPr>
                                  </w:r>
                                  <m:oMath xmlns:m="http://schemas.openxmlformats.org/officeDocument/2006/math">
                                    <m:r>
                                      <w:rPr>
                                        <w:rFonts w:ascii="Cambria Math" w:hAnsi="Cambria Math"/>
                                      </w:rPr>
                                      <m:t xml:space="preserve">r</m:t>
                                    </m:r>
                                    <m:sSub>
                                      <m:e>
                                        <m:r>
                                          <w:rPr>
                                            <w:rFonts w:ascii="Cambria Math" w:hAnsi="Cambria Math"/>
                                          </w:rPr>
                                          <m:t xml:space="preserve">b</m:t>
                                        </m:r>
                                      </m:e>
                                      <m:sub>
                                        <m:r>
                                          <w:rPr>
                                            <w:rFonts w:ascii="Cambria Math" w:hAnsi="Cambria Math"/>
                                          </w:rPr>
                                          <m:t xml:space="preserve">hw</m:t>
                                        </m:r>
                                      </m:sub>
                                    </m:sSub>
                                    <m:r>
                                      <w:rPr>
                                        <w:rFonts w:ascii="Cambria Math" w:hAnsi="Cambria Math"/>
                                      </w:rPr>
                                      <m:t xml:space="preserve">=</m:t>
                                    </m:r>
                                    <m:sSub>
                                      <m:e>
                                        <m:r>
                                          <w:rPr>
                                            <w:rFonts w:ascii="Cambria Math" w:hAnsi="Cambria Math"/>
                                          </w:rPr>
                                          <m:t xml:space="preserve">rb</m:t>
                                        </m:r>
                                      </m:e>
                                      <m:sub/>
                                    </m:sSub>
                                    <m:r>
                                      <w:rPr>
                                        <w:rFonts w:ascii="Cambria Math" w:hAnsi="Cambria Math"/>
                                      </w:rPr>
                                      <m:t xml:space="preserve">×</m:t>
                                    </m:r>
                                    <m:sSup>
                                      <m:e>
                                        <m:sSub>
                                          <m:e>
                                            <m:r>
                                              <w:rPr>
                                                <w:rFonts w:ascii="Cambria Math" w:hAnsi="Cambria Math"/>
                                              </w:rPr>
                                              <m:t xml:space="preserve">AB</m:t>
                                            </m:r>
                                          </m:e>
                                          <m:sub>
                                            <m:r>
                                              <w:rPr>
                                                <w:rFonts w:ascii="Cambria Math" w:hAnsi="Cambria Math"/>
                                              </w:rPr>
                                              <m:t xml:space="preserve">sw</m:t>
                                            </m:r>
                                          </m:sub>
                                        </m:sSub>
                                      </m:e>
                                      <m:sup>
                                        <m:sSub>
                                          <m:e>
                                            <m:r>
                                              <w:rPr>
                                                <w:rFonts w:ascii="Cambria Math" w:hAnsi="Cambria Math"/>
                                              </w:rPr>
                                              <m:t xml:space="preserve">rb</m:t>
                                            </m:r>
                                          </m:e>
                                          <m:sub/>
                                        </m:sSub>
                                      </m:sup>
                                    </m:sSup>
                                  </m:oMath>
                                </w:p>
                              </w:txbxContent>
                            </wps:txbx>
                            <wps:bodyPr>
                              <a:spAutoFit/>
                            </wps:bodyPr>
                          </wps:wsp>
                        </a:graphicData>
                      </a:graphic>
                    </wp:anchor>
                  </w:drawing>
                </mc:Choice>
                <mc:Fallback>
                  <w:pict>
                    <v:rect id="shape_0" ID="Text Box 11" stroked="f" style="position:absolute;margin-left:109.3pt;margin-top:21.85pt;width:184.45pt;height:31pt" wp14:anchorId="43DBFEC9">
                      <w10:wrap type="none"/>
                      <v:fill o:detectmouseclick="t" on="false"/>
                      <v:stroke color="#3465a4" joinstyle="round" endcap="flat"/>
                      <v:textbox>
                        <w:txbxContent>
                          <w:p>
                            <w:pPr>
                              <w:pStyle w:val="NormalWeb"/>
                              <w:spacing w:beforeAutospacing="0" w:before="0" w:afterAutospacing="0" w:after="0"/>
                              <w:rPr>
                                <w:color w:val="000000"/>
                              </w:rPr>
                            </w:pPr>
                            <w:r>
                              <w:rPr>
                                <w:color w:val="000000"/>
                              </w:rPr>
                            </w:r>
                            <m:oMath xmlns:m="http://schemas.openxmlformats.org/officeDocument/2006/math">
                              <m:r>
                                <w:rPr>
                                  <w:rFonts w:ascii="Cambria Math" w:hAnsi="Cambria Math"/>
                                </w:rPr>
                                <m:t xml:space="preserve">r</m:t>
                              </m:r>
                              <m:sSub>
                                <m:e>
                                  <m:r>
                                    <w:rPr>
                                      <w:rFonts w:ascii="Cambria Math" w:hAnsi="Cambria Math"/>
                                    </w:rPr>
                                    <m:t xml:space="preserve">b</m:t>
                                  </m:r>
                                </m:e>
                                <m:sub>
                                  <m:r>
                                    <w:rPr>
                                      <w:rFonts w:ascii="Cambria Math" w:hAnsi="Cambria Math"/>
                                    </w:rPr>
                                    <m:t xml:space="preserve">hw</m:t>
                                  </m:r>
                                </m:sub>
                              </m:sSub>
                              <m:r>
                                <w:rPr>
                                  <w:rFonts w:ascii="Cambria Math" w:hAnsi="Cambria Math"/>
                                </w:rPr>
                                <m:t xml:space="preserve">=</m:t>
                              </m:r>
                              <m:sSub>
                                <m:e>
                                  <m:r>
                                    <w:rPr>
                                      <w:rFonts w:ascii="Cambria Math" w:hAnsi="Cambria Math"/>
                                    </w:rPr>
                                    <m:t xml:space="preserve">rb</m:t>
                                  </m:r>
                                </m:e>
                                <m:sub/>
                              </m:sSub>
                              <m:r>
                                <w:rPr>
                                  <w:rFonts w:ascii="Cambria Math" w:hAnsi="Cambria Math"/>
                                </w:rPr>
                                <m:t xml:space="preserve">×</m:t>
                              </m:r>
                              <m:sSup>
                                <m:e>
                                  <m:sSub>
                                    <m:e>
                                      <m:r>
                                        <w:rPr>
                                          <w:rFonts w:ascii="Cambria Math" w:hAnsi="Cambria Math"/>
                                        </w:rPr>
                                        <m:t xml:space="preserve">AB</m:t>
                                      </m:r>
                                    </m:e>
                                    <m:sub>
                                      <m:r>
                                        <w:rPr>
                                          <w:rFonts w:ascii="Cambria Math" w:hAnsi="Cambria Math"/>
                                        </w:rPr>
                                        <m:t xml:space="preserve">sw</m:t>
                                      </m:r>
                                    </m:sub>
                                  </m:sSub>
                                </m:e>
                                <m:sup>
                                  <m:sSub>
                                    <m:e>
                                      <m:r>
                                        <w:rPr>
                                          <w:rFonts w:ascii="Cambria Math" w:hAnsi="Cambria Math"/>
                                        </w:rPr>
                                        <m:t xml:space="preserve">rb</m:t>
                                      </m:r>
                                    </m:e>
                                    <m:sub/>
                                  </m:sSub>
                                </m:sup>
                              </m:sSup>
                            </m:oMath>
                          </w:p>
                        </w:txbxContent>
                      </v:textbox>
                    </v:rect>
                  </w:pict>
                </mc:Fallback>
              </mc:AlternateContent>
            </w:r>
            <w:r>
              <w:rPr>
                <w:rFonts w:eastAsia="Times New Roman" w:cs="Times New Roman" w:ascii="Times New Roman" w:hAnsi="Times New Roman"/>
                <w:color w:val="000000"/>
              </w:rPr>
              <w:t>parameter in the equation                                              , which determines root biomass in softwood trees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rb_hw_a</w:t>
            </w:r>
          </w:p>
        </w:tc>
        <w:tc>
          <w:tcPr>
            <w:tcW w:w="6916" w:type="dxa"/>
            <w:vMerge w:val="restart"/>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parameters in the equation                                                           , which determine root biomass in hardwood trees</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rb_hw_b</w:t>
            </w:r>
          </w:p>
        </w:tc>
        <w:tc>
          <w:tcPr>
            <w:tcW w:w="6916" w:type="dxa"/>
            <w:vMerge w:val="continue"/>
            <w:tcBorders/>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frp_a</w:t>
            </w:r>
          </w:p>
        </w:tc>
        <w:tc>
          <w:tcPr>
            <w:tcW w:w="6916" w:type="dxa"/>
            <w:vMerge w:val="restart"/>
            <w:tcBorders/>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parameters in the equation</w:t>
            </w:r>
            <w:r>
              <w:rPr/>
            </w:r>
            <m:oMath xmlns:m="http://schemas.openxmlformats.org/officeDocument/2006/math">
              <m:sSub>
                <m:e>
                  <m:r>
                    <w:rPr>
                      <w:rFonts w:ascii="Cambria Math" w:hAnsi="Cambria Math"/>
                    </w:rPr>
                    <m:t xml:space="preserve">P</m:t>
                  </m:r>
                </m:e>
                <m:sub>
                  <m:r>
                    <w:rPr>
                      <w:rFonts w:ascii="Cambria Math" w:hAnsi="Cambria Math"/>
                    </w:rPr>
                    <m:t xml:space="preserve">fr</m:t>
                  </m:r>
                </m:sub>
              </m:sSub>
              <m:r>
                <w:rPr>
                  <w:rFonts w:ascii="Cambria Math" w:hAnsi="Cambria Math"/>
                </w:rPr>
                <m:t xml:space="preserve">=</m:t>
              </m:r>
              <m:r>
                <w:rPr>
                  <w:rFonts w:ascii="Cambria Math" w:hAnsi="Cambria Math"/>
                </w:rPr>
                <m:t xml:space="preserve">fr</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fr</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fr</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r>
                    <w:rPr>
                      <w:rFonts w:ascii="Cambria Math" w:hAnsi="Cambria Math"/>
                    </w:rPr>
                    <m:t xml:space="preserve">rb</m:t>
                  </m:r>
                </m:sup>
              </m:sSup>
              <m:r>
                <w:rPr>
                  <w:rFonts w:ascii="Cambria Math" w:hAnsi="Cambria Math"/>
                </w:rPr>
                <m:t xml:space="preserve">,</m:t>
              </m:r>
            </m:oMath>
            <w:r>
              <w:rPr>
                <w:rFonts w:eastAsia="Times New Roman" w:cs="Times New Roman" w:ascii="Times New Roman" w:hAnsi="Times New Roman"/>
                <w:color w:val="000000"/>
              </w:rPr>
              <w:t xml:space="preserve"> which determine the fraction of fine root</w:t>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frp_b</w:t>
            </w:r>
          </w:p>
        </w:tc>
        <w:tc>
          <w:tcPr>
            <w:tcW w:w="6916" w:type="dxa"/>
            <w:vMerge w:val="continue"/>
            <w:tcBorders/>
            <w:vAlign w:val="center"/>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rHeight w:val="300" w:hRule="atLeast"/>
        </w:trPr>
        <w:tc>
          <w:tcPr>
            <w:tcW w:w="2551" w:type="dxa"/>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frp_c</w:t>
            </w:r>
          </w:p>
        </w:tc>
        <w:tc>
          <w:tcPr>
            <w:tcW w:w="6916" w:type="dxa"/>
            <w:vMerge w:val="continue"/>
            <w:tcBorders/>
            <w:vAlign w:val="center"/>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rHeight w:val="300" w:hRule="atLeast"/>
        </w:trPr>
        <w:tc>
          <w:tcPr>
            <w:tcW w:w="2551" w:type="dxa"/>
            <w:tcBorders>
              <w:bottom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SlowMixingRate</w:t>
            </w:r>
          </w:p>
        </w:tc>
        <w:tc>
          <w:tcPr>
            <w:tcW w:w="6916" w:type="dxa"/>
            <w:tcBorders>
              <w:bottom w:val="single" w:sz="4" w:space="0" w:color="000000"/>
            </w:tcBorders>
            <w:shd w:color="auto" w:fill="auto" w:val="clear"/>
            <w:vAlign w:val="bottom"/>
          </w:tcPr>
          <w:p>
            <w:pPr>
              <w:pStyle w:val="Normal"/>
              <w:spacing w:lineRule="auto" w:line="240" w:before="0" w:after="0"/>
              <w:jc w:val="both"/>
              <w:rPr>
                <w:rFonts w:ascii="Calibri" w:hAnsi="Calibri" w:eastAsia="Times New Roman" w:cs="Times New Roman"/>
                <w:color w:val="000000"/>
              </w:rPr>
            </w:pPr>
            <w:r>
              <w:rPr>
                <w:rFonts w:eastAsia="Times New Roman" w:cs="Times New Roman" w:ascii="Times New Roman" w:hAnsi="Times New Roman"/>
                <w:color w:val="000000"/>
              </w:rPr>
              <w:t>rate of C transfer from AGS to BGS</w:t>
            </w:r>
          </w:p>
        </w:tc>
      </w:tr>
      <w:tr>
        <w:trPr>
          <w:trHeight w:val="300" w:hRule="atLeast"/>
        </w:trPr>
        <w:tc>
          <w:tcPr>
            <w:tcW w:w="2551" w:type="dxa"/>
            <w:tcBorders>
              <w:top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6916" w:type="dxa"/>
            <w:tcBorders>
              <w:top w:val="single" w:sz="4" w:space="0" w:color="000000"/>
            </w:tcBorders>
            <w:shd w:color="auto" w:fill="auto" w:val="clear"/>
            <w:vAlign w:val="bottom"/>
          </w:tcPr>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rFonts w:ascii="Times New Roman" w:hAnsi="Times New Roman" w:cs="Times New Roman"/>
          <w:sz w:val="24"/>
          <w:szCs w:val="24"/>
        </w:rPr>
      </w:pPr>
      <w:r>
        <w:rPr>
          <w:rFonts w:cs="Times New Roman" w:ascii="Times New Roman" w:hAnsi="Times New Roman"/>
          <w:sz w:val="24"/>
          <w:szCs w:val="24"/>
        </w:rPr>
        <w:t xml:space="preserve">Supplementary Table 2. Prior and posterior estimates of the parameters regulating deadwood and soil C dynamics in CBM-CFS3 </w:t>
      </w:r>
    </w:p>
    <w:tbl>
      <w:tblPr>
        <w:tblW w:w="9224" w:type="dxa"/>
        <w:jc w:val="left"/>
        <w:tblInd w:w="93" w:type="dxa"/>
        <w:tblCellMar>
          <w:top w:w="0" w:type="dxa"/>
          <w:left w:w="108" w:type="dxa"/>
          <w:bottom w:w="0" w:type="dxa"/>
          <w:right w:w="108" w:type="dxa"/>
        </w:tblCellMar>
        <w:tblLook w:val="04a0" w:noHBand="0" w:noVBand="1" w:firstColumn="1" w:lastRow="0" w:lastColumn="0" w:firstRow="1"/>
      </w:tblPr>
      <w:tblGrid>
        <w:gridCol w:w="2513"/>
        <w:gridCol w:w="761"/>
        <w:gridCol w:w="1125"/>
        <w:gridCol w:w="1115"/>
        <w:gridCol w:w="222"/>
        <w:gridCol w:w="14"/>
        <w:gridCol w:w="819"/>
        <w:gridCol w:w="14"/>
        <w:gridCol w:w="1306"/>
        <w:gridCol w:w="15"/>
        <w:gridCol w:w="1306"/>
        <w:gridCol w:w="13"/>
      </w:tblGrid>
      <w:tr>
        <w:trPr>
          <w:trHeight w:val="300" w:hRule="atLeast"/>
        </w:trPr>
        <w:tc>
          <w:tcPr>
            <w:tcW w:w="2513" w:type="dxa"/>
            <w:vMerge w:val="restart"/>
            <w:tcBorders>
              <w:top w:val="doub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name</w:t>
            </w:r>
          </w:p>
        </w:tc>
        <w:tc>
          <w:tcPr>
            <w:tcW w:w="3001" w:type="dxa"/>
            <w:gridSpan w:val="3"/>
            <w:tcBorders>
              <w:top w:val="double" w:sz="4" w:space="0" w:color="000000"/>
              <w:bottom w:val="single" w:sz="4" w:space="0" w:color="000000"/>
              <w:right w:val="single" w:sz="4" w:space="0" w:color="FFFFFF"/>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prior</w:t>
            </w:r>
          </w:p>
        </w:tc>
        <w:tc>
          <w:tcPr>
            <w:tcW w:w="236" w:type="dxa"/>
            <w:gridSpan w:val="2"/>
            <w:tcBorders>
              <w:top w:val="double" w:sz="4" w:space="0" w:color="000000"/>
              <w:left w:val="single" w:sz="4" w:space="0" w:color="FFFFFF"/>
              <w:bottom w:val="single" w:sz="4" w:space="0" w:color="FFFFFF"/>
              <w:right w:val="single" w:sz="4" w:space="0" w:color="FFFFFF"/>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473" w:type="dxa"/>
            <w:gridSpan w:val="6"/>
            <w:tcBorders>
              <w:top w:val="double" w:sz="4" w:space="0" w:color="000000"/>
              <w:left w:val="single" w:sz="4" w:space="0" w:color="FFFFFF"/>
              <w:bottom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posterior</w:t>
            </w:r>
          </w:p>
        </w:tc>
      </w:tr>
      <w:tr>
        <w:trPr>
          <w:trHeight w:val="300" w:hRule="atLeast"/>
        </w:trPr>
        <w:tc>
          <w:tcPr>
            <w:tcW w:w="2513" w:type="dxa"/>
            <w:vMerge w:val="continue"/>
            <w:tcBorders>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761" w:type="dxa"/>
            <w:tcBorders>
              <w:top w:val="single" w:sz="4" w:space="0" w:color="000000"/>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value</w:t>
            </w:r>
          </w:p>
        </w:tc>
        <w:tc>
          <w:tcPr>
            <w:tcW w:w="1125" w:type="dxa"/>
            <w:tcBorders>
              <w:top w:val="single" w:sz="4" w:space="0" w:color="000000"/>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minimum</w:t>
            </w:r>
          </w:p>
        </w:tc>
        <w:tc>
          <w:tcPr>
            <w:tcW w:w="1115" w:type="dxa"/>
            <w:tcBorders>
              <w:top w:val="single" w:sz="4" w:space="0" w:color="FFFFFF"/>
              <w:bottom w:val="single" w:sz="4" w:space="0" w:color="000000"/>
              <w:right w:val="single" w:sz="4" w:space="0" w:color="FFFFFF"/>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maximum</w:t>
            </w:r>
          </w:p>
        </w:tc>
        <w:tc>
          <w:tcPr>
            <w:tcW w:w="236" w:type="dxa"/>
            <w:gridSpan w:val="2"/>
            <w:tcBorders>
              <w:top w:val="single" w:sz="4" w:space="0" w:color="FFFFFF"/>
              <w:left w:val="single" w:sz="4" w:space="0" w:color="FFFFFF"/>
              <w:bottom w:val="single" w:sz="4" w:space="0" w:color="000000"/>
              <w:right w:val="single" w:sz="4" w:space="0" w:color="FFFFFF"/>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833" w:type="dxa"/>
            <w:gridSpan w:val="2"/>
            <w:tcBorders>
              <w:top w:val="single" w:sz="4" w:space="0" w:color="000000"/>
              <w:left w:val="single" w:sz="4" w:space="0" w:color="FFFFFF"/>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mean</w:t>
            </w:r>
          </w:p>
        </w:tc>
        <w:tc>
          <w:tcPr>
            <w:tcW w:w="1321" w:type="dxa"/>
            <w:gridSpan w:val="2"/>
            <w:tcBorders>
              <w:top w:val="single" w:sz="4" w:space="0" w:color="000000"/>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lower 95 % CI</w:t>
            </w:r>
          </w:p>
        </w:tc>
        <w:tc>
          <w:tcPr>
            <w:tcW w:w="1319" w:type="dxa"/>
            <w:gridSpan w:val="2"/>
            <w:tcBorders>
              <w:top w:val="single" w:sz="4" w:space="0" w:color="000000"/>
              <w:bottom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upper 95 % CI</w:t>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OtherToBranchSnagSplit</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0.250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0.125</w:t>
            </w:r>
          </w:p>
        </w:tc>
        <w:tc>
          <w:tcPr>
            <w:tcW w:w="1337" w:type="dxa"/>
            <w:gridSpan w:val="2"/>
            <w:tcBorders>
              <w:right w:val="single" w:sz="4" w:space="0" w:color="FFFFFF"/>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0.375</w:t>
            </w:r>
          </w:p>
        </w:tc>
        <w:tc>
          <w:tcPr>
            <w:tcW w:w="833" w:type="dxa"/>
            <w:gridSpan w:val="2"/>
            <w:tcBorders>
              <w:left w:val="single" w:sz="4" w:space="0" w:color="FFFFFF"/>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0.353</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0.320</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0.373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SS_fr</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0.032</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0.008</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0.066</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0.052</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0.082</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BS_fr</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0.074</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0.375</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0.081</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0.093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CoarseRootTurnProp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0.020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0.028</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FineRootTurnProp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0.641</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0.320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0.960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0.864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0.707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0.951</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CoarseRootAGSplit</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0.250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0.750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0.523</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0.295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0.720</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FineRootAGSplit</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0.250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0.750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0.663</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0.530</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0.742</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AGVF_b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0.355</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0.284</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0.426</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0.345</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0.290</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0.409</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BGVF_b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0.160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0.560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0.349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0.187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0.524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AGF_b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0.144</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0.270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0.225</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0.194</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0.259</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BGF_b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0.144</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0.045</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0.410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0.230</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0.072</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0.382</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M_b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0.037</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0.007</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0.110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0.064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0.092</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0.015</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0.002</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0.022</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0.013</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0.029</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0.003</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0.002</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0.005</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0.004</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0.005</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SWSS_b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0.019</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0.005</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0.078</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0.006</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0.030</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SWBS_b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0.072</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0.036</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0.110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0.047</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0.064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HWSS_b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0.019</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0.005</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0.078</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0.054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0.027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0.075</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HWBS_b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0.072</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0.036</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0.110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0.073</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0.042</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AGVF_q10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2.650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2.415</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1.535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2.947</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BGVF_q10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2.031</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1.161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2.873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AGF_q10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1.154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1.017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1.346</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BGF_q10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2.029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1.167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2.853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M_q10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1.534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1.064</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2.244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2.650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2.140</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1.319</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2.858</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1.231</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1.021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1.578</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SWSS_q10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2.060</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1.174</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2.866</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SWBS_q10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2.309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1.419</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2.925</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HWSS_q10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1.830</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1.087</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2.803</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HWBS_q10</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2.004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1.160</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2.841</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AGVF_p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0.815</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0.720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0.889</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0.789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0.729</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0.860</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BGVF_p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0.445</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0.669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0.496</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0.851</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AGF_p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0.650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0.869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0.711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0.984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BGF_p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0.817</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0.725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0.890</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M_p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0.793</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0.713</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0.881</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SWSS_p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0.515</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0.155</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0.919</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SWBS_p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0.511</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0.153</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0.914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HWSS_p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0.667</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0.243</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0.966</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HWBS_p</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0.830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0.100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1.000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0.651</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0.231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0.964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rb_hw_a</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1.576</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1.309</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1.843</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1.569</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1.346</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1.797</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rb_sw_a</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0.222</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0.218</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0.226</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0.222</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0.219</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0.225</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rb_hw_b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0.615</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0.580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0.650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0.612</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0.584</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0.644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frp_a</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0.072</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0.049</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0.095</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0.067</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0.051</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0.088</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frp_b</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0.354</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0.291</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0.417</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0.384</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0.332</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0.414</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frp_c</w:t>
            </w:r>
          </w:p>
        </w:tc>
        <w:tc>
          <w:tcPr>
            <w:tcW w:w="7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-0.060</w:t>
            </w:r>
          </w:p>
        </w:tc>
        <w:tc>
          <w:tcPr>
            <w:tcW w:w="1125"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-0.090</w:t>
            </w:r>
          </w:p>
        </w:tc>
        <w:tc>
          <w:tcPr>
            <w:tcW w:w="1337"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-0.040</w:t>
            </w:r>
          </w:p>
        </w:tc>
        <w:tc>
          <w:tcPr>
            <w:tcW w:w="833"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-0.055</w:t>
            </w:r>
          </w:p>
        </w:tc>
        <w:tc>
          <w:tcPr>
            <w:tcW w:w="1320"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-0.073</w:t>
            </w:r>
          </w:p>
        </w:tc>
        <w:tc>
          <w:tcPr>
            <w:tcW w:w="1321" w:type="dxa"/>
            <w:gridSpan w:val="2"/>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-0.042</w:t>
            </w:r>
          </w:p>
        </w:tc>
        <w:tc>
          <w:tcPr>
            <w:tcW w:w="13" w:type="dxa"/>
            <w:tcBorders/>
          </w:tcPr>
          <w:p>
            <w:pPr>
              <w:pStyle w:val="Normal"/>
              <w:widowControl/>
              <w:bidi w:val="0"/>
              <w:spacing w:lineRule="auto" w:line="276" w:before="0" w:after="200"/>
              <w:jc w:val="left"/>
              <w:rPr/>
            </w:pPr>
            <w:r>
              <w:rPr/>
            </w:r>
          </w:p>
        </w:tc>
      </w:tr>
      <w:tr>
        <w:trPr>
          <w:trHeight w:val="300" w:hRule="atLeast"/>
        </w:trPr>
        <w:tc>
          <w:tcPr>
            <w:tcW w:w="2513" w:type="dxa"/>
            <w:tcBorders>
              <w:bottom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SlowMixingRate</w:t>
            </w:r>
          </w:p>
        </w:tc>
        <w:tc>
          <w:tcPr>
            <w:tcW w:w="761" w:type="dxa"/>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0.006</w:t>
            </w:r>
          </w:p>
        </w:tc>
        <w:tc>
          <w:tcPr>
            <w:tcW w:w="1125" w:type="dxa"/>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0.003</w:t>
            </w:r>
          </w:p>
        </w:tc>
        <w:tc>
          <w:tcPr>
            <w:tcW w:w="1337" w:type="dxa"/>
            <w:gridSpan w:val="2"/>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0.009</w:t>
            </w:r>
          </w:p>
        </w:tc>
        <w:tc>
          <w:tcPr>
            <w:tcW w:w="833" w:type="dxa"/>
            <w:gridSpan w:val="2"/>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0.004</w:t>
            </w:r>
          </w:p>
        </w:tc>
        <w:tc>
          <w:tcPr>
            <w:tcW w:w="1320" w:type="dxa"/>
            <w:gridSpan w:val="2"/>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0.003</w:t>
            </w:r>
          </w:p>
        </w:tc>
        <w:tc>
          <w:tcPr>
            <w:tcW w:w="1321" w:type="dxa"/>
            <w:gridSpan w:val="2"/>
            <w:tcBorders>
              <w:bottom w:val="single" w:sz="4" w:space="0" w:color="000000"/>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0.006</w:t>
            </w:r>
          </w:p>
        </w:tc>
        <w:tc>
          <w:tcPr>
            <w:tcW w:w="13" w:type="dxa"/>
            <w:tcBorders/>
          </w:tcPr>
          <w:p>
            <w:pPr>
              <w:pStyle w:val="Normal"/>
              <w:widowControl/>
              <w:bidi w:val="0"/>
              <w:spacing w:lineRule="auto" w:line="276" w:before="0" w:after="200"/>
              <w:jc w:val="left"/>
              <w:rPr/>
            </w:pPr>
            <w:r>
              <w:rPr/>
            </w:r>
          </w:p>
        </w:tc>
      </w:tr>
    </w:tbl>
    <w:p>
      <w:pPr>
        <w:pStyle w:val="Normal"/>
        <w:rPr/>
      </w:pPr>
      <w:r>
        <w:rPr/>
      </w:r>
    </w:p>
    <w:p>
      <w:pPr>
        <w:pStyle w:val="Normal"/>
        <w:rPr/>
      </w:pPr>
      <w:r>
        <w:rPr/>
      </w:r>
      <w:r>
        <w:br w:type="page"/>
      </w:r>
    </w:p>
    <w:p>
      <w:pPr>
        <w:pStyle w:val="Normal"/>
        <w:rPr>
          <w:rFonts w:ascii="Times New Roman" w:hAnsi="Times New Roman" w:cs="Times New Roman"/>
          <w:sz w:val="24"/>
          <w:szCs w:val="24"/>
        </w:rPr>
      </w:pPr>
      <w:r>
        <w:rPr>
          <w:rFonts w:cs="Times New Roman" w:ascii="Times New Roman" w:hAnsi="Times New Roman"/>
          <w:sz w:val="24"/>
          <w:szCs w:val="24"/>
        </w:rPr>
        <w:t>Supplementary Fig. 1. Changes in model performance [RMSE (a), and per cent of explained spatial variability (b)] evaluated for calibration (</w:t>
      </w:r>
      <w:r>
        <w:rPr>
          <w:rFonts w:cs="Times New Roman" w:ascii="Times New Roman" w:hAnsi="Times New Roman"/>
          <w:i/>
          <w:sz w:val="24"/>
          <w:szCs w:val="24"/>
        </w:rPr>
        <w:t>n</w:t>
      </w:r>
      <w:r>
        <w:rPr>
          <w:rFonts w:cs="Times New Roman" w:ascii="Times New Roman" w:hAnsi="Times New Roman"/>
          <w:sz w:val="24"/>
          <w:szCs w:val="24"/>
        </w:rPr>
        <w:t xml:space="preserve"> = 326) and validation (</w:t>
      </w:r>
      <w:r>
        <w:rPr>
          <w:rFonts w:cs="Times New Roman" w:ascii="Times New Roman" w:hAnsi="Times New Roman"/>
          <w:i/>
          <w:sz w:val="24"/>
          <w:szCs w:val="24"/>
        </w:rPr>
        <w:t>n</w:t>
      </w:r>
      <w:r>
        <w:rPr>
          <w:rFonts w:cs="Times New Roman" w:ascii="Times New Roman" w:hAnsi="Times New Roman"/>
          <w:sz w:val="24"/>
          <w:szCs w:val="24"/>
        </w:rPr>
        <w:t xml:space="preserve"> = 309) data groups. </w:t>
      </w:r>
    </w:p>
    <w:p>
      <w:pPr>
        <w:pStyle w:val="Normal"/>
        <w:rPr>
          <w:rFonts w:ascii="Times New Roman" w:hAnsi="Times New Roman" w:cs="Times New Roman"/>
          <w:sz w:val="24"/>
          <w:szCs w:val="24"/>
        </w:rPr>
      </w:pPr>
      <w:r>
        <w:rPr/>
        <w:drawing>
          <wp:inline distT="0" distB="0" distL="0" distR="0">
            <wp:extent cx="5419725" cy="5734050"/>
            <wp:effectExtent l="0" t="0" r="0" b="0"/>
            <wp:docPr id="5" name="Picture 1" descr="G:\output_DA\manuscript\figures\calibration_validation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output_DA\manuscript\figures\calibration_validation_performance.png"/>
                    <pic:cNvPicPr>
                      <a:picLocks noChangeAspect="1" noChangeArrowheads="1"/>
                    </pic:cNvPicPr>
                  </pic:nvPicPr>
                  <pic:blipFill>
                    <a:blip r:embed="rId2"/>
                    <a:stretch>
                      <a:fillRect/>
                    </a:stretch>
                  </pic:blipFill>
                  <pic:spPr bwMode="auto">
                    <a:xfrm>
                      <a:off x="0" y="0"/>
                      <a:ext cx="5419725" cy="57340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Supplementary Fig. 2. Reconstruction of Fig. 3 in Li et al. </w:t>
      </w:r>
      <w:r>
        <w:fldChar w:fldCharType="begin"/>
      </w:r>
      <w:r>
        <w:rPr>
          <w:sz w:val="24"/>
          <w:szCs w:val="24"/>
          <w:rFonts w:cs="Times New Roman" w:ascii="Times New Roman" w:hAnsi="Times New Roman"/>
        </w:rPr>
        <w:instrText>ADDIN EN.CITE &lt;EndNote&gt;&lt;Cite ExcludeAuth="1"&gt;&lt;Author&gt;Li&lt;/Author&gt;&lt;Year&gt;2003&lt;/Year&gt;&lt;RecNum&gt;21&lt;/RecNum&gt;&lt;DisplayText&gt;(2003)&lt;/DisplayText&gt;&lt;record&gt;&lt;rec-number&gt;21&lt;/rec-number&gt;&lt;foreign-keys&gt;&lt;key app="EN" db-id="zrs259faffespuep9wgv5p9wevwtvtef0x9z" timestamp="1467932015"&gt;21&lt;/key&gt;&lt;/foreign-keys&gt;&lt;ref-type name="Journal Article"&gt;17&lt;/ref-type&gt;&lt;contributors&gt;&lt;authors&gt;&lt;author&gt;Li, Zhong&lt;/author&gt;&lt;author&gt;Kurz, Werner A.&lt;/author&gt;&lt;author&gt;Apps, Michael J.&lt;/author&gt;&lt;author&gt;Beukema, Sarah J.&lt;/author&gt;&lt;/authors&gt;&lt;/contributors&gt;&lt;titles&gt;&lt;title&gt;Belowground biomass dynamics in the Carbon Budget Model of the Canadian Forest Sector: recent improvements and implications for the estimation of NPP and NEP&lt;/title&gt;&lt;secondary-title&gt;Canadian Journal of Forest Research&lt;/secondary-title&gt;&lt;/titles&gt;&lt;periodical&gt;&lt;full-title&gt;Canadian Journal of Forest Research&lt;/full-title&gt;&lt;/periodical&gt;&lt;pages&gt;126-136&lt;/pages&gt;&lt;volume&gt;33&lt;/volume&gt;&lt;number&gt;1&lt;/number&gt;&lt;dates&gt;&lt;year&gt;2003&lt;/year&gt;&lt;pub-dates&gt;&lt;date&gt;2003/01/01&lt;/date&gt;&lt;/pub-dates&gt;&lt;/dates&gt;&lt;publisher&gt;NRC Research Press&lt;/publisher&gt;&lt;isbn&gt;0045-5067&lt;/isbn&gt;&lt;urls&gt;&lt;related-urls&gt;&lt;url&gt;http://dx.doi.org/10.1139/x02-165&lt;/url&gt;&lt;/related-urls&gt;&lt;/urls&gt;&lt;electronic-resource-num&gt;10.1139/x02-165&lt;/electronic-resource-num&gt;&lt;access-date&gt;2016/07/07&lt;/access-date&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(2003)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with estimated parameters for softwoods (SW) and hardwoods (HW). The fitted equation was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frp</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frp</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e</m:t>
            </m:r>
          </m:e>
          <m:sup>
            <m:sSub>
              <m:e>
                <m:r>
                  <w:rPr>
                    <w:rFonts w:ascii="Cambria Math" w:hAnsi="Cambria Math"/>
                  </w:rPr>
                  <m:t xml:space="preserve">frp</m:t>
                </m:r>
              </m:e>
              <m:sub>
                <m:r>
                  <w:rPr>
                    <w:rFonts w:ascii="Cambria Math" w:hAnsi="Cambria Math"/>
                  </w:rPr>
                  <m:t xml:space="preserve">c</m:t>
                </m:r>
              </m:sub>
            </m:sSub>
            <m:r>
              <w:rPr>
                <w:rFonts w:ascii="Cambria Math" w:hAnsi="Cambria Math"/>
              </w:rPr>
              <m:t xml:space="preserve">×</m:t>
            </m:r>
            <m:r>
              <w:rPr>
                <w:rFonts w:ascii="Cambria Math" w:hAnsi="Cambria Math"/>
              </w:rPr>
              <m:t xml:space="preserve">RB</m:t>
            </m:r>
          </m:sup>
        </m:sSup>
      </m:oMath>
      <w:r>
        <w:rPr>
          <w:rFonts w:eastAsia="" w:cs="Times New Roman" w:ascii="Times New Roman" w:hAnsi="Times New Roman" w:eastAsiaTheme="minorEastAsia"/>
          <w:sz w:val="24"/>
          <w:szCs w:val="24"/>
        </w:rPr>
        <w:t xml:space="preserve">, where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rFonts w:eastAsia="" w:cs="Times New Roman" w:ascii="Times New Roman" w:hAnsi="Times New Roman" w:eastAsiaTheme="minorEastAsia"/>
          <w:sz w:val="24"/>
          <w:szCs w:val="24"/>
        </w:rPr>
        <w:t xml:space="preserve"> is the proportion of fine roots, </w:t>
      </w:r>
      <w:r>
        <w:rPr/>
      </w:r>
      <m:oMath xmlns:m="http://schemas.openxmlformats.org/officeDocument/2006/math">
        <m:r>
          <w:rPr>
            <w:rFonts w:ascii="Cambria Math" w:hAnsi="Cambria Math"/>
          </w:rPr>
          <m:t xml:space="preserve">RB</m:t>
        </m:r>
      </m:oMath>
      <w:r>
        <w:rPr>
          <w:rFonts w:eastAsia="" w:cs="Times New Roman" w:ascii="Times New Roman" w:hAnsi="Times New Roman" w:eastAsiaTheme="minorEastAsia"/>
          <w:sz w:val="24"/>
          <w:szCs w:val="24"/>
        </w:rPr>
        <w:t xml:space="preserve"> is total root biomass and the rest are parameters. The fitting method used the </w:t>
      </w:r>
      <w:r>
        <w:rPr>
          <w:rFonts w:cs="Times New Roman" w:ascii="Times New Roman" w:hAnsi="Times New Roman"/>
          <w:sz w:val="24"/>
          <w:szCs w:val="24"/>
        </w:rPr>
        <w:t>Bayesian Markov Chain Monte Carlo technique</w:t>
      </w:r>
      <w:r>
        <w:rPr>
          <w:rFonts w:eastAsia="" w:cs="Times New Roman" w:ascii="Times New Roman" w:hAnsi="Times New Roman" w:eastAsiaTheme="minorEastAsia"/>
          <w:sz w:val="24"/>
          <w:szCs w:val="24"/>
        </w:rPr>
        <w:t xml:space="preserve"> as described in the Methods section 2.2. frp_a, frp_b, and frp_c were 0.07 (±0.01 SD), 0.313 (±0.05 SD), and -0.074 (±0.015 SD) respectively for softwoods, and 0.073 (±0.016 SD), 0.316 (±0.01 SD), and -0.029 (±0.012 SD) respectively for hardwoods. </w:t>
      </w:r>
    </w:p>
    <w:p>
      <w:pPr>
        <w:pStyle w:val="Normal"/>
        <w:rPr>
          <w:rFonts w:ascii="Times New Roman" w:hAnsi="Times New Roman" w:cs="Times New Roman"/>
          <w:sz w:val="24"/>
          <w:szCs w:val="24"/>
        </w:rPr>
      </w:pPr>
      <w:r>
        <w:rPr/>
        <w:drawing>
          <wp:inline distT="0" distB="0" distL="0" distR="0">
            <wp:extent cx="4571365" cy="3608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tretch>
                      <a:fillRect/>
                    </a:stretch>
                  </pic:blipFill>
                  <pic:spPr bwMode="auto">
                    <a:xfrm>
                      <a:off x="0" y="0"/>
                      <a:ext cx="4571365" cy="3608705"/>
                    </a:xfrm>
                    <a:prstGeom prst="rect">
                      <a:avLst/>
                    </a:prstGeom>
                  </pic:spPr>
                </pic:pic>
              </a:graphicData>
            </a:graphic>
          </wp:inline>
        </w:drawing>
      </w:r>
    </w:p>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r>
        <w:br w:type="page"/>
      </w:r>
    </w:p>
    <w:p>
      <w:pPr>
        <w:pStyle w:val="Normal"/>
        <w:shd w:val="clear" w:color="auto" w:fill="FFFFFF"/>
        <w:spacing w:lineRule="auto" w:line="240" w:before="0" w:after="0"/>
        <w:rPr>
          <w:rFonts w:ascii="Times New Roman" w:hAnsi="Times New Roman" w:eastAsia="Times New Roman" w:cs="Times New Roman"/>
          <w:bCs/>
          <w:color w:val="222222"/>
          <w:sz w:val="24"/>
          <w:szCs w:val="24"/>
          <w:lang w:eastAsia="en-CA"/>
        </w:rPr>
      </w:pPr>
      <w:r>
        <w:rPr>
          <w:rFonts w:cs="Times New Roman" w:ascii="Times New Roman" w:hAnsi="Times New Roman"/>
          <w:sz w:val="24"/>
          <w:szCs w:val="24"/>
        </w:rPr>
        <w:t xml:space="preserve">Supplementary Fig. 3. Effect of temperature seasonality on organic matter decay rates. </w:t>
      </w:r>
      <w:r>
        <w:rPr>
          <w:rFonts w:eastAsia="Times New Roman" w:cs="Times New Roman" w:ascii="Times New Roman" w:hAnsi="Times New Roman"/>
          <w:bCs/>
          <w:color w:val="222222"/>
          <w:sz w:val="24"/>
          <w:szCs w:val="24"/>
          <w:lang w:eastAsia="en-CA"/>
        </w:rPr>
        <w:t xml:space="preserve">We calculated annual decay rates (k) using mean annual temperature [k(MAT)], and by averaging k’s calculated for each month using mean monthly temperatures (mean k).  Calculating the decay rates using monthly temperatures substantially differed from the decay rates calculated with MAT in fast-cycling pools (a). The difference between the decay rates calculated with MAT and monthly temperatures was strongly correlated with temperature seasonality (b).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4732020" cy="54654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4"/>
                    <a:stretch>
                      <a:fillRect/>
                    </a:stretch>
                  </pic:blipFill>
                  <pic:spPr bwMode="auto">
                    <a:xfrm>
                      <a:off x="0" y="0"/>
                      <a:ext cx="4732020" cy="54654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headerReference w:type="default" r:id="rId5"/>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38519798"/>
    </w:sdtPr>
    <w:sdtContent>
      <w:p>
        <w:pPr>
          <w:pStyle w:val="Header"/>
          <w:jc w:val="right"/>
          <w:rPr/>
        </w:pPr>
        <w:r>
          <w:rPr/>
          <w:fldChar w:fldCharType="begin"/>
        </w:r>
        <w:r>
          <w:rPr/>
          <w:instrText> PAGE </w:instrText>
        </w:r>
        <w:r>
          <w:rPr/>
          <w:fldChar w:fldCharType="separate"/>
        </w:r>
        <w:r>
          <w:rPr/>
          <w:t>1</w:t>
        </w:r>
        <w:r>
          <w:rPr/>
          <w:fldChar w:fldCharType="end"/>
        </w:r>
      </w:p>
    </w:sdtContent>
  </w:sdt>
  <w:p>
    <w:pPr>
      <w:pStyle w:val="Header"/>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bc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96bc4"/>
    <w:rPr>
      <w:rFonts w:ascii="Tahoma" w:hAnsi="Tahoma" w:cs="Tahoma"/>
      <w:sz w:val="16"/>
      <w:szCs w:val="16"/>
    </w:rPr>
  </w:style>
  <w:style w:type="character" w:styleId="HeaderChar" w:customStyle="1">
    <w:name w:val="Header Char"/>
    <w:basedOn w:val="DefaultParagraphFont"/>
    <w:link w:val="Header"/>
    <w:uiPriority w:val="99"/>
    <w:qFormat/>
    <w:rsid w:val="00a96bc4"/>
    <w:rPr/>
  </w:style>
  <w:style w:type="character" w:styleId="FooterChar" w:customStyle="1">
    <w:name w:val="Footer Char"/>
    <w:basedOn w:val="DefaultParagraphFont"/>
    <w:link w:val="Footer"/>
    <w:uiPriority w:val="99"/>
    <w:qFormat/>
    <w:rsid w:val="00a96bc4"/>
    <w:rPr/>
  </w:style>
  <w:style w:type="character" w:styleId="InternetLink">
    <w:name w:val="Hyperlink"/>
    <w:basedOn w:val="DefaultParagraphFont"/>
    <w:uiPriority w:val="99"/>
    <w:unhideWhenUsed/>
    <w:rsid w:val="00a96bc4"/>
    <w:rPr>
      <w:color w:val="0563C1" w:themeColor="hyperlink"/>
      <w:u w:val="single"/>
    </w:rPr>
  </w:style>
  <w:style w:type="character" w:styleId="Linenumber">
    <w:name w:val="line number"/>
    <w:basedOn w:val="DefaultParagraphFont"/>
    <w:uiPriority w:val="99"/>
    <w:semiHidden/>
    <w:unhideWhenUsed/>
    <w:qFormat/>
    <w:rsid w:val="00a96bc4"/>
    <w:rPr/>
  </w:style>
  <w:style w:type="character" w:styleId="Annotationreference">
    <w:name w:val="annotation reference"/>
    <w:basedOn w:val="DefaultParagraphFont"/>
    <w:uiPriority w:val="99"/>
    <w:semiHidden/>
    <w:unhideWhenUsed/>
    <w:qFormat/>
    <w:rsid w:val="00a96bc4"/>
    <w:rPr>
      <w:sz w:val="16"/>
      <w:szCs w:val="16"/>
    </w:rPr>
  </w:style>
  <w:style w:type="character" w:styleId="CommentTextChar" w:customStyle="1">
    <w:name w:val="Comment Text Char"/>
    <w:basedOn w:val="DefaultParagraphFont"/>
    <w:link w:val="CommentText"/>
    <w:uiPriority w:val="99"/>
    <w:qFormat/>
    <w:rsid w:val="00a96bc4"/>
    <w:rPr>
      <w:sz w:val="20"/>
      <w:szCs w:val="20"/>
    </w:rPr>
  </w:style>
  <w:style w:type="character" w:styleId="CommentSubjectChar" w:customStyle="1">
    <w:name w:val="Comment Subject Char"/>
    <w:basedOn w:val="CommentTextChar"/>
    <w:link w:val="CommentSubject"/>
    <w:uiPriority w:val="99"/>
    <w:semiHidden/>
    <w:qFormat/>
    <w:rsid w:val="00a96bc4"/>
    <w:rPr>
      <w:b/>
      <w:bCs/>
      <w:sz w:val="20"/>
      <w:szCs w:val="20"/>
    </w:rPr>
  </w:style>
  <w:style w:type="character" w:styleId="EndNoteBibliographyTitleChar" w:customStyle="1">
    <w:name w:val="EndNote Bibliography Title Char"/>
    <w:basedOn w:val="DefaultParagraphFont"/>
    <w:link w:val="EndNoteBibliographyTitle"/>
    <w:qFormat/>
    <w:rsid w:val="00a96bc4"/>
    <w:rPr>
      <w:rFonts w:ascii="Calibri" w:hAnsi="Calibri" w:cs="Calibri"/>
      <w:lang w:val="en-US"/>
    </w:rPr>
  </w:style>
  <w:style w:type="character" w:styleId="EndNoteBibliographyChar" w:customStyle="1">
    <w:name w:val="EndNote Bibliography Char"/>
    <w:basedOn w:val="DefaultParagraphFont"/>
    <w:link w:val="EndNoteBibliography"/>
    <w:qFormat/>
    <w:rsid w:val="00a96bc4"/>
    <w:rPr>
      <w:rFonts w:ascii="Calibri" w:hAnsi="Calibri" w:cs="Calibri"/>
      <w:lang w:val="en-US"/>
    </w:rPr>
  </w:style>
  <w:style w:type="character" w:styleId="PlaceholderText">
    <w:name w:val="Placeholder Text"/>
    <w:basedOn w:val="DefaultParagraphFont"/>
    <w:uiPriority w:val="99"/>
    <w:semiHidden/>
    <w:qFormat/>
    <w:rsid w:val="00631916"/>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96bc4"/>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a96b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96bc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96bc4"/>
    <w:pPr>
      <w:spacing w:before="0" w:after="200"/>
      <w:ind w:left="720" w:hanging="0"/>
      <w:contextualSpacing/>
    </w:pPr>
    <w:rPr/>
  </w:style>
  <w:style w:type="paragraph" w:styleId="Annotationtext">
    <w:name w:val="annotation text"/>
    <w:basedOn w:val="Normal"/>
    <w:link w:val="CommentTextChar"/>
    <w:uiPriority w:val="99"/>
    <w:unhideWhenUsed/>
    <w:qFormat/>
    <w:rsid w:val="00a96b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96bc4"/>
    <w:pPr/>
    <w:rPr>
      <w:b/>
      <w:bCs/>
    </w:rPr>
  </w:style>
  <w:style w:type="paragraph" w:styleId="EndNoteBibliographyTitle" w:customStyle="1">
    <w:name w:val="EndNote Bibliography Title"/>
    <w:basedOn w:val="Normal"/>
    <w:link w:val="EndNoteBibliographyTitleChar"/>
    <w:qFormat/>
    <w:rsid w:val="00a96bc4"/>
    <w:pPr>
      <w:spacing w:before="0" w:after="0"/>
      <w:jc w:val="center"/>
    </w:pPr>
    <w:rPr>
      <w:rFonts w:ascii="Calibri" w:hAnsi="Calibri" w:cs="Calibri"/>
      <w:lang w:val="en-US"/>
    </w:rPr>
  </w:style>
  <w:style w:type="paragraph" w:styleId="EndNoteBibliography" w:customStyle="1">
    <w:name w:val="EndNote Bibliography"/>
    <w:basedOn w:val="Normal"/>
    <w:link w:val="EndNoteBibliographyChar"/>
    <w:qFormat/>
    <w:rsid w:val="00a96bc4"/>
    <w:pPr>
      <w:spacing w:lineRule="auto" w:line="240"/>
    </w:pPr>
    <w:rPr>
      <w:rFonts w:ascii="Calibri" w:hAnsi="Calibri" w:cs="Calibri"/>
      <w:lang w:val="en-US"/>
    </w:rPr>
  </w:style>
  <w:style w:type="paragraph" w:styleId="NormalWeb">
    <w:name w:val="Normal (Web)"/>
    <w:basedOn w:val="Normal"/>
    <w:uiPriority w:val="99"/>
    <w:semiHidden/>
    <w:unhideWhenUsed/>
    <w:qFormat/>
    <w:rsid w:val="00f65daf"/>
    <w:pPr>
      <w:spacing w:lineRule="auto" w:line="240" w:beforeAutospacing="1" w:afterAutospacing="1"/>
    </w:pPr>
    <w:rPr>
      <w:rFonts w:ascii="Times New Roman" w:hAnsi="Times New Roman" w:eastAsia="" w:cs="Times New Roman" w:eastAsiaTheme="minorEastAsia"/>
      <w:sz w:val="24"/>
      <w:szCs w:val="24"/>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4E22-3D13-4C49-BD0D-61C181B5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Application>LibreOffice/6.4.7.2$Linux_X86_64 LibreOffice_project/40$Build-2</Application>
  <Pages>7</Pages>
  <Words>1087</Words>
  <Characters>5950</Characters>
  <CharactersWithSpaces>6737</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2017-09-11T11:36:00Z</dcterms:created>
  <dc:creator/>
  <dc:description/>
  <dc:language>en-CA</dc:language>
  <cp:lastModifiedBy/>
  <dcterms:modified xsi:type="dcterms:W3CDTF">2025-04-10T11:15:39Z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