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85CC" w14:textId="707573BD" w:rsidR="00EA6AA6" w:rsidRPr="00EA6AA6" w:rsidRDefault="00EA6AA6" w:rsidP="00EA6AA6">
      <w:pPr>
        <w:pStyle w:val="NormalWeb"/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 xml:space="preserve">DCYR </w:t>
      </w:r>
      <w:r>
        <w:rPr>
          <w:rFonts w:asciiTheme="minorHAnsi" w:hAnsiTheme="minorHAnsi"/>
          <w:lang w:val="fr-CA"/>
        </w:rPr>
        <w:t>a commenté</w:t>
      </w:r>
      <w:r w:rsidRPr="00EA6AA6">
        <w:rPr>
          <w:rFonts w:asciiTheme="minorHAnsi" w:hAnsiTheme="minorHAnsi"/>
          <w:lang w:val="fr-CA"/>
        </w:rPr>
        <w:t xml:space="preserve"> l’abondance de carbone (C) dans la matière organique morte du sol observée dans ses simulations LANDIS-II</w:t>
      </w:r>
      <w:r>
        <w:rPr>
          <w:rFonts w:asciiTheme="minorHAnsi" w:hAnsiTheme="minorHAnsi"/>
          <w:lang w:val="fr-CA"/>
        </w:rPr>
        <w:t>. N</w:t>
      </w:r>
      <w:r w:rsidRPr="00EA6AA6">
        <w:rPr>
          <w:rFonts w:asciiTheme="minorHAnsi" w:hAnsiTheme="minorHAnsi"/>
          <w:lang w:val="fr-CA"/>
        </w:rPr>
        <w:t xml:space="preserve">ous avons entrepris une analyse de la variation des paramètres pour déterminer si les nouvelles calibrations ont pu influencer la croissance, conduisant à une forte mortalité compétitive de certaines cohortes dans les jeunes peuplements. Bien que cette croissance maintienne la biomasse sous la limite de la </w:t>
      </w:r>
      <w:proofErr w:type="spellStart"/>
      <w:r w:rsidRPr="00EA6AA6">
        <w:rPr>
          <w:rFonts w:asciiTheme="minorHAnsi" w:hAnsiTheme="minorHAnsi"/>
          <w:lang w:val="fr-CA"/>
        </w:rPr>
        <w:t>maxBio</w:t>
      </w:r>
      <w:proofErr w:type="spellEnd"/>
      <w:r w:rsidRPr="00EA6AA6">
        <w:rPr>
          <w:rFonts w:asciiTheme="minorHAnsi" w:hAnsiTheme="minorHAnsi"/>
          <w:lang w:val="fr-CA"/>
        </w:rPr>
        <w:t>, elle pourrait causer une forte mortalité et, par conséquent, entraîner une accumulation de DOM.</w:t>
      </w:r>
    </w:p>
    <w:p w14:paraId="51913C41" w14:textId="7690FE05" w:rsidR="00EA6AA6" w:rsidRDefault="00EA6AA6" w:rsidP="00EA6AA6">
      <w:pPr>
        <w:pStyle w:val="NormalWeb"/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 xml:space="preserve">En décembre 2023 (D2023) et en mai 2024 (M2024), nous avons effectué deux calibrations des paramètres de LANDIS-II. Dans les deux cas, les calibrations ont ciblé les paramètres liés à la forme des courbes de croissance et de mortalité, ainsi que les paramètres dynamiques des </w:t>
      </w:r>
      <w:proofErr w:type="spellStart"/>
      <w:r w:rsidRPr="00EA6AA6">
        <w:rPr>
          <w:rFonts w:asciiTheme="minorHAnsi" w:hAnsiTheme="minorHAnsi"/>
          <w:lang w:val="fr-CA"/>
        </w:rPr>
        <w:t>landtypes</w:t>
      </w:r>
      <w:proofErr w:type="spellEnd"/>
      <w:r w:rsidRPr="00EA6AA6">
        <w:rPr>
          <w:rFonts w:asciiTheme="minorHAnsi" w:hAnsiTheme="minorHAnsi"/>
          <w:lang w:val="fr-CA"/>
        </w:rPr>
        <w:t xml:space="preserve">. Ces calibrations ont été basées sur les </w:t>
      </w:r>
      <w:proofErr w:type="spellStart"/>
      <w:r w:rsidRPr="00EA6AA6">
        <w:rPr>
          <w:rFonts w:asciiTheme="minorHAnsi" w:hAnsiTheme="minorHAnsi"/>
          <w:lang w:val="fr-CA"/>
        </w:rPr>
        <w:t>landtypes</w:t>
      </w:r>
      <w:proofErr w:type="spellEnd"/>
      <w:r w:rsidRPr="00EA6AA6">
        <w:rPr>
          <w:rFonts w:asciiTheme="minorHAnsi" w:hAnsiTheme="minorHAnsi"/>
          <w:lang w:val="fr-CA"/>
        </w:rPr>
        <w:t xml:space="preserve"> obtenus par l’intersection entre les régions écologiques et les végétations potentielles.</w:t>
      </w:r>
      <w:r w:rsidR="00990A72">
        <w:rPr>
          <w:rFonts w:asciiTheme="minorHAnsi" w:hAnsiTheme="minorHAnsi"/>
          <w:lang w:val="fr-CA"/>
        </w:rPr>
        <w:t xml:space="preserve"> </w:t>
      </w:r>
      <w:r w:rsidRPr="00EA6AA6">
        <w:rPr>
          <w:rFonts w:asciiTheme="minorHAnsi" w:hAnsiTheme="minorHAnsi"/>
          <w:lang w:val="fr-CA"/>
        </w:rPr>
        <w:t xml:space="preserve">Dans les deux situations, les simulations sous-estiment la biomasse de presque toutes les espèces ainsi que la biomasse totale. </w:t>
      </w:r>
      <w:r>
        <w:rPr>
          <w:rFonts w:asciiTheme="minorHAnsi" w:hAnsiTheme="minorHAnsi"/>
          <w:lang w:val="fr-CA"/>
        </w:rPr>
        <w:t>Cependant, cela n’exclut pas la possibilité d’une</w:t>
      </w:r>
      <w:r w:rsidRPr="00EA6AA6">
        <w:rPr>
          <w:rFonts w:asciiTheme="minorHAnsi" w:hAnsiTheme="minorHAnsi"/>
          <w:lang w:val="fr-CA"/>
        </w:rPr>
        <w:t xml:space="preserve"> ANPP très élevée, principalement dans les premières années de chaque cohorte (10-50 ans).</w:t>
      </w:r>
    </w:p>
    <w:p w14:paraId="6F149C25" w14:textId="0732B36C" w:rsidR="00EA6AA6" w:rsidRPr="00EA6AA6" w:rsidRDefault="00EA6AA6" w:rsidP="00EA6AA6">
      <w:pPr>
        <w:pStyle w:val="NormalWeb"/>
        <w:rPr>
          <w:rFonts w:asciiTheme="minorHAnsi" w:hAnsiTheme="minorHAnsi"/>
          <w:lang w:val="fr-CA"/>
        </w:rPr>
      </w:pPr>
      <w:r>
        <w:rPr>
          <w:rFonts w:asciiTheme="minorHAnsi" w:hAnsiTheme="minorHAnsi"/>
          <w:lang w:val="fr-CA"/>
        </w:rPr>
        <w:t>Quelques observations trouvées :</w:t>
      </w:r>
    </w:p>
    <w:p w14:paraId="4BC15DE8" w14:textId="77777777" w:rsidR="00EA6AA6" w:rsidRPr="00EA6AA6" w:rsidRDefault="00EA6AA6" w:rsidP="00EA6AA6">
      <w:pPr>
        <w:pStyle w:val="NormalWeb"/>
        <w:numPr>
          <w:ilvl w:val="0"/>
          <w:numId w:val="1"/>
        </w:numPr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>La figure 1 montre que, pour les nouvelles calibrations (D2023, M2024), les valeurs du paramètre de forme de la courbe de croissance des espèces entraînent une arrivée plus rapide à leur valeur maximale de croissance pour 10 espèces (</w:t>
      </w:r>
      <w:proofErr w:type="gramStart"/>
      <w:r w:rsidRPr="00EA6AA6">
        <w:rPr>
          <w:rFonts w:asciiTheme="minorHAnsi" w:hAnsiTheme="minorHAnsi"/>
          <w:lang w:val="fr-CA"/>
        </w:rPr>
        <w:t>EPN,…</w:t>
      </w:r>
      <w:proofErr w:type="gramEnd"/>
      <w:r w:rsidRPr="00EA6AA6">
        <w:rPr>
          <w:rFonts w:asciiTheme="minorHAnsi" w:hAnsiTheme="minorHAnsi"/>
          <w:lang w:val="fr-CA"/>
        </w:rPr>
        <w:t xml:space="preserve">) et plus tardive pour 7 espèces (SAB, PIG, BOP, </w:t>
      </w:r>
      <w:proofErr w:type="gramStart"/>
      <w:r w:rsidRPr="00EA6AA6">
        <w:rPr>
          <w:rFonts w:asciiTheme="minorHAnsi" w:hAnsiTheme="minorHAnsi"/>
          <w:lang w:val="fr-CA"/>
        </w:rPr>
        <w:t>PET,…</w:t>
      </w:r>
      <w:proofErr w:type="gramEnd"/>
      <w:r w:rsidRPr="00EA6AA6">
        <w:rPr>
          <w:rFonts w:asciiTheme="minorHAnsi" w:hAnsiTheme="minorHAnsi"/>
          <w:lang w:val="fr-CA"/>
        </w:rPr>
        <w:t>).</w:t>
      </w:r>
    </w:p>
    <w:p w14:paraId="543C7462" w14:textId="77777777" w:rsidR="00EA6AA6" w:rsidRPr="00EA6AA6" w:rsidRDefault="00EA6AA6" w:rsidP="00EA6AA6">
      <w:pPr>
        <w:pStyle w:val="NormalWeb"/>
        <w:numPr>
          <w:ilvl w:val="0"/>
          <w:numId w:val="1"/>
        </w:numPr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>Le paramètre de forme de la courbe de mortalité (figure 2) indique que la mortalité commence plus tôt pour 12 espèces dans les deux calibrations et plus tard pour 4 espèces. Pour une espèce (EPN), les tendances divergent selon les calibrations.</w:t>
      </w:r>
    </w:p>
    <w:p w14:paraId="2E49AB0B" w14:textId="77777777" w:rsidR="00EA6AA6" w:rsidRPr="00EA6AA6" w:rsidRDefault="00EA6AA6" w:rsidP="00EA6AA6">
      <w:pPr>
        <w:pStyle w:val="NormalWeb"/>
        <w:numPr>
          <w:ilvl w:val="0"/>
          <w:numId w:val="1"/>
        </w:numPr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 xml:space="preserve">La figure 3 présente les </w:t>
      </w:r>
      <w:proofErr w:type="spellStart"/>
      <w:r w:rsidRPr="00EA6AA6">
        <w:rPr>
          <w:rFonts w:asciiTheme="minorHAnsi" w:hAnsiTheme="minorHAnsi"/>
          <w:lang w:val="fr-CA"/>
        </w:rPr>
        <w:t>boxplots</w:t>
      </w:r>
      <w:proofErr w:type="spellEnd"/>
      <w:r w:rsidRPr="00EA6AA6">
        <w:rPr>
          <w:rFonts w:asciiTheme="minorHAnsi" w:hAnsiTheme="minorHAnsi"/>
          <w:lang w:val="fr-CA"/>
        </w:rPr>
        <w:t xml:space="preserve"> des probabilités d’établissement par </w:t>
      </w:r>
      <w:proofErr w:type="spellStart"/>
      <w:r w:rsidRPr="00EA6AA6">
        <w:rPr>
          <w:rFonts w:asciiTheme="minorHAnsi" w:hAnsiTheme="minorHAnsi"/>
          <w:lang w:val="fr-CA"/>
        </w:rPr>
        <w:t>landtype</w:t>
      </w:r>
      <w:proofErr w:type="spellEnd"/>
      <w:r w:rsidRPr="00EA6AA6">
        <w:rPr>
          <w:rFonts w:asciiTheme="minorHAnsi" w:hAnsiTheme="minorHAnsi"/>
          <w:lang w:val="fr-CA"/>
        </w:rPr>
        <w:t xml:space="preserve"> pour chaque espèce. On observe que le nombre d’espèces pour lesquelles la probabilité augmente est supérieur à celui des espèces pour lesquelles elle diminue, bien que ces variations restent faibles.</w:t>
      </w:r>
    </w:p>
    <w:p w14:paraId="5B339DDC" w14:textId="08703C7B" w:rsidR="00EA6AA6" w:rsidRPr="00EA6AA6" w:rsidRDefault="00EA6AA6" w:rsidP="00EA6AA6">
      <w:pPr>
        <w:pStyle w:val="NormalWeb"/>
        <w:numPr>
          <w:ilvl w:val="0"/>
          <w:numId w:val="1"/>
        </w:numPr>
        <w:rPr>
          <w:rFonts w:asciiTheme="minorHAnsi" w:hAnsiTheme="minorHAnsi"/>
          <w:lang w:val="fr-CA"/>
        </w:rPr>
      </w:pPr>
      <w:r w:rsidRPr="00EA6AA6">
        <w:rPr>
          <w:rFonts w:asciiTheme="minorHAnsi" w:hAnsiTheme="minorHAnsi"/>
          <w:lang w:val="fr-CA"/>
        </w:rPr>
        <w:t xml:space="preserve">Les calibrations ont entraîné des diminutions des paramètres </w:t>
      </w:r>
      <w:proofErr w:type="spellStart"/>
      <w:r w:rsidRPr="00EA6AA6">
        <w:rPr>
          <w:rFonts w:asciiTheme="minorHAnsi" w:hAnsiTheme="minorHAnsi"/>
          <w:lang w:val="fr-CA"/>
        </w:rPr>
        <w:t>maxANPP</w:t>
      </w:r>
      <w:proofErr w:type="spellEnd"/>
      <w:r w:rsidRPr="00EA6AA6">
        <w:rPr>
          <w:rFonts w:asciiTheme="minorHAnsi" w:hAnsiTheme="minorHAnsi"/>
          <w:lang w:val="fr-CA"/>
        </w:rPr>
        <w:t xml:space="preserve"> et </w:t>
      </w:r>
      <w:proofErr w:type="spellStart"/>
      <w:r w:rsidRPr="00EA6AA6">
        <w:rPr>
          <w:rFonts w:asciiTheme="minorHAnsi" w:hAnsiTheme="minorHAnsi"/>
          <w:lang w:val="fr-CA"/>
        </w:rPr>
        <w:t>maxBIomass</w:t>
      </w:r>
      <w:proofErr w:type="spellEnd"/>
      <w:r w:rsidRPr="00EA6AA6">
        <w:rPr>
          <w:rFonts w:asciiTheme="minorHAnsi" w:hAnsiTheme="minorHAnsi"/>
          <w:lang w:val="fr-CA"/>
        </w:rPr>
        <w:t xml:space="preserve"> pour toutes les espèces, à l’exception de SAB (</w:t>
      </w:r>
      <w:r>
        <w:rPr>
          <w:rFonts w:asciiTheme="minorHAnsi" w:hAnsiTheme="minorHAnsi"/>
          <w:lang w:val="fr-CA"/>
        </w:rPr>
        <w:t xml:space="preserve">box-plots des </w:t>
      </w:r>
      <w:r w:rsidRPr="00EA6AA6">
        <w:rPr>
          <w:rFonts w:asciiTheme="minorHAnsi" w:hAnsiTheme="minorHAnsi"/>
          <w:lang w:val="fr-CA"/>
        </w:rPr>
        <w:t>figures 4 et 5).</w:t>
      </w:r>
    </w:p>
    <w:p w14:paraId="45744C21" w14:textId="72D1CB2E" w:rsidR="009F5787" w:rsidRPr="00990A72" w:rsidRDefault="00EA6AA6" w:rsidP="00A94593">
      <w:pPr>
        <w:pStyle w:val="NormalWeb"/>
        <w:numPr>
          <w:ilvl w:val="0"/>
          <w:numId w:val="1"/>
        </w:numPr>
        <w:rPr>
          <w:lang w:val="fr-CA"/>
        </w:rPr>
      </w:pPr>
      <w:r w:rsidRPr="00990A72">
        <w:rPr>
          <w:rFonts w:asciiTheme="minorHAnsi" w:hAnsiTheme="minorHAnsi"/>
          <w:lang w:val="fr-CA"/>
        </w:rPr>
        <w:t xml:space="preserve">La figure 6 illustre l’évolution des jeunes communautés où, à l’année 0, toute la biomasse est attribuée à la cohorte 10 (10 t/ha). La rangée « 1 » représente des peuplements avec une seule espèce parmi EPN, SAB, PIG, PET, EPB et BOP. La rangée « 2 » comprend des combinaisons de 2 espèces, la rangée « 3 » de 3 espèces, et ainsi de suite. Chaque peuplement est </w:t>
      </w:r>
      <w:r w:rsidR="00990A72" w:rsidRPr="00990A72">
        <w:rPr>
          <w:rFonts w:asciiTheme="minorHAnsi" w:hAnsiTheme="minorHAnsi"/>
          <w:lang w:val="fr-CA"/>
        </w:rPr>
        <w:t>simulé une fois</w:t>
      </w:r>
      <w:r w:rsidRPr="00990A72">
        <w:rPr>
          <w:rFonts w:asciiTheme="minorHAnsi" w:hAnsiTheme="minorHAnsi"/>
          <w:lang w:val="fr-CA"/>
        </w:rPr>
        <w:t xml:space="preserve"> pour chaque </w:t>
      </w:r>
      <w:proofErr w:type="spellStart"/>
      <w:r w:rsidRPr="00990A72">
        <w:rPr>
          <w:rFonts w:asciiTheme="minorHAnsi" w:hAnsiTheme="minorHAnsi"/>
          <w:lang w:val="fr-CA"/>
        </w:rPr>
        <w:t>landtype</w:t>
      </w:r>
      <w:proofErr w:type="spellEnd"/>
      <w:r w:rsidRPr="00990A72">
        <w:rPr>
          <w:rFonts w:asciiTheme="minorHAnsi" w:hAnsiTheme="minorHAnsi"/>
          <w:lang w:val="fr-CA"/>
        </w:rPr>
        <w:t xml:space="preserve">. </w:t>
      </w:r>
      <w:r w:rsidR="00990A72" w:rsidRPr="00990A72">
        <w:rPr>
          <w:rFonts w:asciiTheme="minorHAnsi" w:hAnsiTheme="minorHAnsi"/>
          <w:lang w:val="fr-CA"/>
        </w:rPr>
        <w:t>Pour les premiers années de simulation, l</w:t>
      </w:r>
      <w:r w:rsidRPr="00990A72">
        <w:rPr>
          <w:rFonts w:asciiTheme="minorHAnsi" w:hAnsiTheme="minorHAnsi"/>
          <w:lang w:val="fr-CA"/>
        </w:rPr>
        <w:t>’augmentation de la biomasse est plus marquée et dure plus longtemps dans la version non calibrée (N2022) par rapport aux versions calibrées (D2023, M2024).</w:t>
      </w:r>
    </w:p>
    <w:p w14:paraId="52DDF775" w14:textId="0BF3D341" w:rsidR="009F5787" w:rsidRPr="009F5787" w:rsidRDefault="009F5787" w:rsidP="009F5787">
      <w:pPr>
        <w:rPr>
          <w:lang w:val="fr-CA"/>
        </w:rPr>
        <w:sectPr w:rsidR="009F5787" w:rsidRPr="009F5787">
          <w:headerReference w:type="even" r:id="rId8"/>
          <w:headerReference w:type="default" r:id="rId9"/>
          <w:headerReference w:type="first" r:id="rId10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0290FBCE" w14:textId="67CDC8B7" w:rsidR="009262E7" w:rsidRDefault="009262E7" w:rsidP="00797394">
      <w:pPr>
        <w:pStyle w:val="Caption"/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35747B7B" wp14:editId="474D00CF">
            <wp:extent cx="8229600" cy="5143500"/>
            <wp:effectExtent l="0" t="0" r="0" b="0"/>
            <wp:docPr id="8889846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4683" name="Image 8889846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394" w:rsidRPr="00797394">
        <w:rPr>
          <w:lang w:val="fr-CA"/>
        </w:rPr>
        <w:t xml:space="preserve">Figure </w:t>
      </w:r>
      <w:r w:rsidR="00797394">
        <w:fldChar w:fldCharType="begin"/>
      </w:r>
      <w:r w:rsidR="00797394" w:rsidRPr="00797394">
        <w:rPr>
          <w:lang w:val="fr-CA"/>
        </w:rPr>
        <w:instrText xml:space="preserve"> SEQ Figure \* ARABIC </w:instrText>
      </w:r>
      <w:r w:rsidR="00797394">
        <w:fldChar w:fldCharType="separate"/>
      </w:r>
      <w:r w:rsidR="00922721">
        <w:rPr>
          <w:noProof/>
          <w:lang w:val="fr-CA"/>
        </w:rPr>
        <w:t>1</w:t>
      </w:r>
      <w:r w:rsidR="00797394">
        <w:fldChar w:fldCharType="end"/>
      </w:r>
      <w:r w:rsidR="00797394" w:rsidRPr="00797394">
        <w:rPr>
          <w:lang w:val="fr-CA"/>
        </w:rPr>
        <w:t>:</w:t>
      </w:r>
      <w:r>
        <w:rPr>
          <w:noProof/>
          <w:lang w:val="fr-CA"/>
        </w:rPr>
        <w:lastRenderedPageBreak/>
        <w:drawing>
          <wp:inline distT="0" distB="0" distL="0" distR="0" wp14:anchorId="62E965CA" wp14:editId="6DF0BB44">
            <wp:extent cx="8229600" cy="5143500"/>
            <wp:effectExtent l="0" t="0" r="0" b="0"/>
            <wp:docPr id="126911658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6584" name="Image 12691165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63C0" w14:textId="7DA6AE76" w:rsidR="00112F2A" w:rsidRDefault="00112F2A" w:rsidP="00112F2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22721">
        <w:rPr>
          <w:noProof/>
        </w:rPr>
        <w:t>2</w:t>
      </w:r>
      <w:r>
        <w:fldChar w:fldCharType="end"/>
      </w:r>
    </w:p>
    <w:p w14:paraId="62BCE305" w14:textId="77777777" w:rsidR="00922721" w:rsidRDefault="00922721" w:rsidP="00922721">
      <w:pPr>
        <w:rPr>
          <w:lang w:val="fr-CA"/>
        </w:rPr>
      </w:pPr>
    </w:p>
    <w:p w14:paraId="6CAED3D7" w14:textId="77777777" w:rsidR="00922721" w:rsidRDefault="00922721" w:rsidP="00922721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D8FB336" wp14:editId="159DABE5">
            <wp:extent cx="8229600" cy="4898390"/>
            <wp:effectExtent l="0" t="0" r="0" b="0"/>
            <wp:docPr id="186866030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0304" name="Picture 1" descr="A graph of different colore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376" w14:textId="4B15F66B" w:rsidR="00922721" w:rsidRDefault="00922721" w:rsidP="00922721">
      <w:pPr>
        <w:pStyle w:val="Caption"/>
        <w:rPr>
          <w:lang w:val="fr-C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0225D6CE" w14:textId="77777777" w:rsidR="00922721" w:rsidRDefault="00922721" w:rsidP="00922721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67CE63F3" wp14:editId="6D2B9CB7">
            <wp:extent cx="8229600" cy="4898390"/>
            <wp:effectExtent l="0" t="0" r="0" b="0"/>
            <wp:docPr id="1270197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7936" name="Picture 12701979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F0FB" w14:textId="04ED341A" w:rsidR="00922721" w:rsidRDefault="00922721" w:rsidP="00922721">
      <w:pPr>
        <w:pStyle w:val="Caption"/>
        <w:rPr>
          <w:lang w:val="fr-C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592D6D2E" w14:textId="77777777" w:rsidR="00922721" w:rsidRDefault="00922721" w:rsidP="00922721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1FC9B149" wp14:editId="5118C867">
            <wp:extent cx="8229600" cy="4898390"/>
            <wp:effectExtent l="0" t="0" r="0" b="0"/>
            <wp:docPr id="1700459415" name="Picture 3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59415" name="Picture 3" descr="A graph of different colored squar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9DBB" w14:textId="54BDB3DC" w:rsidR="00922721" w:rsidRDefault="00922721" w:rsidP="00922721">
      <w:pPr>
        <w:pStyle w:val="Caption"/>
        <w:rPr>
          <w:lang w:val="fr-C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36CBD44D" w14:textId="77777777" w:rsidR="00922721" w:rsidRDefault="00922721" w:rsidP="00922721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20427AD6" wp14:editId="6A3C38A6">
            <wp:extent cx="8229600" cy="4293870"/>
            <wp:effectExtent l="0" t="0" r="0" b="0"/>
            <wp:docPr id="542894871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4871" name="Picture 4" descr="A screen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843A" w14:textId="77777777" w:rsidR="00922721" w:rsidRDefault="00922721" w:rsidP="00922721">
      <w:pPr>
        <w:rPr>
          <w:lang w:val="fr-CA"/>
        </w:rPr>
      </w:pPr>
    </w:p>
    <w:p w14:paraId="286B2536" w14:textId="6B5BD511" w:rsidR="00922721" w:rsidRPr="00922721" w:rsidRDefault="00922721" w:rsidP="00922721">
      <w:pPr>
        <w:pStyle w:val="Caption"/>
        <w:rPr>
          <w:lang w:val="fr-CA"/>
        </w:rPr>
        <w:sectPr w:rsidR="00922721" w:rsidRPr="00922721" w:rsidSect="009262E7">
          <w:pgSz w:w="15840" w:h="12240" w:orient="landscape"/>
          <w:pgMar w:top="1800" w:right="1440" w:bottom="1800" w:left="1440" w:header="708" w:footer="708" w:gutter="0"/>
          <w:cols w:space="708"/>
          <w:docGrid w:linePitch="360"/>
        </w:sect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3180BD7E" w14:textId="77777777" w:rsidR="009262E7" w:rsidRPr="00E51333" w:rsidRDefault="009262E7">
      <w:pPr>
        <w:rPr>
          <w:lang w:val="fr-CA"/>
        </w:rPr>
      </w:pPr>
    </w:p>
    <w:sectPr w:rsidR="009262E7" w:rsidRPr="00E5133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2EB2" w14:textId="77777777" w:rsidR="00E51333" w:rsidRDefault="00E51333" w:rsidP="00E51333">
      <w:pPr>
        <w:spacing w:after="0" w:line="240" w:lineRule="auto"/>
      </w:pPr>
      <w:r>
        <w:separator/>
      </w:r>
    </w:p>
  </w:endnote>
  <w:endnote w:type="continuationSeparator" w:id="0">
    <w:p w14:paraId="5FACA046" w14:textId="77777777" w:rsidR="00E51333" w:rsidRDefault="00E51333" w:rsidP="00E5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03490" w14:textId="77777777" w:rsidR="00E51333" w:rsidRDefault="00E51333" w:rsidP="00E51333">
      <w:pPr>
        <w:spacing w:after="0" w:line="240" w:lineRule="auto"/>
      </w:pPr>
      <w:r>
        <w:separator/>
      </w:r>
    </w:p>
  </w:footnote>
  <w:footnote w:type="continuationSeparator" w:id="0">
    <w:p w14:paraId="4D99AFB0" w14:textId="77777777" w:rsidR="00E51333" w:rsidRDefault="00E51333" w:rsidP="00E51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4180" w14:textId="37333AA1" w:rsidR="00E51333" w:rsidRDefault="00E51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5CF300" wp14:editId="6C95913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2059822764" name="Zone de texte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A34B5" w14:textId="6364D08E" w:rsidR="00E51333" w:rsidRPr="00E51333" w:rsidRDefault="00E51333" w:rsidP="00E513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5133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CF30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UNCLASSIFIED - NON CLASSIFIÉ" style="position:absolute;margin-left:120.55pt;margin-top:0;width:171.75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" filled="f" stroked="f">
              <v:textbox style="mso-fit-shape-to-text:t" inset="0,15pt,20pt,0">
                <w:txbxContent>
                  <w:p w14:paraId="171A34B5" w14:textId="6364D08E" w:rsidR="00E51333" w:rsidRPr="00E51333" w:rsidRDefault="00E51333" w:rsidP="00E513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E5133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CE3C" w14:textId="6E291024" w:rsidR="00E51333" w:rsidRDefault="00E51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5D16EF" wp14:editId="3AC2901A">
              <wp:simplePos x="1145512" y="452176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315680186" name="Zone de texte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77AB" w14:textId="3C00AE71" w:rsidR="00E51333" w:rsidRPr="00E51333" w:rsidRDefault="00E51333" w:rsidP="00E513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5133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D16E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UNCLASSIFIED - NON CLASSIFIÉ" style="position:absolute;margin-left:120.55pt;margin-top:0;width:171.75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" filled="f" stroked="f">
              <v:textbox style="mso-fit-shape-to-text:t" inset="0,15pt,20pt,0">
                <w:txbxContent>
                  <w:p w14:paraId="30C977AB" w14:textId="3C00AE71" w:rsidR="00E51333" w:rsidRPr="00E51333" w:rsidRDefault="00E51333" w:rsidP="00E513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E5133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B4AA" w14:textId="0BE23D8A" w:rsidR="00E51333" w:rsidRDefault="00E51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5FA044" wp14:editId="0B5DECB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91160"/>
              <wp:effectExtent l="0" t="0" r="0" b="8890"/>
              <wp:wrapNone/>
              <wp:docPr id="1217747373" name="Zone de texte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F66B6" w14:textId="6EE429E8" w:rsidR="00E51333" w:rsidRPr="00E51333" w:rsidRDefault="00E51333" w:rsidP="00E513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5133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FA04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UNCLASSIFIED - NON CLASSIFIÉ" style="position:absolute;margin-left:120.55pt;margin-top:0;width:171.75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" filled="f" stroked="f">
              <v:textbox style="mso-fit-shape-to-text:t" inset="0,15pt,20pt,0">
                <w:txbxContent>
                  <w:p w14:paraId="490F66B6" w14:textId="6EE429E8" w:rsidR="00E51333" w:rsidRPr="00E51333" w:rsidRDefault="00E51333" w:rsidP="00E513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E5133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AB1"/>
    <w:multiLevelType w:val="multilevel"/>
    <w:tmpl w:val="40AE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64898"/>
    <w:multiLevelType w:val="hybridMultilevel"/>
    <w:tmpl w:val="6868CA3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87804">
    <w:abstractNumId w:val="1"/>
  </w:num>
  <w:num w:numId="2" w16cid:durableId="207535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33"/>
    <w:rsid w:val="000828FC"/>
    <w:rsid w:val="00112F2A"/>
    <w:rsid w:val="00114308"/>
    <w:rsid w:val="001D0990"/>
    <w:rsid w:val="00413D92"/>
    <w:rsid w:val="006D1F1D"/>
    <w:rsid w:val="00797394"/>
    <w:rsid w:val="008A73C0"/>
    <w:rsid w:val="008F3616"/>
    <w:rsid w:val="00922721"/>
    <w:rsid w:val="009262E7"/>
    <w:rsid w:val="00990A72"/>
    <w:rsid w:val="009F5787"/>
    <w:rsid w:val="00BC1A66"/>
    <w:rsid w:val="00CA04F2"/>
    <w:rsid w:val="00D25F08"/>
    <w:rsid w:val="00E51333"/>
    <w:rsid w:val="00E91659"/>
    <w:rsid w:val="00EA6AA6"/>
    <w:rsid w:val="00F6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84A2"/>
  <w15:chartTrackingRefBased/>
  <w15:docId w15:val="{B7965FC5-786A-47B3-92DD-D67CB247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33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333"/>
  </w:style>
  <w:style w:type="paragraph" w:styleId="Caption">
    <w:name w:val="caption"/>
    <w:basedOn w:val="Normal"/>
    <w:next w:val="Normal"/>
    <w:uiPriority w:val="35"/>
    <w:unhideWhenUsed/>
    <w:qFormat/>
    <w:rsid w:val="007973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A6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B270E-79F1-4D7E-845B-4EE6C9B83C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457</Words>
  <Characters>2606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NRCan - RNCan</Company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Pascual Puigdevall, Jesus (he, him, his | il, le, lui)</dc:creator>
  <cp:keywords/>
  <dc:description/>
  <cp:lastModifiedBy>Pascual Puigdevall, Jesus (he, him, his | il, le, lui)</cp:lastModifiedBy>
  <cp:revision>2</cp:revision>
  <dcterms:created xsi:type="dcterms:W3CDTF">2025-04-16T21:04:00Z</dcterms:created>
  <dcterms:modified xsi:type="dcterms:W3CDTF">2025-04-16T21:04:00Z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489559ad,7ac666ac,12d0e5ba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 CLASSIFIÉ</vt:lpwstr>
  </property>
</Properties>
</file>