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Work in progress  |  Updated 8 October 2026 at 03:02 UTC</w:t>
      </w:r>
    </w:p>
    <w:p>
      <w:pPr>
        <w:pStyle w:val="Heading2"/>
      </w:pPr>
      <w:r>
        <w:t>Executive summary</w:t>
      </w:r>
    </w:p>
    <w:p>
      <w:r>
        <w:rPr>
          <w:b w:val="0"/>
        </w:rPr>
        <w:t>The public onboarding path contains a reproducible Python command defect and a desktop documentation layout defect. Authenticated product testing is still in progress; the results below cover only the evidence established so far.</w:t>
      </w:r>
    </w:p>
    <w:p>
      <w:pPr>
        <w:pStyle w:val="ListBullet"/>
      </w:pPr>
      <w:r>
        <w:rPr>
          <w:b w:val="0"/>
        </w:rPr>
      </w:r>
      <w:r>
        <w:rPr>
          <w:b/>
        </w:rPr>
        <w:t>Fix the Python quickstart first.</w:t>
      </w:r>
      <w:r>
        <w:rPr>
          <w:b w:val="0"/>
        </w:rPr>
        <w:t xml:space="preserve"> The documented module command includes a .py suffix and fails for an ordinary Python script. Both corrected forms pass the isolated local check.</w:t>
      </w:r>
    </w:p>
    <w:p>
      <w:pPr>
        <w:pStyle w:val="ListBullet"/>
      </w:pPr>
      <w:r>
        <w:rPr>
          <w:b w:val="0"/>
        </w:rPr>
      </w:r>
      <w:r>
        <w:rPr>
          <w:b/>
        </w:rPr>
        <w:t>Make navigation labels readable.</w:t>
      </w:r>
      <w:r>
        <w:rPr>
          <w:b w:val="0"/>
        </w:rPr>
        <w:t xml:space="preserve"> At the observed desktop viewport, the documentation contents rail breaks several section names mid-word.</w:t>
      </w:r>
    </w:p>
    <w:p>
      <w:pPr>
        <w:pStyle w:val="ListBullet"/>
      </w:pPr>
      <w:r>
        <w:rPr>
          <w:b w:val="0"/>
        </w:rPr>
      </w:r>
      <w:r>
        <w:rPr>
          <w:b/>
        </w:rPr>
        <w:t>Explain the first irreversible decision.</w:t>
      </w:r>
      <w:r>
        <w:rPr>
          <w:b w:val="0"/>
        </w:rPr>
        <w:t xml:space="preserve"> Region selection is clearly marked permanent, but a complete beginner receives little in-place help choosing one.</w:t>
      </w:r>
    </w:p>
    <w:p>
      <w:r>
        <w:rPr>
          <w:b w:val="0"/>
          <w:sz w:val="18"/>
        </w:rPr>
        <w:t>Severity index below: HIGH 0 · MEDIUM 1 · LOW 2. Click a finding ID to jump to its detail page.</w:t>
      </w:r>
    </w:p>
    <w:p>
      <w:hyperlink r:id="rId10">
        <w:r>
          <w:rPr>
            <w:color w:val="164F80"/>
          </w:rPr>
          <w:t>Open the High severity only view</w:t>
        </w:r>
      </w:hyperlink>
    </w:p>
    <w:p>
      <w:pPr>
        <w:pStyle w:val="Heading2"/>
      </w:pPr>
      <w:r>
        <w:t>Decision boundaries</w:t>
      </w:r>
    </w:p>
    <w:p>
      <w:r>
        <w:rPr>
          <w:b w:val="0"/>
        </w:rPr>
        <w:t>A documented prerequisite is not proof that it worked. This report distinguishes directly observed behavior, local reproduction, UX recommendations, and tests not run. Real capture, exact source revision, authorization boundaries, expiry, and cleanup require separate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84"/>
      </w:tblGrid>
      <w:tr>
        <w:trPr>
          <w:tblHeader/>
        </w:trPr>
        <w:tc>
          <w:tcPr>
            <w:tcW w:type="dxa" w:w="1080"/>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2160"/>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984"/>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r>
      <w:tr>
        <w:trPr>
          <w:cantSplit/>
        </w:trPr>
        <w:tc>
          <w:tcPr>
            <w:tcW w:type="dxa" w:w="1080"/>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2160"/>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984"/>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r>
      <w:tr>
        <w:trPr>
          <w:cantSplit/>
        </w:trPr>
        <w:tc>
          <w:tcPr>
            <w:tcW w:type="dxa" w:w="1080"/>
            <w:vAlign w:val="center"/>
            <w:tcMar>
              <w:top w:w="85" w:type="dxa"/>
              <w:left w:w="85" w:type="dxa"/>
              <w:bottom w:w="85" w:type="dxa"/>
              <w:right w:w="85" w:type="dxa"/>
            </w:tcMar>
            <w:shd w:fill="F3F5F7"/>
          </w:tcPr>
          <w:p>
            <w:pPr>
              <w:spacing w:after="20" w:before="20" w:line="240" w:lineRule="auto"/>
            </w:pPr>
            <w:hyperlink w:anchor="DOC02">
              <w:r>
                <w:rPr>
                  <w:color w:val="164F80"/>
                </w:rPr>
                <w:t>DOC02</w:t>
              </w:r>
            </w:hyperlink>
          </w:p>
        </w:tc>
        <w:tc>
          <w:tcPr>
            <w:tcW w:type="dxa" w:w="2160"/>
            <w:vAlign w:val="center"/>
            <w:tcMar>
              <w:top w:w="85" w:type="dxa"/>
              <w:left w:w="85" w:type="dxa"/>
              <w:bottom w:w="85" w:type="dxa"/>
              <w:right w:w="85" w:type="dxa"/>
            </w:tcMar>
            <w:shd w:fill="F3F5F7"/>
          </w:tcPr>
          <w:p>
            <w:pPr>
              <w:spacing w:after="20" w:before="20" w:line="240" w:lineRule="auto"/>
            </w:pPr>
            <w:r>
              <w:rPr>
                <w:b w:val="0"/>
                <w:color w:val="000000"/>
                <w:sz w:val="18"/>
              </w:rPr>
              <w:t>LOW · bug</w:t>
            </w:r>
          </w:p>
        </w:tc>
        <w:tc>
          <w:tcPr>
            <w:tcW w:type="dxa" w:w="6984"/>
            <w:vAlign w:val="center"/>
            <w:tcMar>
              <w:top w:w="85" w:type="dxa"/>
              <w:left w:w="85" w:type="dxa"/>
              <w:bottom w:w="85" w:type="dxa"/>
              <w:right w:w="85" w:type="dxa"/>
            </w:tcMar>
            <w:shd w:fill="F3F5F7"/>
          </w:tcPr>
          <w:p>
            <w:pPr>
              <w:spacing w:after="20" w:before="20" w:line="240" w:lineRule="auto"/>
            </w:pPr>
            <w:r>
              <w:rPr>
                <w:b w:val="0"/>
                <w:color w:val="000000"/>
                <w:sz w:val="18"/>
              </w:rPr>
              <w:t>Navigation labels break mid-word at desktop width</w:t>
            </w:r>
          </w:p>
        </w:tc>
      </w:tr>
      <w:tr>
        <w:trPr>
          <w:cantSplit/>
        </w:trPr>
        <w:tc>
          <w:tcPr>
            <w:tcW w:type="dxa" w:w="1080"/>
            <w:vAlign w:val="center"/>
            <w:tcMar>
              <w:top w:w="85" w:type="dxa"/>
              <w:left w:w="85" w:type="dxa"/>
              <w:bottom w:w="85" w:type="dxa"/>
              <w:right w:w="85" w:type="dxa"/>
            </w:tcMar>
            <w:shd w:fill="FFFFFF"/>
          </w:tcPr>
          <w:p>
            <w:pPr>
              <w:spacing w:after="20" w:before="20" w:line="240" w:lineRule="auto"/>
            </w:pPr>
            <w:hyperlink w:anchor="UX01">
              <w:r>
                <w:rPr>
                  <w:color w:val="164F80"/>
                </w:rPr>
                <w:t>UX01</w:t>
              </w:r>
            </w:hyperlink>
          </w:p>
        </w:tc>
        <w:tc>
          <w:tcPr>
            <w:tcW w:type="dxa" w:w="2160"/>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984"/>
            <w:vAlign w:val="center"/>
            <w:tcMar>
              <w:top w:w="85" w:type="dxa"/>
              <w:left w:w="85" w:type="dxa"/>
              <w:bottom w:w="85" w:type="dxa"/>
              <w:right w:w="85" w:type="dxa"/>
            </w:tcMar>
            <w:shd w:fill="FFFFFF"/>
          </w:tcPr>
          <w:p>
            <w:pPr>
              <w:spacing w:after="20" w:before="20" w:line="240" w:lineRule="auto"/>
            </w:pPr>
            <w:r>
              <w:rPr>
                <w:b w:val="0"/>
                <w:color w:val="000000"/>
                <w:sz w:val="18"/>
              </w:rPr>
              <w:t>Permanent region choice precedes explanatory context</w:t>
            </w:r>
          </w:p>
        </w:tc>
      </w:tr>
    </w:tbl>
    <w:p>
      <w:r>
        <w:rPr>
          <w:b w:val="0"/>
        </w:rPr>
      </w:r>
    </w:p>
    <w:p>
      <w:pPr>
        <w:pStyle w:val="Heading2"/>
      </w:pPr>
      <w:r>
        <w:t>Highest value retests</w:t>
      </w:r>
    </w:p>
    <w:p>
      <w:r>
        <w:rPr>
          <w:b w:val="0"/>
        </w:rPr>
        <w:t>After the command fix, run one clean Python quickstart through first real variable capture. Then verify the exact deployed commit in source view, an A-only repository grant, stop/expiry behavior, and safe recovery from missing prerequisites.</w:t>
      </w:r>
    </w:p>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A local Python process check isolates the quickstart syntax. It does not validate the ddtrace-run wrapper, Agent, log ingestion, or a long-running instrumented application.</w:t>
      </w:r>
    </w:p>
    <w:p>
      <w:pPr>
        <w:pStyle w:val="ListBullet"/>
      </w:pPr>
      <w:r>
        <w:rPr>
          <w:b w:val="0"/>
        </w:rPr>
        <w:t>Only observed states are called passed or failed. Blocked and not-run cases remain explicit, including parts of otherwise useful partial tests.</w:t>
      </w:r>
    </w:p>
    <w:p>
      <w:pPr>
        <w:pStyle w:val="ListBullet"/>
      </w:pPr>
      <w:r>
        <w:rPr>
          <w:b w:val="0"/>
        </w:rPr>
        <w:t>Dates and times are UTC. Screenshot-file timestamps and recording offsets are identified separately; approximate offsets are not capture clocks.</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a practical workaround</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Cloud desktop browser; approximately 1180 × 757 page viewport at default zoom. Documentation evidence images are 1165 × 747 pixels. Local reproduction uses Python 3.12.14. A dedicated synthetic sample contains no real customer data. Final account/runtime versions and coverage will be reconciled at audit close.</w:t>
      </w:r>
    </w:p>
    <w:p>
      <w:r>
        <w:br w:type="page"/>
      </w:r>
    </w:p>
    <w:p>
      <w:r>
        <w:rPr>
          <w:b w:val="0"/>
          <w:sz w:val="18"/>
        </w:rPr>
        <w:t>TRACK ONE</w:t>
      </w:r>
    </w:p>
    <w:p>
      <w:pPr>
        <w:pStyle w:val="Heading1"/>
      </w:pPr>
      <w:r>
        <w:t>The beginner journey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Authenticated path still under review</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Runtime path still under review</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Integration path still under review</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Lifecycle path still under review</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r>
        <w:br w:type="page"/>
      </w:r>
    </w:p>
    <w:p>
      <w:r>
        <w:rPr>
          <w:b w:val="0"/>
          <w:sz w:val="18"/>
        </w:rPr>
        <w:t>DOC01  |  MEDIUM  |  CONFIRMED</w:t>
      </w:r>
    </w:p>
    <w:p>
      <w:bookmarkStart w:id="1041" w:name="DOC01"/>
      <w:pPr>
        <w:pStyle w:val="Heading1"/>
      </w:pPr>
      <w:r>
        <w:t>Python quickstart contains an invalid module command</w:t>
      </w:r>
      <w:bookmarkEnd w:id="1041"/>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1" name="Picture 1"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1"/>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DOC02  |  LOW  |  CONFIRMED</w:t>
      </w:r>
    </w:p>
    <w:p>
      <w:bookmarkStart w:id="1052" w:name="DOC02"/>
      <w:pPr>
        <w:pStyle w:val="Heading1"/>
      </w:pPr>
      <w:r>
        <w:t>Documentation navigation breaks words at desktop width</w:t>
      </w:r>
      <w:bookmarkEnd w:id="1052"/>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UX01  |  LOW  |  UX RECOMMENDATION</w:t>
      </w:r>
    </w:p>
    <w:p>
      <w:bookmarkStart w:id="1063" w:name="UX01"/>
      <w:pPr>
        <w:pStyle w:val="Heading1"/>
      </w:pPr>
      <w:r>
        <w:t>A permanent region choice needs decision support</w:t>
      </w:r>
      <w:bookmarkEnd w:id="1063"/>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3" name="Picture 3"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4"/>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TRACK TWO</w:t>
      </w:r>
    </w:p>
    <w:p>
      <w:pPr>
        <w:pStyle w:val="Heading1"/>
      </w:pPr>
      <w:r>
        <w:t>Professional QA coverage</w:t>
      </w:r>
    </w:p>
    <w:p>
      <w:r>
        <w:rPr>
          <w:b w:val="0"/>
        </w:rPr>
        <w:t>QA_MATRIX.md contains 54 baseline cases and nine supplementary edge cases, all planned. They describe intended coverage, not tests executed. Each case remains NOT RUN until direct evidence establishes a result; the confirmed documentation findings and local tests are reported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600"/>
        <w:gridCol w:w="49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Area</w:t>
            </w:r>
          </w:p>
        </w:tc>
        <w:tc>
          <w:tcPr>
            <w:tcW w:type="dxa" w:w="3600"/>
            <w:vAlign w:val="center"/>
            <w:tcMar>
              <w:top w:w="85" w:type="dxa"/>
              <w:left w:w="85" w:type="dxa"/>
              <w:bottom w:w="85" w:type="dxa"/>
              <w:right w:w="85" w:type="dxa"/>
            </w:tcMar>
            <w:shd w:fill="24384B"/>
          </w:tcPr>
          <w:p>
            <w:pPr>
              <w:spacing w:after="20" w:before="20" w:line="240" w:lineRule="auto"/>
            </w:pPr>
            <w:r>
              <w:rPr>
                <w:b/>
                <w:color w:val="FFFFFF"/>
                <w:sz w:val="18"/>
              </w:rPr>
              <w:t>Evidence established</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Still needs end to end validation</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Documentation</w:t>
            </w:r>
          </w:p>
        </w:tc>
        <w:tc>
          <w:tcPr>
            <w:tcW w:type="dxa" w:w="3600"/>
            <w:vAlign w:val="center"/>
            <w:tcMar>
              <w:top w:w="85" w:type="dxa"/>
              <w:left w:w="85" w:type="dxa"/>
              <w:bottom w:w="85" w:type="dxa"/>
              <w:right w:w="85" w:type="dxa"/>
            </w:tcMar>
            <w:shd w:fill="FFFFFF"/>
          </w:tcPr>
          <w:p>
            <w:pPr>
              <w:spacing w:after="20" w:before="20" w:line="240" w:lineRule="auto"/>
            </w:pPr>
            <w:r>
              <w:rPr>
                <w:b w:val="0"/>
                <w:color w:val="000000"/>
                <w:sz w:val="18"/>
              </w:rPr>
              <w:t>Invalid Python module invocation; cramped contents rail</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Fresh instrumented quickstart after correction</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Runtime fixture</w:t>
            </w:r>
          </w:p>
        </w:tc>
        <w:tc>
          <w:tcPr>
            <w:tcW w:type="dxa" w:w="3600"/>
            <w:vAlign w:val="center"/>
            <w:tcMar>
              <w:top w:w="85" w:type="dxa"/>
              <w:left w:w="85" w:type="dxa"/>
              <w:bottom w:w="85" w:type="dxa"/>
              <w:right w:w="85" w:type="dxa"/>
            </w:tcMar>
            <w:shd w:fill="F3F5F7"/>
          </w:tcPr>
          <w:p>
            <w:pPr>
              <w:spacing w:after="20" w:before="20" w:line="240" w:lineRule="auto"/>
            </w:pPr>
            <w:r>
              <w:rPr>
                <w:b w:val="0"/>
                <w:color w:val="000000"/>
                <w:sz w:val="18"/>
              </w:rPr>
              <w:t>8 passing local tests; 1 expected failure for the planted bug</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Agent/SDK integration, real service discovery and captured locals</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Source identity</w:t>
            </w:r>
          </w:p>
        </w:tc>
        <w:tc>
          <w:tcPr>
            <w:tcW w:type="dxa" w:w="3600"/>
            <w:vAlign w:val="center"/>
            <w:tcMar>
              <w:top w:w="85" w:type="dxa"/>
              <w:left w:w="85" w:type="dxa"/>
              <w:bottom w:w="85" w:type="dxa"/>
              <w:right w:w="85" w:type="dxa"/>
            </w:tcMar>
            <w:shd w:fill="FFFFFF"/>
          </w:tcPr>
          <w:p>
            <w:pPr>
              <w:spacing w:after="20" w:before="20" w:line="240" w:lineRule="auto"/>
            </w:pPr>
            <w:r>
              <w:rPr>
                <w:b w:val="0"/>
                <w:color w:val="000000"/>
                <w:sz w:val="18"/>
              </w:rPr>
              <w:t>Exact source and commit checks specified</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Deployed SHA, path/line, branch drift and mixed versions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Access boundaries</w:t>
            </w:r>
          </w:p>
        </w:tc>
        <w:tc>
          <w:tcPr>
            <w:tcW w:type="dxa" w:w="3600"/>
            <w:vAlign w:val="center"/>
            <w:tcMar>
              <w:top w:w="85" w:type="dxa"/>
              <w:left w:w="85" w:type="dxa"/>
              <w:bottom w:w="85" w:type="dxa"/>
              <w:right w:w="85" w:type="dxa"/>
            </w:tcMar>
            <w:shd w:fill="F3F5F7"/>
          </w:tcPr>
          <w:p>
            <w:pPr>
              <w:spacing w:after="20" w:before="20" w:line="240" w:lineRule="auto"/>
            </w:pPr>
            <w:r>
              <w:rPr>
                <w:b w:val="0"/>
                <w:color w:val="000000"/>
                <w:sz w:val="18"/>
              </w:rPr>
              <w:t>A-only grant and never-granted B test specified</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Repository scope, stale grants and independent roles</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Session lifecycle</w:t>
            </w:r>
          </w:p>
        </w:tc>
        <w:tc>
          <w:tcPr>
            <w:tcW w:type="dxa" w:w="3600"/>
            <w:vAlign w:val="center"/>
            <w:tcMar>
              <w:top w:w="85" w:type="dxa"/>
              <w:left w:w="85" w:type="dxa"/>
              <w:bottom w:w="85" w:type="dxa"/>
              <w:right w:w="85" w:type="dxa"/>
            </w:tcMar>
            <w:shd w:fill="FFFFFF"/>
          </w:tcPr>
          <w:p>
            <w:pPr>
              <w:spacing w:after="20" w:before="20" w:line="240" w:lineRule="auto"/>
            </w:pPr>
            <w:r>
              <w:rPr>
                <w:b w:val="0"/>
                <w:color w:val="000000"/>
                <w:sz w:val="18"/>
              </w:rPr>
              <w:t>Expiry and cleanup test oracles specified</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Actual expiry, stop, re-enable and event timestamps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Robustness</w:t>
            </w:r>
          </w:p>
        </w:tc>
        <w:tc>
          <w:tcPr>
            <w:tcW w:type="dxa" w:w="3600"/>
            <w:vAlign w:val="center"/>
            <w:tcMar>
              <w:top w:w="85" w:type="dxa"/>
              <w:left w:w="85" w:type="dxa"/>
              <w:bottom w:w="85" w:type="dxa"/>
              <w:right w:w="85" w:type="dxa"/>
            </w:tcMar>
            <w:shd w:fill="F3F5F7"/>
          </w:tcPr>
          <w:p>
            <w:pPr>
              <w:spacing w:after="20" w:before="20" w:line="240" w:lineRule="auto"/>
            </w:pPr>
            <w:r>
              <w:rPr>
                <w:b w:val="0"/>
                <w:color w:val="000000"/>
                <w:sz w:val="18"/>
              </w:rPr>
              <w:t>Negative cases prioritized</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Malformed input, stale tabs, duplicate submission, failure recovery</w:t>
            </w:r>
          </w:p>
        </w:tc>
      </w:tr>
    </w:tbl>
    <w:p>
      <w:r>
        <w:rPr>
          <w:b w:val="0"/>
        </w:rPr>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High risk tests before confidence in release readiness</w:t>
      </w:r>
    </w:p>
    <w:p>
      <w:pPr>
        <w:pStyle w:val="ListBullet"/>
      </w:pPr>
      <w:r>
        <w:rPr>
          <w:b w:val="0"/>
        </w:rPr>
        <w:t>Capture actual quantity 3 locals at pricing.py line 17 and match the correct service, environment, and deployed revision.</w:t>
      </w:r>
    </w:p>
    <w:p>
      <w:pPr>
        <w:pStyle w:val="ListBullet"/>
      </w:pPr>
      <w:r>
        <w:rPr>
          <w:b w:val="0"/>
        </w:rPr>
        <w:t>Confirm repo A works while never-granted private repo B cannot return source through the tested integration.</w:t>
      </w:r>
    </w:p>
    <w:p>
      <w:pPr>
        <w:pStyle w:val="ListBullet"/>
      </w:pPr>
      <w:r>
        <w:rPr>
          <w:b w:val="0"/>
        </w:rPr>
        <w:t>Observe capture before and after real expiration, distinguishing late ingestion from late execution.</w:t>
      </w:r>
    </w:p>
    <w:p>
      <w:pPr>
        <w:pStyle w:val="ListBullet"/>
      </w:pPr>
      <w:r>
        <w:rPr>
          <w:b w:val="0"/>
        </w:rPr>
        <w:t>Reload after stopping and verify every created test session/logpoint is inactive.</w:t>
      </w:r>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edited excerpt covers public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pPr>
        <w:pStyle w:val="Heading2"/>
      </w:pPr>
      <w:r>
        <w:t>Primary product references</w:t>
      </w:r>
    </w:p>
    <w:p>
      <w:hyperlink r:id="rId15">
        <w:r>
          <w:rPr>
            <w:color w:val="164F80"/>
          </w:rPr>
          <w:t>Live Debugger setup and session behavior</w:t>
        </w:r>
      </w:hyperlink>
    </w:p>
    <w:p>
      <w:hyperlink r:id="rId16">
        <w:r>
          <w:rPr>
            <w:color w:val="164F80"/>
          </w:rPr>
          <w:t>Python source mapping</w:t>
        </w:r>
      </w:hyperlink>
    </w:p>
    <w:p>
      <w:hyperlink r:id="rId17">
        <w:r>
          <w:rPr>
            <w:color w:val="164F80"/>
          </w:rPr>
          <w:t>Source Code Management Providers and caching</w:t>
        </w:r>
      </w:hyperlink>
    </w:p>
    <w:p>
      <w:hyperlink r:id="rId18">
        <w:r>
          <w:rPr>
            <w:color w:val="164F80"/>
          </w:rPr>
          <w:t>GitHub integration</w:t>
        </w:r>
      </w:hyperlink>
    </w:p>
    <w:p>
      <w:hyperlink r:id="rId19">
        <w:r>
          <w:rPr>
            <w:color w:val="164F80"/>
          </w:rPr>
          <w:t>Live Debugger expression language</w:t>
        </w:r>
      </w:hyperlink>
    </w:p>
    <w:p>
      <w:r>
        <w:rPr>
          <w:b w:val="0"/>
        </w:rPr>
        <w:t>References inform expected behavior and test design. They are not substitutes for observed product results. All current findings are limited to the captured site, viewport, and isolated runtime check.</w:t>
      </w:r>
    </w:p>
    <w:p>
      <w:r>
        <w:br w:type="page"/>
      </w:r>
    </w:p>
    <w:p>
      <w:r>
        <w:rPr>
          <w:b w:val="0"/>
          <w:sz w:val="18"/>
        </w:rPr>
        <w:t>PLANNED ONLY  |  NO NEW EXECUTION CLAIMS</w:t>
      </w:r>
    </w:p>
    <w:p>
      <w:pPr>
        <w:pStyle w:val="Heading1"/>
      </w:pPr>
      <w:r>
        <w:t>Planned scenario coverage</w:t>
      </w:r>
    </w:p>
    <w:p>
      <w:r>
        <w:rPr>
          <w:b w:val="0"/>
        </w:rPr>
        <w:t>The baseline matrix contains 54 cases. The following groups explain the intended coverage in plain language; their outcomes remain NOT RUN until evidence is recorded. P0 is test priority, not defect severity.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584"/>
        <w:gridCol w:w="6192"/>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Scenario group</w:t>
            </w:r>
          </w:p>
        </w:tc>
        <w:tc>
          <w:tcPr>
            <w:tcW w:type="dxa" w:w="1584"/>
            <w:vAlign w:val="center"/>
            <w:tcMar>
              <w:top w:w="85" w:type="dxa"/>
              <w:left w:w="85" w:type="dxa"/>
              <w:bottom w:w="85" w:type="dxa"/>
              <w:right w:w="85" w:type="dxa"/>
            </w:tcMar>
            <w:shd w:fill="24384B"/>
          </w:tcPr>
          <w:p>
            <w:pPr>
              <w:spacing w:after="20" w:before="20" w:line="240" w:lineRule="auto"/>
            </w:pPr>
            <w:r>
              <w:rPr>
                <w:b/>
                <w:color w:val="FFFFFF"/>
                <w:sz w:val="18"/>
              </w:rPr>
              <w:t>Baseline IDs</w:t>
            </w:r>
          </w:p>
        </w:tc>
        <w:tc>
          <w:tcPr>
            <w:tcW w:type="dxa" w:w="6192"/>
            <w:vAlign w:val="center"/>
            <w:tcMar>
              <w:top w:w="85" w:type="dxa"/>
              <w:left w:w="85" w:type="dxa"/>
              <w:bottom w:w="85" w:type="dxa"/>
              <w:right w:w="85" w:type="dxa"/>
            </w:tcMar>
            <w:shd w:fill="24384B"/>
          </w:tcPr>
          <w:p>
            <w:pPr>
              <w:spacing w:after="20" w:before="20" w:line="240" w:lineRule="auto"/>
            </w:pPr>
            <w:r>
              <w:rPr>
                <w:b/>
                <w:color w:val="FFFFFF"/>
                <w:sz w:val="18"/>
              </w:rPr>
              <w:t>Result to establish</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Fresh account to first capture</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B01–B08, F01</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A beginner can reach a real captured value and explain the sample bug</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Missing prerequisites</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B02, B03, B06</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Missing APM, Remote Configuration, runtime compatibility, or roles have distinct recovery guidance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Traces but no debugger service</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B02, B05, B07</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An APM-visible service that is absent from debugger selection has an actionable explanation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Repository A allowed and B denied</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S01–S04, S11</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A works, never-granted private B is denied, and recovery keeps the intended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Revoked source and caching</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S10, S15</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Separate cached old contents from newly fetched never-seen source and verify the actual grant model</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Runtime commit and moving files</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S02, S05–S09</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Branch drift, missing commit, renamed paths, and mixed versions cannot silently show wrong code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Invalid targets and expressions</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F04–F07</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Bad lines, unknown variables, invalid syntax, and unsupported context fail usefully</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Never true and erroring conditions</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F02–F05</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No matching traffic is distinguishable from expression errors and inactive installation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Duplicate and stale actions</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F08–F10, F14</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Double clicks, old tabs, back/refresh, and canceled drafts do not hide unintended changes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Expiry and restart</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F11–F13, F18–F20</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Capture stops at the effective lifecycle boundary and recovery uses the correct target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Permission loss</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S12–S16</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Lost read/write access and cross-org navigation respect effective authorization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Variable safety and complexity</w:t>
            </w:r>
          </w:p>
        </w:tc>
        <w:tc>
          <w:tcPr>
            <w:tcW w:type="dxa" w:w="1584"/>
            <w:vAlign w:val="center"/>
            <w:tcMar>
              <w:top w:w="85" w:type="dxa"/>
              <w:left w:w="85" w:type="dxa"/>
              <w:bottom w:w="85" w:type="dxa"/>
              <w:right w:w="85" w:type="dxa"/>
            </w:tcMar>
            <w:shd w:fill="F3F5F7"/>
          </w:tcPr>
          <w:p>
            <w:pPr>
              <w:spacing w:after="20" w:before="20" w:line="240" w:lineRule="auto"/>
            </w:pPr>
            <w:r>
              <w:rPr>
                <w:b w:val="0"/>
                <w:color w:val="000000"/>
                <w:sz w:val="18"/>
              </w:rPr>
              <w:t>F16, F21–F23</w:t>
            </w:r>
          </w:p>
        </w:tc>
        <w:tc>
          <w:tcPr>
            <w:tcW w:type="dxa" w:w="6192"/>
            <w:vAlign w:val="center"/>
            <w:tcMar>
              <w:top w:w="85" w:type="dxa"/>
              <w:left w:w="85" w:type="dxa"/>
              <w:bottom w:w="85" w:type="dxa"/>
              <w:right w:w="85" w:type="dxa"/>
            </w:tcMar>
            <w:shd w:fill="F3F5F7"/>
          </w:tcPr>
          <w:p>
            <w:pPr>
              <w:spacing w:after="20" w:before="20" w:line="240" w:lineRule="auto"/>
            </w:pPr>
            <w:r>
              <w:rPr>
                <w:b w:val="0"/>
                <w:color w:val="000000"/>
                <w:sz w:val="18"/>
              </w:rPr>
              <w:t>Redaction, truncation, types, nesting, and rate limits are represented honestly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Cleanup and minimal reproduction</w:t>
            </w:r>
          </w:p>
        </w:tc>
        <w:tc>
          <w:tcPr>
            <w:tcW w:type="dxa" w:w="1584"/>
            <w:vAlign w:val="center"/>
            <w:tcMar>
              <w:top w:w="85" w:type="dxa"/>
              <w:left w:w="85" w:type="dxa"/>
              <w:bottom w:w="85" w:type="dxa"/>
              <w:right w:w="85" w:type="dxa"/>
            </w:tcMar>
            <w:shd w:fill="FFFFFF"/>
          </w:tcPr>
          <w:p>
            <w:pPr>
              <w:spacing w:after="20" w:before="20" w:line="240" w:lineRule="auto"/>
            </w:pPr>
            <w:r>
              <w:rPr>
                <w:b w:val="0"/>
                <w:color w:val="000000"/>
                <w:sz w:val="18"/>
              </w:rPr>
              <w:t>C01–C03</w:t>
            </w:r>
          </w:p>
        </w:tc>
        <w:tc>
          <w:tcPr>
            <w:tcW w:type="dxa" w:w="6192"/>
            <w:vAlign w:val="center"/>
            <w:tcMar>
              <w:top w:w="85" w:type="dxa"/>
              <w:left w:w="85" w:type="dxa"/>
              <w:bottom w:w="85" w:type="dxa"/>
              <w:right w:w="85" w:type="dxa"/>
            </w:tcMar>
            <w:shd w:fill="FFFFFF"/>
          </w:tcPr>
          <w:p>
            <w:pPr>
              <w:spacing w:after="20" w:before="20" w:line="240" w:lineRule="auto"/>
            </w:pPr>
            <w:r>
              <w:rPr>
                <w:b w:val="0"/>
                <w:color w:val="000000"/>
                <w:sz w:val="18"/>
              </w:rPr>
              <w:t>Every test entity is reconciled and observed failures have a fresh-state positive control</w:t>
            </w:r>
          </w:p>
        </w:tc>
      </w:tr>
    </w:tbl>
    <w:p>
      <w:r>
        <w:rPr>
          <w:b w:val="0"/>
        </w:rPr>
      </w:r>
    </w:p>
    <w:p>
      <w:r>
        <w:rPr>
          <w:b w:val="0"/>
        </w:rPr>
        <w:t>The full executable preconditions, steps, expected outcomes, evidence, and cleanup requirements remain in QA_MATRIX.md. Runtime and access tests require the appropriate synthetic deployment and isolated permission setup.</w:t>
      </w:r>
    </w:p>
    <w:p>
      <w:r>
        <w:br w:type="page"/>
      </w:r>
    </w:p>
    <w:p>
      <w:r>
        <w:rPr>
          <w:b w:val="0"/>
          <w:sz w:val="18"/>
        </w:rPr>
        <w:t>PLANNED ONLY  |  X01 TO X09</w:t>
      </w:r>
    </w:p>
    <w:p>
      <w:pPr>
        <w:pStyle w:val="Heading1"/>
      </w:pPr>
      <w:r>
        <w:t>Additional edge case plan</w:t>
      </w:r>
    </w:p>
    <w:p>
      <w:r>
        <w:rPr>
          <w:b w:val="0"/>
        </w:rPr>
        <w:t>These nine supplementary cases preserve the original 54-case matrix. They add specific concurrency and deployment challenges; none is an observed defect or executed result.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2952"/>
        <w:gridCol w:w="6480"/>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Scenario</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Evidence required before a result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Mixed-commit rolling deployment</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Two active replicas of the same service carry different commits and numeric markers. Each capture resolves to its executing replica’s source.</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Same service names across environments and forks</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Use distinct environment, owner/repo, and numeric markers. Filters and direct links must never silently attach a capture to the wrong target.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Never-executed function versus uninstalled probe</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Compare a healthy installed location with no executions against a failed installation. UI and runtime evidence distinguish these cases.</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Delete or expiry versus late snapshots</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Record execution, expiry/delete, and ingest times. Buffered old snapshots cannot be mistaken for new capture after the effective stop.</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A selected line moves during deployment</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Shift the statement in a new commit and roll forward. Source location and installed definition remain correctly attributed or explicitly require a new target.</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Asynchronous concurrency correlation</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Run bounded overlapping synthetic requests with unique numeric IDs. Captured locals, request/trace context, and selected source belong to the same execution.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Cyclic Unicode values and nested sensitive fields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Capture small cyclic structures, Unicode keys/values, and nested dummy sensitive identifiers under unchanged protection. Inspect safe truncation and masking.</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Repository recovery without reinstall</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Remove and restore an approved test-only prerequisite or grant. Correct source becomes available again without unexplained full reinstall or expanded scope.</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Same-location sessions with different conditions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Run two explicit sessions at the same line with disjoint predicates. Captures, edits, stop, and expiry remain associated with the correct session.</w:t>
            </w:r>
          </w:p>
        </w:tc>
      </w:tr>
    </w:tbl>
    <w:p>
      <w:r>
        <w:rPr>
          <w:b w:val="0"/>
        </w:rPr>
      </w:r>
    </w:p>
    <w:p>
      <w:r>
        <w:rPr>
          <w:b w:val="0"/>
        </w:rPr>
        <w:t>Each case requires a baseline positive control, exact identities, UTC execution/capture timestamps, a reload or independent state check, and cleanup. Any missing prerequisite is a blocked test, not a product failure.</w:t>
      </w:r>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bl>
    <w:p>
      <w:r>
        <w:rPr>
          <w:b w:val="0"/>
        </w:rPr>
      </w:r>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jp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docs.datadoghq.com/tracing/live_debugger/" TargetMode="External"/><Relationship Id="rId16" Type="http://schemas.openxmlformats.org/officeDocument/2006/relationships/hyperlink" Target="https://docs.datadoghq.com/source_code/service-mapping/python/" TargetMode="External"/><Relationship Id="rId17" Type="http://schemas.openxmlformats.org/officeDocument/2006/relationships/hyperlink" Target="https://docs.datadoghq.com/source_code/source-code-management/" TargetMode="External"/><Relationship Id="rId18" Type="http://schemas.openxmlformats.org/officeDocument/2006/relationships/hyperlink" Target="https://docs.datadoghq.com/integrations/github/" TargetMode="External"/><Relationship Id="rId19" Type="http://schemas.openxmlformats.org/officeDocument/2006/relationships/hyperlink" Target="https://docs.datadoghq.com/tracing/trace_collection/dynamic_instrumentation/expression-langu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2013-12-23T23:15:00Z</dcterms:created>
  <dcterms:modified xsi:type="dcterms:W3CDTF">2013-12-23T23:15:00Z</dcterms:modified>
  <cp:category/>
</cp:coreProperties>
</file>