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7293F64" w14:textId="77777777" w:rsidR="005E0E9B" w:rsidRDefault="006F2469">
      <w:pPr>
        <w:shd w:val="clear" w:color="auto" w:fill="2E75B6"/>
        <w:spacing w:after="40"/>
      </w:pPr>
      <w:r>
        <w:rPr>
          <w:b/>
          <w:bCs/>
          <w:color w:val="FFFFFF"/>
          <w:sz w:val="18"/>
          <w:szCs w:val="18"/>
        </w:rPr>
        <w:t>물류 시황</w:t>
      </w:r>
    </w:p>
    <w:p w14:paraId="0471D173" w14:textId="77777777" w:rsidR="005E0E9B" w:rsidRDefault="006F2469">
      <w:pPr>
        <w:spacing w:before="60" w:after="60"/>
      </w:pPr>
      <w:r>
        <w:rPr>
          <w:b/>
          <w:bCs/>
          <w:color w:val="1F3864"/>
          <w:sz w:val="36"/>
          <w:szCs w:val="36"/>
        </w:rPr>
        <w:t>엘니뇨 재발에 따른 파나마 운하 통항 리스크 사전 점검</w:t>
      </w:r>
    </w:p>
    <w:p w14:paraId="1D7CCE78" w14:textId="77777777" w:rsidR="005E0E9B" w:rsidRDefault="006F2469">
      <w:pPr>
        <w:pBdr>
          <w:bottom w:val="single" w:sz="8" w:space="6" w:color="2E75B6"/>
        </w:pBdr>
        <w:spacing w:after="140"/>
      </w:pPr>
      <w:r>
        <w:rPr>
          <w:color w:val="595959"/>
          <w:sz w:val="20"/>
          <w:szCs w:val="20"/>
        </w:rPr>
        <w:t>2026.05.29(금) · 삼성SDS</w:t>
      </w:r>
    </w:p>
    <w:p w14:paraId="58099314" w14:textId="77777777" w:rsidR="005E0E9B" w:rsidRDefault="006F2469">
      <w:pPr>
        <w:pStyle w:val="1"/>
      </w:pPr>
      <w:r>
        <w:t>2026년 '슈퍼 엘니뇨' 가능성, 파나마 운하 통항에 어떤 리스크가 있나?</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E0E9B" w14:paraId="21D5E031" w14:textId="77777777">
        <w:tc>
          <w:tcPr>
            <w:tcW w:w="9026" w:type="dxa"/>
            <w:tcBorders>
              <w:top w:val="single" w:sz="1" w:space="0" w:color="2E75B6"/>
              <w:left w:val="single" w:sz="1" w:space="0" w:color="2E75B6"/>
              <w:bottom w:val="single" w:sz="1" w:space="0" w:color="2E75B6"/>
              <w:right w:val="single" w:sz="1" w:space="0" w:color="2E75B6"/>
            </w:tcBorders>
            <w:shd w:val="clear" w:color="auto" w:fill="EAF1FB"/>
            <w:tcMar>
              <w:top w:w="100" w:type="dxa"/>
              <w:left w:w="160" w:type="dxa"/>
              <w:bottom w:w="100" w:type="dxa"/>
              <w:right w:w="160" w:type="dxa"/>
            </w:tcMar>
          </w:tcPr>
          <w:p w14:paraId="025C5D08" w14:textId="77777777" w:rsidR="005E0E9B" w:rsidRDefault="006F2469">
            <w:pPr>
              <w:spacing w:before="40" w:after="60"/>
            </w:pPr>
            <w:r>
              <w:rPr>
                <w:b/>
                <w:bCs/>
                <w:color w:val="1F3864"/>
              </w:rPr>
              <w:t>📌 한눈에 보는 핵심요약</w:t>
            </w:r>
          </w:p>
          <w:p w14:paraId="2C69AB90" w14:textId="77777777" w:rsidR="005E0E9B" w:rsidRDefault="006F2469">
            <w:pPr>
              <w:spacing w:after="40" w:line="290" w:lineRule="auto"/>
            </w:pPr>
            <w:r>
              <w:rPr>
                <w:sz w:val="20"/>
                <w:szCs w:val="20"/>
              </w:rPr>
              <w:t>NOAA·WMO는 2026년 5~7월 엘니뇨 발생 가능성이 높고, 10월~내년 2월 사이 슈퍼 엘니뇨로 발전할 가능성도 배제할 수 없다고 전망합니다.</w:t>
            </w:r>
          </w:p>
          <w:p w14:paraId="6CE77ADE" w14:textId="77777777" w:rsidR="005E0E9B" w:rsidRDefault="006F2469">
            <w:pPr>
              <w:spacing w:after="40" w:line="290" w:lineRule="auto"/>
            </w:pPr>
            <w:r>
              <w:rPr>
                <w:sz w:val="20"/>
                <w:szCs w:val="20"/>
              </w:rPr>
              <w:t>엘니뇨에 따른 중남미 강수 감소·가뭄은 갑문식 운하인 파나마 운하의 가툰호수 수위를 떨어뜨려 운영 능력을 직접 제약합니다. '23~'24년에는</w:t>
            </w:r>
            <w:r w:rsidR="00661FA2">
              <w:rPr>
                <w:rFonts w:hint="eastAsia"/>
                <w:sz w:val="20"/>
                <w:szCs w:val="20"/>
              </w:rPr>
              <w:t xml:space="preserve"> </w:t>
            </w:r>
            <w:r>
              <w:rPr>
                <w:sz w:val="20"/>
                <w:szCs w:val="20"/>
              </w:rPr>
              <w:t>최대 허용 흘수가 50→44ft, 일일 통항</w:t>
            </w:r>
            <w:r w:rsidRPr="00661FA2">
              <w:rPr>
                <w:color w:val="000000" w:themeColor="text1"/>
                <w:sz w:val="20"/>
                <w:szCs w:val="20"/>
              </w:rPr>
              <w:t>(전 선종)</w:t>
            </w:r>
            <w:r>
              <w:rPr>
                <w:sz w:val="20"/>
                <w:szCs w:val="20"/>
              </w:rPr>
              <w:t>이 36~38척→22척까지 축소됐습니다.</w:t>
            </w:r>
          </w:p>
          <w:p w14:paraId="07619967" w14:textId="2B2FED14" w:rsidR="005E0E9B" w:rsidRDefault="006F2469">
            <w:pPr>
              <w:spacing w:after="40" w:line="290" w:lineRule="auto"/>
            </w:pPr>
            <w:r w:rsidRPr="00416D48">
              <w:rPr>
                <w:sz w:val="20"/>
                <w:szCs w:val="20"/>
              </w:rPr>
              <w:t xml:space="preserve">컨테이너선 통항은 </w:t>
            </w:r>
            <w:r w:rsidR="00661FA2" w:rsidRPr="00416D48">
              <w:rPr>
                <w:rFonts w:hint="eastAsia"/>
                <w:sz w:val="20"/>
                <w:szCs w:val="20"/>
              </w:rPr>
              <w:t xml:space="preserve">엘니뇨 이전과 유사하게 </w:t>
            </w:r>
            <w:r w:rsidRPr="00416D48">
              <w:rPr>
                <w:sz w:val="20"/>
                <w:szCs w:val="20"/>
              </w:rPr>
              <w:t xml:space="preserve">일평균 약 </w:t>
            </w:r>
            <w:r w:rsidR="00661FA2" w:rsidRPr="00416D48">
              <w:rPr>
                <w:sz w:val="20"/>
                <w:szCs w:val="20"/>
              </w:rPr>
              <w:t>7</w:t>
            </w:r>
            <w:r w:rsidRPr="00416D48">
              <w:rPr>
                <w:sz w:val="20"/>
                <w:szCs w:val="20"/>
              </w:rPr>
              <w:t>척</w:t>
            </w:r>
            <w:r w:rsidR="00661FA2" w:rsidRPr="00416D48">
              <w:rPr>
                <w:rFonts w:hint="eastAsia"/>
                <w:sz w:val="20"/>
                <w:szCs w:val="20"/>
              </w:rPr>
              <w:t xml:space="preserve"> </w:t>
            </w:r>
            <w:r w:rsidRPr="00416D48">
              <w:rPr>
                <w:sz w:val="20"/>
                <w:szCs w:val="20"/>
              </w:rPr>
              <w:t>유지됐으나</w:t>
            </w:r>
            <w:r>
              <w:rPr>
                <w:sz w:val="20"/>
                <w:szCs w:val="20"/>
              </w:rPr>
              <w:t>, 15,000TEU급 기준 최대 약 2,100TEU(-14%)의 적재능력 손실과 저수위 할증료가 화주에게 전가되며 운임 상승 압력으로 작용했습니다.</w:t>
            </w:r>
          </w:p>
          <w:p w14:paraId="4646B68C" w14:textId="77777777" w:rsidR="005E0E9B" w:rsidRDefault="006F2469">
            <w:pPr>
              <w:spacing w:after="40" w:line="290" w:lineRule="auto"/>
            </w:pPr>
            <w:r>
              <w:rPr>
                <w:sz w:val="20"/>
                <w:szCs w:val="20"/>
              </w:rPr>
              <w:t>'23년 사례상 영향은 건기 전환기에 본격화되어 올해 연말~내년 초 압박이 심화될 수 있으며, 가툰호수 수위·강수량·통항량·할증료 모니터링과 사전 대응 계획 수립이 필요합니다.</w:t>
            </w:r>
          </w:p>
        </w:tc>
      </w:tr>
    </w:tbl>
    <w:p w14:paraId="25068EA5" w14:textId="77777777" w:rsidR="005E0E9B" w:rsidRDefault="005E0E9B">
      <w:pPr>
        <w:spacing w:after="80"/>
      </w:pPr>
    </w:p>
    <w:p w14:paraId="079B176D" w14:textId="77777777" w:rsidR="005E0E9B" w:rsidRDefault="006F2469">
      <w:pPr>
        <w:spacing w:after="80"/>
      </w:pPr>
      <w:r>
        <w:rPr>
          <w:b/>
          <w:bCs/>
        </w:rPr>
        <w:t>정상 운영 vs 엘니뇨 저수위 심화기 비교 ('23~'24년 기준)</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163"/>
        <w:gridCol w:w="3163"/>
      </w:tblGrid>
      <w:tr w:rsidR="005E0E9B" w14:paraId="48E2C593" w14:textId="77777777">
        <w:trPr>
          <w:tblHeader/>
        </w:trPr>
        <w:tc>
          <w:tcPr>
            <w:tcW w:w="27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63DE6F03" w14:textId="77777777" w:rsidR="005E0E9B" w:rsidRDefault="006F2469">
            <w:pPr>
              <w:spacing w:before="20" w:after="20" w:line="276" w:lineRule="auto"/>
              <w:jc w:val="center"/>
            </w:pPr>
            <w:r>
              <w:rPr>
                <w:b/>
                <w:bCs/>
                <w:color w:val="1F3864"/>
                <w:sz w:val="19"/>
                <w:szCs w:val="19"/>
              </w:rPr>
              <w:t>구분</w:t>
            </w:r>
          </w:p>
        </w:tc>
        <w:tc>
          <w:tcPr>
            <w:tcW w:w="3163"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6755ABB1" w14:textId="77777777" w:rsidR="005E0E9B" w:rsidRDefault="006F2469">
            <w:pPr>
              <w:spacing w:before="20" w:after="20" w:line="276" w:lineRule="auto"/>
              <w:jc w:val="center"/>
            </w:pPr>
            <w:r>
              <w:rPr>
                <w:b/>
                <w:bCs/>
                <w:color w:val="1F3864"/>
                <w:sz w:val="19"/>
                <w:szCs w:val="19"/>
              </w:rPr>
              <w:t>정상 운영</w:t>
            </w:r>
          </w:p>
        </w:tc>
        <w:tc>
          <w:tcPr>
            <w:tcW w:w="3163"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5CA88AD4" w14:textId="77777777" w:rsidR="005E0E9B" w:rsidRDefault="006F2469">
            <w:pPr>
              <w:spacing w:before="20" w:after="20" w:line="276" w:lineRule="auto"/>
              <w:jc w:val="center"/>
            </w:pPr>
            <w:r>
              <w:rPr>
                <w:b/>
                <w:bCs/>
                <w:color w:val="1F3864"/>
                <w:sz w:val="19"/>
                <w:szCs w:val="19"/>
              </w:rPr>
              <w:t>엘니뇨 저수위 심화</w:t>
            </w:r>
          </w:p>
        </w:tc>
      </w:tr>
      <w:tr w:rsidR="005E0E9B" w14:paraId="0F80DEBE" w14:textId="77777777">
        <w:tc>
          <w:tcPr>
            <w:tcW w:w="2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EC27B15" w14:textId="77777777" w:rsidR="005E0E9B" w:rsidRDefault="006F2469">
            <w:pPr>
              <w:spacing w:before="20" w:after="20" w:line="276" w:lineRule="auto"/>
            </w:pPr>
            <w:r>
              <w:rPr>
                <w:sz w:val="19"/>
                <w:szCs w:val="19"/>
              </w:rPr>
              <w:t>최대 허용 흘수</w:t>
            </w:r>
          </w:p>
        </w:tc>
        <w:tc>
          <w:tcPr>
            <w:tcW w:w="316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5F8B6EF" w14:textId="77777777" w:rsidR="005E0E9B" w:rsidRDefault="006F2469">
            <w:pPr>
              <w:spacing w:before="20" w:after="20" w:line="276" w:lineRule="auto"/>
            </w:pPr>
            <w:r>
              <w:rPr>
                <w:sz w:val="19"/>
                <w:szCs w:val="19"/>
              </w:rPr>
              <w:t>50ft</w:t>
            </w:r>
          </w:p>
        </w:tc>
        <w:tc>
          <w:tcPr>
            <w:tcW w:w="316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18ED4A6" w14:textId="77777777" w:rsidR="005E0E9B" w:rsidRDefault="006F2469">
            <w:pPr>
              <w:spacing w:before="20" w:after="20" w:line="276" w:lineRule="auto"/>
            </w:pPr>
            <w:r>
              <w:rPr>
                <w:sz w:val="19"/>
                <w:szCs w:val="19"/>
              </w:rPr>
              <w:t>44ft</w:t>
            </w:r>
          </w:p>
        </w:tc>
      </w:tr>
      <w:tr w:rsidR="005E0E9B" w14:paraId="2DF703D3" w14:textId="77777777">
        <w:tc>
          <w:tcPr>
            <w:tcW w:w="2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DEDCB01" w14:textId="77777777" w:rsidR="005E0E9B" w:rsidRDefault="006F2469">
            <w:pPr>
              <w:spacing w:before="20" w:after="20" w:line="276" w:lineRule="auto"/>
            </w:pPr>
            <w:r>
              <w:rPr>
                <w:sz w:val="19"/>
                <w:szCs w:val="19"/>
              </w:rPr>
              <w:t>일일 통항량</w:t>
            </w:r>
            <w:r w:rsidRPr="00661FA2">
              <w:rPr>
                <w:color w:val="000000" w:themeColor="text1"/>
                <w:sz w:val="19"/>
                <w:szCs w:val="19"/>
              </w:rPr>
              <w:t xml:space="preserve"> (전 선종)</w:t>
            </w:r>
          </w:p>
        </w:tc>
        <w:tc>
          <w:tcPr>
            <w:tcW w:w="316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691D71C" w14:textId="77777777" w:rsidR="005E0E9B" w:rsidRDefault="006F2469">
            <w:pPr>
              <w:spacing w:before="20" w:after="20" w:line="276" w:lineRule="auto"/>
            </w:pPr>
            <w:r>
              <w:rPr>
                <w:sz w:val="19"/>
                <w:szCs w:val="19"/>
              </w:rPr>
              <w:t>36~38척</w:t>
            </w:r>
          </w:p>
        </w:tc>
        <w:tc>
          <w:tcPr>
            <w:tcW w:w="316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3F5F64F" w14:textId="77777777" w:rsidR="005E0E9B" w:rsidRDefault="006F2469">
            <w:pPr>
              <w:spacing w:before="20" w:after="20" w:line="276" w:lineRule="auto"/>
            </w:pPr>
            <w:r>
              <w:rPr>
                <w:sz w:val="19"/>
                <w:szCs w:val="19"/>
              </w:rPr>
              <w:t>22척</w:t>
            </w:r>
          </w:p>
        </w:tc>
      </w:tr>
      <w:tr w:rsidR="00661FA2" w14:paraId="604E2556" w14:textId="77777777">
        <w:tc>
          <w:tcPr>
            <w:tcW w:w="2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85A884C" w14:textId="77777777" w:rsidR="00661FA2" w:rsidRPr="00416D48" w:rsidRDefault="00661FA2" w:rsidP="00661FA2">
            <w:pPr>
              <w:spacing w:before="20" w:after="20" w:line="276" w:lineRule="auto"/>
              <w:rPr>
                <w:sz w:val="19"/>
                <w:szCs w:val="19"/>
              </w:rPr>
            </w:pPr>
            <w:r w:rsidRPr="00416D48">
              <w:rPr>
                <w:rFonts w:hint="eastAsia"/>
                <w:sz w:val="19"/>
                <w:szCs w:val="19"/>
              </w:rPr>
              <w:t xml:space="preserve">일일 통항량 </w:t>
            </w:r>
            <w:r w:rsidRPr="00416D48">
              <w:rPr>
                <w:sz w:val="19"/>
                <w:szCs w:val="19"/>
              </w:rPr>
              <w:t>(</w:t>
            </w:r>
            <w:r w:rsidRPr="00416D48">
              <w:rPr>
                <w:rFonts w:hint="eastAsia"/>
                <w:sz w:val="19"/>
                <w:szCs w:val="19"/>
              </w:rPr>
              <w:t>컨테이너선)</w:t>
            </w:r>
          </w:p>
        </w:tc>
        <w:tc>
          <w:tcPr>
            <w:tcW w:w="316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42BB2DC" w14:textId="77777777" w:rsidR="00661FA2" w:rsidRPr="00416D48" w:rsidRDefault="00661FA2" w:rsidP="00661FA2">
            <w:pPr>
              <w:spacing w:before="20" w:after="20" w:line="276" w:lineRule="auto"/>
            </w:pPr>
            <w:r w:rsidRPr="00416D48">
              <w:rPr>
                <w:sz w:val="19"/>
                <w:szCs w:val="19"/>
              </w:rPr>
              <w:t>일평균 약 7척</w:t>
            </w:r>
          </w:p>
        </w:tc>
        <w:tc>
          <w:tcPr>
            <w:tcW w:w="316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B798773" w14:textId="77777777" w:rsidR="00661FA2" w:rsidRPr="00416D48" w:rsidRDefault="00661FA2" w:rsidP="00661FA2">
            <w:pPr>
              <w:spacing w:before="20" w:after="20" w:line="276" w:lineRule="auto"/>
            </w:pPr>
            <w:commentRangeStart w:id="0"/>
            <w:r w:rsidRPr="00416D48">
              <w:rPr>
                <w:sz w:val="19"/>
                <w:szCs w:val="19"/>
              </w:rPr>
              <w:t xml:space="preserve">일평균 약 7척 </w:t>
            </w:r>
            <w:commentRangeEnd w:id="0"/>
            <w:r w:rsidRPr="00416D48">
              <w:rPr>
                <w:rStyle w:val="aa"/>
              </w:rPr>
              <w:commentReference w:id="0"/>
            </w:r>
          </w:p>
        </w:tc>
      </w:tr>
      <w:tr w:rsidR="005E0E9B" w14:paraId="039181F1" w14:textId="77777777">
        <w:tc>
          <w:tcPr>
            <w:tcW w:w="2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0FB36ED" w14:textId="77777777" w:rsidR="005E0E9B" w:rsidRDefault="006F2469">
            <w:pPr>
              <w:spacing w:before="20" w:after="20" w:line="276" w:lineRule="auto"/>
            </w:pPr>
            <w:r>
              <w:rPr>
                <w:sz w:val="19"/>
                <w:szCs w:val="19"/>
              </w:rPr>
              <w:t>대기 선박 수</w:t>
            </w:r>
          </w:p>
        </w:tc>
        <w:tc>
          <w:tcPr>
            <w:tcW w:w="316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076DE0B" w14:textId="77777777" w:rsidR="005E0E9B" w:rsidRDefault="006F2469">
            <w:pPr>
              <w:spacing w:before="20" w:after="20" w:line="276" w:lineRule="auto"/>
            </w:pPr>
            <w:r>
              <w:rPr>
                <w:sz w:val="19"/>
                <w:szCs w:val="19"/>
              </w:rPr>
              <w:t>13.3척</w:t>
            </w:r>
          </w:p>
        </w:tc>
        <w:tc>
          <w:tcPr>
            <w:tcW w:w="316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B310B76" w14:textId="77777777" w:rsidR="005E0E9B" w:rsidRDefault="006F2469">
            <w:pPr>
              <w:spacing w:before="20" w:after="20" w:line="276" w:lineRule="auto"/>
            </w:pPr>
            <w:r>
              <w:rPr>
                <w:sz w:val="19"/>
                <w:szCs w:val="19"/>
              </w:rPr>
              <w:t>17.3척</w:t>
            </w:r>
          </w:p>
        </w:tc>
      </w:tr>
      <w:tr w:rsidR="005E0E9B" w14:paraId="627D3370" w14:textId="77777777">
        <w:tc>
          <w:tcPr>
            <w:tcW w:w="2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032A663" w14:textId="77777777" w:rsidR="005E0E9B" w:rsidRDefault="006F2469">
            <w:pPr>
              <w:spacing w:before="20" w:after="20" w:line="276" w:lineRule="auto"/>
            </w:pPr>
            <w:r>
              <w:rPr>
                <w:sz w:val="19"/>
                <w:szCs w:val="19"/>
              </w:rPr>
              <w:t>대기 시간</w:t>
            </w:r>
          </w:p>
        </w:tc>
        <w:tc>
          <w:tcPr>
            <w:tcW w:w="316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225E168" w14:textId="77777777" w:rsidR="005E0E9B" w:rsidRDefault="006F2469">
            <w:pPr>
              <w:spacing w:before="20" w:after="20" w:line="276" w:lineRule="auto"/>
            </w:pPr>
            <w:r>
              <w:rPr>
                <w:sz w:val="19"/>
                <w:szCs w:val="19"/>
              </w:rPr>
              <w:t>17.5시간</w:t>
            </w:r>
          </w:p>
        </w:tc>
        <w:tc>
          <w:tcPr>
            <w:tcW w:w="316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2452A85" w14:textId="77777777" w:rsidR="005E0E9B" w:rsidRDefault="006F2469">
            <w:pPr>
              <w:spacing w:before="20" w:after="20" w:line="276" w:lineRule="auto"/>
            </w:pPr>
            <w:r>
              <w:rPr>
                <w:sz w:val="19"/>
                <w:szCs w:val="19"/>
              </w:rPr>
              <w:t>25.8시간</w:t>
            </w:r>
          </w:p>
        </w:tc>
      </w:tr>
      <w:tr w:rsidR="005E0E9B" w14:paraId="3B4D9DD1" w14:textId="77777777">
        <w:tc>
          <w:tcPr>
            <w:tcW w:w="2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82B4B17" w14:textId="77777777" w:rsidR="005E0E9B" w:rsidRDefault="006F2469">
            <w:pPr>
              <w:spacing w:before="20" w:after="20" w:line="276" w:lineRule="auto"/>
            </w:pPr>
            <w:r>
              <w:rPr>
                <w:sz w:val="19"/>
                <w:szCs w:val="19"/>
              </w:rPr>
              <w:t>15,000TEU급 적재능력</w:t>
            </w:r>
          </w:p>
        </w:tc>
        <w:tc>
          <w:tcPr>
            <w:tcW w:w="316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FECB7C7" w14:textId="77777777" w:rsidR="005E0E9B" w:rsidRDefault="006F2469">
            <w:pPr>
              <w:spacing w:before="20" w:after="20" w:line="276" w:lineRule="auto"/>
            </w:pPr>
            <w:r>
              <w:rPr>
                <w:sz w:val="19"/>
                <w:szCs w:val="19"/>
              </w:rPr>
              <w:t>정상</w:t>
            </w:r>
          </w:p>
        </w:tc>
        <w:tc>
          <w:tcPr>
            <w:tcW w:w="316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753220A" w14:textId="77777777" w:rsidR="005E0E9B" w:rsidRDefault="006F2469">
            <w:pPr>
              <w:spacing w:before="20" w:after="20" w:line="276" w:lineRule="auto"/>
            </w:pPr>
            <w:r>
              <w:rPr>
                <w:sz w:val="19"/>
                <w:szCs w:val="19"/>
              </w:rPr>
              <w:t>최대 약 -2,100TEU (-14%)</w:t>
            </w:r>
          </w:p>
        </w:tc>
      </w:tr>
    </w:tbl>
    <w:p w14:paraId="2BAC4001" w14:textId="77777777" w:rsidR="005E0E9B" w:rsidRDefault="005E0E9B">
      <w:pPr>
        <w:spacing w:after="80"/>
      </w:pPr>
    </w:p>
    <w:p w14:paraId="0A20417B" w14:textId="77777777" w:rsidR="00166EC2" w:rsidRDefault="00166EC2">
      <w:pPr>
        <w:spacing w:after="80"/>
      </w:pPr>
    </w:p>
    <w:p w14:paraId="127CBA5E" w14:textId="77777777" w:rsidR="005E0E9B" w:rsidRDefault="006F2469">
      <w:pPr>
        <w:pStyle w:val="1"/>
      </w:pPr>
      <w:r>
        <w:lastRenderedPageBreak/>
        <w:t>2026년, '슈퍼 엘니뇨'의 높은 가능성</w:t>
      </w:r>
    </w:p>
    <w:p w14:paraId="560661D8" w14:textId="77777777" w:rsidR="005E0E9B" w:rsidRDefault="006F2469">
      <w:pPr>
        <w:pStyle w:val="2"/>
      </w:pPr>
      <w:r>
        <w:t>1) 엘니뇨(El Niño)란?</w:t>
      </w:r>
    </w:p>
    <w:p w14:paraId="4DE47010" w14:textId="77777777" w:rsidR="005E0E9B" w:rsidRDefault="006F2469">
      <w:pPr>
        <w:spacing w:after="120" w:line="300" w:lineRule="auto"/>
      </w:pPr>
      <w:r>
        <w:t xml:space="preserve">적도 태평양 감시구역의 해수면온도 3개월 이동평균 편차인 </w:t>
      </w:r>
      <w:r>
        <w:rPr>
          <w:b/>
          <w:bCs/>
        </w:rPr>
        <w:t>ONI(Oceanic Niño Index)가 +0.5℃ 이상인 상태가 5개월 이상 지속되는 경우</w:t>
      </w:r>
      <w:r>
        <w:t xml:space="preserve">를 '엘니뇨'로 정의하며, ONI가 </w:t>
      </w:r>
      <w:r>
        <w:rPr>
          <w:b/>
          <w:bCs/>
        </w:rPr>
        <w:t>+2.0℃ 이상 장기간 지속</w:t>
      </w:r>
      <w:r>
        <w:t>될 경우 '슈퍼 엘니뇨'로 구분합니다.</w:t>
      </w:r>
    </w:p>
    <w:p w14:paraId="4FABF26C" w14:textId="77777777" w:rsidR="005E0E9B" w:rsidRDefault="006F2469">
      <w:pPr>
        <w:pStyle w:val="2"/>
      </w:pPr>
      <w:r>
        <w:t>2) 주요 기관 전망</w:t>
      </w:r>
    </w:p>
    <w:p w14:paraId="1280068F" w14:textId="77777777" w:rsidR="005E0E9B" w:rsidRDefault="006F2469">
      <w:pPr>
        <w:spacing w:after="120" w:line="300" w:lineRule="auto"/>
      </w:pPr>
      <w:r>
        <w:rPr>
          <w:b/>
          <w:bCs/>
        </w:rPr>
        <w:t>미국 해양대기청(NOAA)</w:t>
      </w:r>
      <w:r>
        <w:t xml:space="preserve">의 예측에 따르면, 엘니뇨는 5~7월 사이 발생하고 </w:t>
      </w:r>
      <w:r>
        <w:rPr>
          <w:b/>
          <w:bCs/>
        </w:rPr>
        <w:t>10월~내년 2월까지는 '슈퍼 엘니뇨'가 발생할 가능성이 높다</w:t>
      </w:r>
      <w:r>
        <w:t xml:space="preserve">고 발표했습니다. </w:t>
      </w:r>
      <w:r>
        <w:rPr>
          <w:b/>
          <w:bCs/>
        </w:rPr>
        <w:t>세계기상기구(WMO)</w:t>
      </w:r>
      <w:r>
        <w:t xml:space="preserve">도 5~7월경 엘니뇨 발생 가능성이 높으며, </w:t>
      </w:r>
      <w:r>
        <w:rPr>
          <w:b/>
          <w:bCs/>
        </w:rPr>
        <w:t>중미·남미 북부 등에서 고온·가뭄 경향이 높게 나타날 것</w:t>
      </w:r>
      <w:r>
        <w:t>으로 전망했습니다.</w:t>
      </w:r>
    </w:p>
    <w:tbl>
      <w:tblPr>
        <w:tblW w:w="9026"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5E0E9B" w14:paraId="3EBE47B1" w14:textId="77777777">
        <w:trPr>
          <w:tblHeader/>
        </w:trPr>
        <w:tc>
          <w:tcPr>
            <w:tcW w:w="19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54884FF3" w14:textId="77777777" w:rsidR="005E0E9B" w:rsidRDefault="006F2469">
            <w:pPr>
              <w:spacing w:before="20" w:after="20" w:line="276" w:lineRule="auto"/>
              <w:jc w:val="center"/>
            </w:pPr>
            <w:r>
              <w:rPr>
                <w:b/>
                <w:bCs/>
                <w:color w:val="1F3864"/>
                <w:sz w:val="19"/>
                <w:szCs w:val="19"/>
              </w:rPr>
              <w:t>기관</w:t>
            </w:r>
          </w:p>
        </w:tc>
        <w:tc>
          <w:tcPr>
            <w:tcW w:w="7126"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0C6FF95E" w14:textId="77777777" w:rsidR="005E0E9B" w:rsidRDefault="006F2469">
            <w:pPr>
              <w:spacing w:before="20" w:after="20" w:line="276" w:lineRule="auto"/>
              <w:jc w:val="center"/>
            </w:pPr>
            <w:r>
              <w:rPr>
                <w:b/>
                <w:bCs/>
                <w:color w:val="1F3864"/>
                <w:sz w:val="19"/>
                <w:szCs w:val="19"/>
              </w:rPr>
              <w:t>전망</w:t>
            </w:r>
          </w:p>
        </w:tc>
      </w:tr>
      <w:tr w:rsidR="005E0E9B" w14:paraId="5DC35D42" w14:textId="77777777">
        <w:tc>
          <w:tcPr>
            <w:tcW w:w="1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4D12227" w14:textId="77777777" w:rsidR="005E0E9B" w:rsidRDefault="006F2469">
            <w:pPr>
              <w:spacing w:before="20" w:after="20" w:line="276" w:lineRule="auto"/>
            </w:pPr>
            <w:r>
              <w:rPr>
                <w:sz w:val="19"/>
                <w:szCs w:val="19"/>
              </w:rPr>
              <w:t>NOAA</w:t>
            </w:r>
          </w:p>
        </w:tc>
        <w:tc>
          <w:tcPr>
            <w:tcW w:w="71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617E546" w14:textId="77777777" w:rsidR="005E0E9B" w:rsidRDefault="006F2469">
            <w:pPr>
              <w:spacing w:before="20" w:after="20" w:line="276" w:lineRule="auto"/>
            </w:pPr>
            <w:r>
              <w:rPr>
                <w:sz w:val="19"/>
                <w:szCs w:val="19"/>
              </w:rPr>
              <w:t>5~7월 엘니뇨 발생, 10월~내년 2월 '슈퍼 엘니뇨' 발생 가능성 높음</w:t>
            </w:r>
          </w:p>
        </w:tc>
      </w:tr>
      <w:tr w:rsidR="005E0E9B" w14:paraId="1537F890" w14:textId="77777777">
        <w:tc>
          <w:tcPr>
            <w:tcW w:w="1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ADD9AF9" w14:textId="77777777" w:rsidR="005E0E9B" w:rsidRDefault="006F2469">
            <w:pPr>
              <w:spacing w:before="20" w:after="20" w:line="276" w:lineRule="auto"/>
            </w:pPr>
            <w:r>
              <w:rPr>
                <w:sz w:val="19"/>
                <w:szCs w:val="19"/>
              </w:rPr>
              <w:t>WMO</w:t>
            </w:r>
          </w:p>
        </w:tc>
        <w:tc>
          <w:tcPr>
            <w:tcW w:w="71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28F0ED0" w14:textId="77777777" w:rsidR="005E0E9B" w:rsidRDefault="006F2469">
            <w:pPr>
              <w:spacing w:before="20" w:after="20" w:line="276" w:lineRule="auto"/>
            </w:pPr>
            <w:r>
              <w:rPr>
                <w:sz w:val="19"/>
                <w:szCs w:val="19"/>
              </w:rPr>
              <w:t>5~7월경 엘니뇨 발생 가능성 높음, 중미·남미 북부 고온·가뭄 경향</w:t>
            </w:r>
          </w:p>
        </w:tc>
      </w:tr>
    </w:tbl>
    <w:p w14:paraId="1F476C3B" w14:textId="77777777" w:rsidR="005E0E9B" w:rsidRDefault="005E0E9B">
      <w:pPr>
        <w:spacing w:after="80"/>
      </w:pPr>
    </w:p>
    <w:p w14:paraId="120FC497" w14:textId="77777777" w:rsidR="005E0E9B" w:rsidRDefault="006F2469">
      <w:pPr>
        <w:pStyle w:val="2"/>
      </w:pPr>
      <w:r>
        <w:t>3) 물류 영향</w:t>
      </w:r>
    </w:p>
    <w:p w14:paraId="01F58E54" w14:textId="77777777" w:rsidR="005E0E9B" w:rsidRDefault="006F2469">
      <w:pPr>
        <w:spacing w:after="120" w:line="300" w:lineRule="auto"/>
      </w:pPr>
      <w:r>
        <w:t xml:space="preserve">엘니뇨는 해상운송·항만 운영·수자원 관리에 영향을 미치는 주요 기후 리스크로 평가되며, 특히 중남미 지역 강수 감소와 가뭄 발생은 </w:t>
      </w:r>
      <w:r>
        <w:rPr>
          <w:b/>
          <w:bCs/>
        </w:rPr>
        <w:t>파나마 운하 운영에 직접적인 영향</w:t>
      </w:r>
      <w:r>
        <w:t>을 미치고 있습니다.</w:t>
      </w:r>
    </w:p>
    <w:p w14:paraId="4461EC34" w14:textId="77777777" w:rsidR="005E0E9B" w:rsidRDefault="006F2469">
      <w:pPr>
        <w:spacing w:after="120" w:line="300" w:lineRule="auto"/>
      </w:pPr>
      <w:r>
        <w:t xml:space="preserve">갑문식 운하 구조인 파나마 운하는 선박 1척 통과에 약 2억 리터(올림픽 규격 수영장 80개 규모)의 담수가 필요해, </w:t>
      </w:r>
      <w:r>
        <w:rPr>
          <w:b/>
          <w:bCs/>
        </w:rPr>
        <w:t>가툰호수 수위가 파나마 운하 운영 능력을 결정</w:t>
      </w:r>
      <w:r>
        <w:t>하고 있습니다.</w:t>
      </w:r>
    </w:p>
    <w:p w14:paraId="7BAF6FDD" w14:textId="77777777" w:rsidR="005E0E9B" w:rsidRDefault="005E0E9B">
      <w:pPr>
        <w:spacing w:after="80"/>
      </w:pPr>
    </w:p>
    <w:p w14:paraId="1463747D" w14:textId="77777777" w:rsidR="005E0E9B" w:rsidRDefault="006F2469">
      <w:pPr>
        <w:pStyle w:val="1"/>
      </w:pPr>
      <w:r>
        <w:t>과거 파나마 운하 사례 ('23~'24년)</w:t>
      </w:r>
    </w:p>
    <w:p w14:paraId="467894FC" w14:textId="77777777" w:rsidR="005E0E9B" w:rsidRDefault="006F2469">
      <w:pPr>
        <w:pStyle w:val="2"/>
      </w:pPr>
      <w:r>
        <w:t>1) 최대 흘수 및 통항량 제한</w:t>
      </w:r>
    </w:p>
    <w:p w14:paraId="1AF85C85" w14:textId="73351941" w:rsidR="005E0E9B" w:rsidRDefault="006F2469">
      <w:pPr>
        <w:spacing w:after="120" w:line="300" w:lineRule="auto"/>
      </w:pPr>
      <w:r>
        <w:t xml:space="preserve">'23년 엘니뇨는 13개월 동안 지속되며 가툰호수 수위 하락에 영향을 미쳤습니다. 가툰호수 수위는 엘니뇨 기간 평균 80.5ft, 최저 79.5ft를 기록해, 과거 20년(2000~2019) 평균 85.2ft 대비 매우 낮은 수준이었습니다. 가툰호수 저수위 심화로 </w:t>
      </w:r>
      <w:r>
        <w:rPr>
          <w:b/>
          <w:bCs/>
        </w:rPr>
        <w:t>최대 허용 흘수는 50→44ft, 일일 통항 선박 수는 36~38척→22척</w:t>
      </w:r>
      <w:r>
        <w:t>까지 낮춰 운영되었습니다.</w:t>
      </w:r>
    </w:p>
    <w:p w14:paraId="45020D0B" w14:textId="77777777" w:rsidR="00166EC2" w:rsidRPr="00166EC2" w:rsidRDefault="00166EC2" w:rsidP="00166EC2">
      <w:pPr>
        <w:spacing w:after="200"/>
        <w:rPr>
          <w:rFonts w:ascii="바탕체" w:eastAsia="바탕체" w:hAnsi="바탕체"/>
          <w:sz w:val="28"/>
          <w:szCs w:val="28"/>
        </w:rPr>
      </w:pPr>
      <w:r>
        <w:rPr>
          <w:rFonts w:ascii="바탕체" w:eastAsia="바탕체" w:hAnsi="바탕체"/>
          <w:b/>
          <w:noProof/>
          <w:sz w:val="28"/>
          <w:szCs w:val="28"/>
        </w:rPr>
        <w:lastRenderedPageBreak/>
        <w:drawing>
          <wp:inline distT="0" distB="0" distL="0" distR="0" wp14:anchorId="4FEA282E" wp14:editId="651456E2">
            <wp:extent cx="2780199" cy="2134870"/>
            <wp:effectExtent l="0" t="0" r="1270" b="17780"/>
            <wp:docPr id="14" name="차트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r>
        <w:rPr>
          <w:rFonts w:ascii="바탕체" w:eastAsia="바탕체" w:hAnsi="바탕체" w:hint="eastAsia"/>
          <w:sz w:val="28"/>
          <w:szCs w:val="28"/>
        </w:rPr>
        <w:t xml:space="preserve"> </w:t>
      </w:r>
      <w:r>
        <w:rPr>
          <w:rFonts w:ascii="바탕체" w:eastAsia="바탕체" w:hAnsi="바탕체"/>
          <w:noProof/>
          <w:sz w:val="28"/>
          <w:szCs w:val="28"/>
        </w:rPr>
        <w:drawing>
          <wp:inline distT="0" distB="0" distL="0" distR="0" wp14:anchorId="585604B3" wp14:editId="76FF36BE">
            <wp:extent cx="2727193" cy="2124259"/>
            <wp:effectExtent l="0" t="0" r="16510" b="9525"/>
            <wp:docPr id="38" name="차트 38"/>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7ABB37B5" w14:textId="77777777" w:rsidR="00166EC2" w:rsidRDefault="00166EC2">
      <w:pPr>
        <w:pStyle w:val="2"/>
      </w:pPr>
    </w:p>
    <w:p w14:paraId="7B551D5A" w14:textId="77777777" w:rsidR="005E0E9B" w:rsidRDefault="006F2469">
      <w:pPr>
        <w:pStyle w:val="2"/>
      </w:pPr>
      <w:r>
        <w:t>2) 운하 혼잡 증가</w:t>
      </w:r>
    </w:p>
    <w:p w14:paraId="0B53F69E" w14:textId="77777777" w:rsidR="005E0E9B" w:rsidRDefault="006F2469">
      <w:pPr>
        <w:spacing w:after="120" w:line="300" w:lineRule="auto"/>
      </w:pPr>
      <w:r>
        <w:t xml:space="preserve">엘니뇨 초기의 대기 선박 수와 대기 시간은 엘니뇨 이전과 유사했으나, 저수위 누적과 통항 제한이 본격화된 </w:t>
      </w:r>
      <w:r>
        <w:rPr>
          <w:b/>
          <w:bCs/>
        </w:rPr>
        <w:t>'23년 11월부터 운하 혼잡이 심화</w:t>
      </w:r>
      <w:r>
        <w:t>되었습니다.</w:t>
      </w:r>
    </w:p>
    <w:tbl>
      <w:tblPr>
        <w:tblW w:w="9026"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8"/>
        <w:gridCol w:w="2208"/>
        <w:gridCol w:w="2210"/>
      </w:tblGrid>
      <w:tr w:rsidR="005E0E9B" w14:paraId="3ADB183D" w14:textId="77777777">
        <w:trPr>
          <w:tblHeader/>
        </w:trPr>
        <w:tc>
          <w:tcPr>
            <w:tcW w:w="24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2F28B4AF" w14:textId="77777777" w:rsidR="005E0E9B" w:rsidRDefault="006F2469">
            <w:pPr>
              <w:spacing w:before="20" w:after="20" w:line="276" w:lineRule="auto"/>
              <w:jc w:val="center"/>
            </w:pPr>
            <w:r>
              <w:rPr>
                <w:b/>
                <w:bCs/>
                <w:color w:val="1F3864"/>
                <w:sz w:val="19"/>
                <w:szCs w:val="19"/>
              </w:rPr>
              <w:t>구분</w:t>
            </w:r>
          </w:p>
        </w:tc>
        <w:tc>
          <w:tcPr>
            <w:tcW w:w="2208"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47A87AA3" w14:textId="77777777" w:rsidR="00661FA2" w:rsidRPr="00416D48" w:rsidRDefault="006F2469">
            <w:pPr>
              <w:spacing w:before="20" w:after="20" w:line="276" w:lineRule="auto"/>
              <w:jc w:val="center"/>
              <w:rPr>
                <w:b/>
                <w:bCs/>
                <w:sz w:val="19"/>
                <w:szCs w:val="19"/>
              </w:rPr>
            </w:pPr>
            <w:r w:rsidRPr="00416D48">
              <w:rPr>
                <w:b/>
                <w:bCs/>
                <w:sz w:val="19"/>
                <w:szCs w:val="19"/>
              </w:rPr>
              <w:t xml:space="preserve">엘니뇨 이전 </w:t>
            </w:r>
          </w:p>
          <w:p w14:paraId="2575899F" w14:textId="77777777" w:rsidR="005E0E9B" w:rsidRPr="00416D48" w:rsidRDefault="006F2469">
            <w:pPr>
              <w:spacing w:before="20" w:after="20" w:line="276" w:lineRule="auto"/>
              <w:jc w:val="center"/>
            </w:pPr>
            <w:r w:rsidRPr="00416D48">
              <w:rPr>
                <w:b/>
                <w:bCs/>
                <w:sz w:val="19"/>
                <w:szCs w:val="19"/>
              </w:rPr>
              <w:t>('23.1~4월)</w:t>
            </w:r>
          </w:p>
        </w:tc>
        <w:tc>
          <w:tcPr>
            <w:tcW w:w="2208"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292D5A67" w14:textId="77777777" w:rsidR="00661FA2" w:rsidRPr="00416D48" w:rsidRDefault="006F2469">
            <w:pPr>
              <w:spacing w:before="20" w:after="20" w:line="276" w:lineRule="auto"/>
              <w:jc w:val="center"/>
              <w:rPr>
                <w:b/>
                <w:bCs/>
                <w:sz w:val="19"/>
                <w:szCs w:val="19"/>
              </w:rPr>
            </w:pPr>
            <w:r w:rsidRPr="00416D48">
              <w:rPr>
                <w:b/>
                <w:bCs/>
                <w:sz w:val="19"/>
                <w:szCs w:val="19"/>
              </w:rPr>
              <w:t>엘니뇨 초기</w:t>
            </w:r>
          </w:p>
          <w:p w14:paraId="4BF1D964" w14:textId="77777777" w:rsidR="005E0E9B" w:rsidRPr="00416D48" w:rsidRDefault="006F2469">
            <w:pPr>
              <w:spacing w:before="20" w:after="20" w:line="276" w:lineRule="auto"/>
              <w:jc w:val="center"/>
            </w:pPr>
            <w:r w:rsidRPr="00416D48">
              <w:rPr>
                <w:b/>
                <w:bCs/>
                <w:sz w:val="19"/>
                <w:szCs w:val="19"/>
              </w:rPr>
              <w:t xml:space="preserve"> ('23.5~10월)</w:t>
            </w:r>
          </w:p>
        </w:tc>
        <w:tc>
          <w:tcPr>
            <w:tcW w:w="221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182D9F1B" w14:textId="77777777" w:rsidR="00661FA2" w:rsidRPr="00416D48" w:rsidRDefault="006F2469">
            <w:pPr>
              <w:spacing w:before="20" w:after="20" w:line="276" w:lineRule="auto"/>
              <w:jc w:val="center"/>
              <w:rPr>
                <w:b/>
                <w:bCs/>
                <w:sz w:val="19"/>
                <w:szCs w:val="19"/>
              </w:rPr>
            </w:pPr>
            <w:r w:rsidRPr="00416D48">
              <w:rPr>
                <w:b/>
                <w:bCs/>
                <w:sz w:val="19"/>
                <w:szCs w:val="19"/>
              </w:rPr>
              <w:t xml:space="preserve">엘니뇨 심화 </w:t>
            </w:r>
          </w:p>
          <w:p w14:paraId="293D971E" w14:textId="77777777" w:rsidR="005E0E9B" w:rsidRPr="00416D48" w:rsidRDefault="006F2469">
            <w:pPr>
              <w:spacing w:before="20" w:after="20" w:line="276" w:lineRule="auto"/>
              <w:jc w:val="center"/>
            </w:pPr>
            <w:r w:rsidRPr="00416D48">
              <w:rPr>
                <w:b/>
                <w:bCs/>
                <w:sz w:val="19"/>
                <w:szCs w:val="19"/>
              </w:rPr>
              <w:t>('23.11~'24.3월)</w:t>
            </w:r>
          </w:p>
        </w:tc>
      </w:tr>
      <w:tr w:rsidR="005E0E9B" w14:paraId="3498349D" w14:textId="77777777">
        <w:tc>
          <w:tcPr>
            <w:tcW w:w="2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23DBACC" w14:textId="77777777" w:rsidR="005E0E9B" w:rsidRDefault="006F2469">
            <w:pPr>
              <w:spacing w:before="20" w:after="20" w:line="276" w:lineRule="auto"/>
            </w:pPr>
            <w:r>
              <w:rPr>
                <w:sz w:val="19"/>
                <w:szCs w:val="19"/>
              </w:rPr>
              <w:t>대기 선박 수</w:t>
            </w:r>
          </w:p>
        </w:tc>
        <w:tc>
          <w:tcPr>
            <w:tcW w:w="2208"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533E766" w14:textId="77777777" w:rsidR="005E0E9B" w:rsidRPr="00416D48" w:rsidRDefault="006F2469" w:rsidP="00661FA2">
            <w:pPr>
              <w:spacing w:before="20" w:after="20" w:line="276" w:lineRule="auto"/>
              <w:jc w:val="right"/>
            </w:pPr>
            <w:r w:rsidRPr="00416D48">
              <w:rPr>
                <w:sz w:val="19"/>
                <w:szCs w:val="19"/>
              </w:rPr>
              <w:t>13.3척</w:t>
            </w:r>
          </w:p>
        </w:tc>
        <w:tc>
          <w:tcPr>
            <w:tcW w:w="2208"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340EBE2" w14:textId="77777777" w:rsidR="005E0E9B" w:rsidRPr="00416D48" w:rsidRDefault="006F2469" w:rsidP="00661FA2">
            <w:pPr>
              <w:spacing w:before="20" w:after="20" w:line="276" w:lineRule="auto"/>
              <w:jc w:val="right"/>
            </w:pPr>
            <w:r w:rsidRPr="00416D48">
              <w:rPr>
                <w:sz w:val="19"/>
                <w:szCs w:val="19"/>
              </w:rPr>
              <w:t>12.4척</w:t>
            </w:r>
          </w:p>
        </w:tc>
        <w:tc>
          <w:tcPr>
            <w:tcW w:w="221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CA5ED94" w14:textId="77777777" w:rsidR="005E0E9B" w:rsidRPr="00416D48" w:rsidRDefault="006F2469" w:rsidP="00661FA2">
            <w:pPr>
              <w:spacing w:before="20" w:after="20" w:line="276" w:lineRule="auto"/>
              <w:jc w:val="right"/>
            </w:pPr>
            <w:r w:rsidRPr="00416D48">
              <w:rPr>
                <w:sz w:val="19"/>
                <w:szCs w:val="19"/>
              </w:rPr>
              <w:t>17.3척</w:t>
            </w:r>
          </w:p>
        </w:tc>
      </w:tr>
      <w:tr w:rsidR="005E0E9B" w14:paraId="46A8DE52" w14:textId="77777777">
        <w:tc>
          <w:tcPr>
            <w:tcW w:w="2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E274087" w14:textId="77777777" w:rsidR="005E0E9B" w:rsidRDefault="006F2469">
            <w:pPr>
              <w:spacing w:before="20" w:after="20" w:line="276" w:lineRule="auto"/>
            </w:pPr>
            <w:r>
              <w:rPr>
                <w:sz w:val="19"/>
                <w:szCs w:val="19"/>
              </w:rPr>
              <w:t>대기 시간</w:t>
            </w:r>
          </w:p>
        </w:tc>
        <w:tc>
          <w:tcPr>
            <w:tcW w:w="2208"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2E35E8C" w14:textId="77777777" w:rsidR="005E0E9B" w:rsidRPr="00416D48" w:rsidRDefault="006F2469" w:rsidP="00661FA2">
            <w:pPr>
              <w:spacing w:before="20" w:after="20" w:line="276" w:lineRule="auto"/>
              <w:jc w:val="right"/>
            </w:pPr>
            <w:r w:rsidRPr="00416D48">
              <w:rPr>
                <w:sz w:val="19"/>
                <w:szCs w:val="19"/>
              </w:rPr>
              <w:t>17.5시간</w:t>
            </w:r>
          </w:p>
        </w:tc>
        <w:tc>
          <w:tcPr>
            <w:tcW w:w="2208"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7AF0316" w14:textId="77777777" w:rsidR="005E0E9B" w:rsidRPr="00416D48" w:rsidRDefault="006F2469" w:rsidP="00661FA2">
            <w:pPr>
              <w:spacing w:before="20" w:after="20" w:line="276" w:lineRule="auto"/>
              <w:jc w:val="right"/>
            </w:pPr>
            <w:r w:rsidRPr="00416D48">
              <w:rPr>
                <w:sz w:val="19"/>
                <w:szCs w:val="19"/>
              </w:rPr>
              <w:t>17.1시간</w:t>
            </w:r>
          </w:p>
        </w:tc>
        <w:tc>
          <w:tcPr>
            <w:tcW w:w="221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0166838" w14:textId="77777777" w:rsidR="005E0E9B" w:rsidRPr="00416D48" w:rsidRDefault="006F2469" w:rsidP="00661FA2">
            <w:pPr>
              <w:spacing w:before="20" w:after="20" w:line="276" w:lineRule="auto"/>
              <w:jc w:val="right"/>
            </w:pPr>
            <w:commentRangeStart w:id="1"/>
            <w:r w:rsidRPr="00416D48">
              <w:rPr>
                <w:sz w:val="19"/>
                <w:szCs w:val="19"/>
              </w:rPr>
              <w:t>25.8시간</w:t>
            </w:r>
            <w:commentRangeEnd w:id="1"/>
            <w:r w:rsidR="00661FA2" w:rsidRPr="00416D48">
              <w:rPr>
                <w:rStyle w:val="aa"/>
              </w:rPr>
              <w:commentReference w:id="1"/>
            </w:r>
          </w:p>
        </w:tc>
      </w:tr>
    </w:tbl>
    <w:p w14:paraId="5765CF8C" w14:textId="77777777" w:rsidR="005E0E9B" w:rsidRDefault="006F2469">
      <w:pPr>
        <w:spacing w:before="80" w:after="120" w:line="290" w:lineRule="auto"/>
      </w:pPr>
      <w:r>
        <w:rPr>
          <w:color w:val="595959"/>
          <w:sz w:val="18"/>
          <w:szCs w:val="18"/>
        </w:rPr>
        <w:t>※ 엘니뇨 초기 대비 심화기 기준 대기 선박 수 +39.2%, 대기 시간 +51.0%</w:t>
      </w:r>
    </w:p>
    <w:p w14:paraId="77D80CF1" w14:textId="77777777" w:rsidR="005E0E9B" w:rsidRDefault="006F2469">
      <w:pPr>
        <w:spacing w:after="120" w:line="300" w:lineRule="auto"/>
      </w:pPr>
      <w:r>
        <w:t>흘수 제한, 통항 슬롯 부족, 비예약 선박 대기 등으로 운영상 병목이 확대되었습니다.</w:t>
      </w:r>
    </w:p>
    <w:p w14:paraId="367566A6" w14:textId="77777777" w:rsidR="00166EC2" w:rsidRDefault="00166EC2">
      <w:pPr>
        <w:spacing w:after="120" w:line="300" w:lineRule="auto"/>
      </w:pPr>
      <w:r>
        <w:rPr>
          <w:rFonts w:ascii="바탕체" w:eastAsia="바탕체" w:hAnsi="바탕체"/>
          <w:b/>
          <w:noProof/>
          <w:sz w:val="28"/>
          <w:szCs w:val="28"/>
        </w:rPr>
        <w:drawing>
          <wp:inline distT="0" distB="0" distL="0" distR="0" wp14:anchorId="37E4108F" wp14:editId="435C0967">
            <wp:extent cx="5486400" cy="1616451"/>
            <wp:effectExtent l="0" t="0" r="0" b="3175"/>
            <wp:docPr id="37" name="차트 37"/>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50EFB3C3" w14:textId="77777777" w:rsidR="00166EC2" w:rsidRDefault="00166EC2">
      <w:pPr>
        <w:pStyle w:val="2"/>
      </w:pPr>
    </w:p>
    <w:p w14:paraId="16D0284B" w14:textId="2B6F38EB" w:rsidR="005E0E9B" w:rsidRPr="00661FA2" w:rsidRDefault="006F2469">
      <w:pPr>
        <w:pStyle w:val="2"/>
        <w:rPr>
          <w:strike/>
          <w:color w:val="FF0000"/>
        </w:rPr>
      </w:pPr>
      <w:r>
        <w:t xml:space="preserve">3) 적재량 손실 </w:t>
      </w:r>
    </w:p>
    <w:p w14:paraId="4AA680AA" w14:textId="77777777" w:rsidR="005E0E9B" w:rsidRDefault="006F2469">
      <w:pPr>
        <w:spacing w:after="120" w:line="300" w:lineRule="auto"/>
      </w:pPr>
      <w:r>
        <w:t>가툰호수 수위 저하로 일일 통항량은 제한됐으나, 선종에 따라 영향이 다르게 나타났습니다.</w:t>
      </w:r>
    </w:p>
    <w:tbl>
      <w:tblPr>
        <w:tblW w:w="9026"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3826"/>
      </w:tblGrid>
      <w:tr w:rsidR="005E0E9B" w14:paraId="170B59B8" w14:textId="77777777">
        <w:trPr>
          <w:tblHeader/>
        </w:trPr>
        <w:tc>
          <w:tcPr>
            <w:tcW w:w="24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70A2D52B" w14:textId="77777777" w:rsidR="005E0E9B" w:rsidRDefault="006F2469">
            <w:pPr>
              <w:spacing w:before="20" w:after="20" w:line="276" w:lineRule="auto"/>
              <w:jc w:val="center"/>
            </w:pPr>
            <w:r>
              <w:rPr>
                <w:b/>
                <w:bCs/>
                <w:color w:val="1F3864"/>
                <w:sz w:val="19"/>
                <w:szCs w:val="19"/>
              </w:rPr>
              <w:lastRenderedPageBreak/>
              <w:t>선종</w:t>
            </w:r>
          </w:p>
        </w:tc>
        <w:tc>
          <w:tcPr>
            <w:tcW w:w="28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31D8C38A" w14:textId="77777777" w:rsidR="005E0E9B" w:rsidRDefault="006F2469">
            <w:pPr>
              <w:spacing w:before="20" w:after="20" w:line="276" w:lineRule="auto"/>
              <w:jc w:val="center"/>
            </w:pPr>
            <w:r>
              <w:rPr>
                <w:b/>
                <w:bCs/>
                <w:color w:val="1F3864"/>
                <w:sz w:val="19"/>
                <w:szCs w:val="19"/>
              </w:rPr>
              <w:t>통항량 변화</w:t>
            </w:r>
          </w:p>
        </w:tc>
        <w:tc>
          <w:tcPr>
            <w:tcW w:w="3826"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63D254C8" w14:textId="77777777" w:rsidR="005E0E9B" w:rsidRDefault="006F2469">
            <w:pPr>
              <w:spacing w:before="20" w:after="20" w:line="276" w:lineRule="auto"/>
              <w:jc w:val="center"/>
            </w:pPr>
            <w:r>
              <w:rPr>
                <w:b/>
                <w:bCs/>
                <w:color w:val="1F3864"/>
                <w:sz w:val="19"/>
                <w:szCs w:val="19"/>
              </w:rPr>
              <w:t>주요 영향</w:t>
            </w:r>
          </w:p>
        </w:tc>
      </w:tr>
      <w:tr w:rsidR="005E0E9B" w14:paraId="0E818C16" w14:textId="77777777">
        <w:tc>
          <w:tcPr>
            <w:tcW w:w="2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8DF89B5" w14:textId="77777777" w:rsidR="005E0E9B" w:rsidRDefault="006F2469">
            <w:pPr>
              <w:spacing w:before="20" w:after="20" w:line="276" w:lineRule="auto"/>
            </w:pPr>
            <w:r>
              <w:rPr>
                <w:sz w:val="19"/>
                <w:szCs w:val="19"/>
              </w:rPr>
              <w:t>컨테이너선</w:t>
            </w:r>
          </w:p>
        </w:tc>
        <w:tc>
          <w:tcPr>
            <w:tcW w:w="28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2B2B107" w14:textId="77777777" w:rsidR="005E0E9B" w:rsidRDefault="006F2469" w:rsidP="00661FA2">
            <w:pPr>
              <w:spacing w:before="20" w:after="20" w:line="276" w:lineRule="auto"/>
            </w:pPr>
            <w:r>
              <w:rPr>
                <w:sz w:val="19"/>
                <w:szCs w:val="19"/>
              </w:rPr>
              <w:t xml:space="preserve">일평균 약 </w:t>
            </w:r>
            <w:r w:rsidR="00661FA2" w:rsidRPr="00661FA2">
              <w:rPr>
                <w:color w:val="FF0000"/>
                <w:sz w:val="19"/>
                <w:szCs w:val="19"/>
              </w:rPr>
              <w:t>7</w:t>
            </w:r>
            <w:r>
              <w:rPr>
                <w:sz w:val="19"/>
                <w:szCs w:val="19"/>
              </w:rPr>
              <w:t>척 유지 (사전 슬롯 예약)</w:t>
            </w:r>
          </w:p>
        </w:tc>
        <w:tc>
          <w:tcPr>
            <w:tcW w:w="38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C3E564C" w14:textId="77777777" w:rsidR="005E0E9B" w:rsidRDefault="006F2469">
            <w:pPr>
              <w:spacing w:before="20" w:after="20" w:line="276" w:lineRule="auto"/>
            </w:pPr>
            <w:r>
              <w:rPr>
                <w:sz w:val="19"/>
                <w:szCs w:val="19"/>
              </w:rPr>
              <w:t>흘수 50→44ft 제한 시 15,000TEU급 최대 약 2,100TEU(-14%) 적재능력 감소</w:t>
            </w:r>
          </w:p>
        </w:tc>
      </w:tr>
    </w:tbl>
    <w:p w14:paraId="1AE7DFBE" w14:textId="77777777" w:rsidR="005E0E9B" w:rsidRDefault="006F2469">
      <w:pPr>
        <w:spacing w:before="100" w:after="120" w:line="300" w:lineRule="auto"/>
      </w:pPr>
      <w:r>
        <w:t>저수위 영향은 컨테이너선의 통항 횟수 감소보다 운항 유연성 저하, 슬롯 확보 부담 등 비용 증가와 실질 적재능력 감소로 나타났습니다. 일반적으로 적재능력 손실폭은 흘수 제한 구간·선형·항로 등 변동 요인에 따라 달라집니다.</w:t>
      </w:r>
    </w:p>
    <w:p w14:paraId="4C7F34E5" w14:textId="77777777" w:rsidR="00166EC2" w:rsidRDefault="00166EC2">
      <w:pPr>
        <w:pStyle w:val="2"/>
      </w:pPr>
    </w:p>
    <w:p w14:paraId="471D09DC" w14:textId="77777777" w:rsidR="005E0E9B" w:rsidRDefault="006F2469">
      <w:pPr>
        <w:pStyle w:val="2"/>
      </w:pPr>
      <w:r>
        <w:t>4) 할증료 부과</w:t>
      </w:r>
    </w:p>
    <w:p w14:paraId="40102080" w14:textId="77777777" w:rsidR="005E0E9B" w:rsidRDefault="006F2469">
      <w:pPr>
        <w:spacing w:after="120" w:line="300" w:lineRule="auto"/>
      </w:pPr>
      <w:r>
        <w:t>'23년 하반기부터 선사들은 Canal Surcharge, Low Water Surcharge, Drought Surcharge 등 파나마 운하 저수위에 따른 할증료를 부과하기 시작했습니다.</w:t>
      </w:r>
    </w:p>
    <w:tbl>
      <w:tblPr>
        <w:tblW w:w="9026"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5E0E9B" w14:paraId="3BBFBFC5" w14:textId="77777777">
        <w:trPr>
          <w:tblHeader/>
        </w:trPr>
        <w:tc>
          <w:tcPr>
            <w:tcW w:w="4513"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45BBB7B3" w14:textId="77777777" w:rsidR="005E0E9B" w:rsidRDefault="006F2469">
            <w:pPr>
              <w:spacing w:before="20" w:after="20" w:line="276" w:lineRule="auto"/>
              <w:jc w:val="center"/>
            </w:pPr>
            <w:r>
              <w:rPr>
                <w:b/>
                <w:bCs/>
                <w:color w:val="1F3864"/>
                <w:sz w:val="19"/>
                <w:szCs w:val="19"/>
              </w:rPr>
              <w:t>선사</w:t>
            </w:r>
          </w:p>
        </w:tc>
        <w:tc>
          <w:tcPr>
            <w:tcW w:w="4513"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4D8328C4" w14:textId="77777777" w:rsidR="005E0E9B" w:rsidRDefault="006F2469">
            <w:pPr>
              <w:spacing w:before="20" w:after="20" w:line="276" w:lineRule="auto"/>
              <w:jc w:val="center"/>
            </w:pPr>
            <w:r>
              <w:rPr>
                <w:b/>
                <w:bCs/>
                <w:color w:val="1F3864"/>
                <w:sz w:val="19"/>
                <w:szCs w:val="19"/>
              </w:rPr>
              <w:t>TEU당 할증료 (부과 당시 기준)</w:t>
            </w:r>
          </w:p>
        </w:tc>
      </w:tr>
      <w:tr w:rsidR="005E0E9B" w14:paraId="37BC455E" w14:textId="77777777">
        <w:tc>
          <w:tcPr>
            <w:tcW w:w="451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62CB6DE" w14:textId="77777777" w:rsidR="005E0E9B" w:rsidRDefault="006F2469">
            <w:pPr>
              <w:spacing w:before="20" w:after="20" w:line="276" w:lineRule="auto"/>
            </w:pPr>
            <w:r>
              <w:rPr>
                <w:sz w:val="19"/>
                <w:szCs w:val="19"/>
              </w:rPr>
              <w:t>Maersk</w:t>
            </w:r>
          </w:p>
        </w:tc>
        <w:tc>
          <w:tcPr>
            <w:tcW w:w="451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C70355F" w14:textId="77777777" w:rsidR="005E0E9B" w:rsidRDefault="006F2469">
            <w:pPr>
              <w:spacing w:before="20" w:after="20" w:line="276" w:lineRule="auto"/>
            </w:pPr>
            <w:r>
              <w:rPr>
                <w:sz w:val="19"/>
                <w:szCs w:val="19"/>
              </w:rPr>
              <w:t>$175</w:t>
            </w:r>
          </w:p>
        </w:tc>
      </w:tr>
      <w:tr w:rsidR="005E0E9B" w14:paraId="30BC0FB2" w14:textId="77777777">
        <w:tc>
          <w:tcPr>
            <w:tcW w:w="451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CBE0868" w14:textId="77777777" w:rsidR="005E0E9B" w:rsidRDefault="006F2469">
            <w:pPr>
              <w:spacing w:before="20" w:after="20" w:line="276" w:lineRule="auto"/>
            </w:pPr>
            <w:r>
              <w:rPr>
                <w:sz w:val="19"/>
                <w:szCs w:val="19"/>
              </w:rPr>
              <w:t>CMA CGM</w:t>
            </w:r>
          </w:p>
        </w:tc>
        <w:tc>
          <w:tcPr>
            <w:tcW w:w="451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1554EC8" w14:textId="77777777" w:rsidR="005E0E9B" w:rsidRDefault="006F2469">
            <w:pPr>
              <w:spacing w:before="20" w:after="20" w:line="276" w:lineRule="auto"/>
            </w:pPr>
            <w:r>
              <w:rPr>
                <w:sz w:val="19"/>
                <w:szCs w:val="19"/>
              </w:rPr>
              <w:t>$150</w:t>
            </w:r>
          </w:p>
        </w:tc>
      </w:tr>
      <w:tr w:rsidR="005E0E9B" w14:paraId="5A7E8AF7" w14:textId="77777777">
        <w:tc>
          <w:tcPr>
            <w:tcW w:w="451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9B2EC9E" w14:textId="77777777" w:rsidR="005E0E9B" w:rsidRDefault="006F2469">
            <w:pPr>
              <w:spacing w:before="20" w:after="20" w:line="276" w:lineRule="auto"/>
            </w:pPr>
            <w:r>
              <w:rPr>
                <w:sz w:val="19"/>
                <w:szCs w:val="19"/>
              </w:rPr>
              <w:t>Hapag-Lloyd</w:t>
            </w:r>
          </w:p>
        </w:tc>
        <w:tc>
          <w:tcPr>
            <w:tcW w:w="451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02C31C8" w14:textId="77777777" w:rsidR="005E0E9B" w:rsidRDefault="006F2469">
            <w:pPr>
              <w:spacing w:before="20" w:after="20" w:line="276" w:lineRule="auto"/>
            </w:pPr>
            <w:r>
              <w:rPr>
                <w:sz w:val="19"/>
                <w:szCs w:val="19"/>
              </w:rPr>
              <w:t>$130</w:t>
            </w:r>
          </w:p>
        </w:tc>
      </w:tr>
      <w:tr w:rsidR="005E0E9B" w14:paraId="6940B985" w14:textId="77777777">
        <w:tc>
          <w:tcPr>
            <w:tcW w:w="451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3A6003E" w14:textId="77777777" w:rsidR="005E0E9B" w:rsidRDefault="006F2469">
            <w:pPr>
              <w:spacing w:before="20" w:after="20" w:line="276" w:lineRule="auto"/>
            </w:pPr>
            <w:r>
              <w:rPr>
                <w:sz w:val="19"/>
                <w:szCs w:val="19"/>
              </w:rPr>
              <w:t>Cosco</w:t>
            </w:r>
          </w:p>
        </w:tc>
        <w:tc>
          <w:tcPr>
            <w:tcW w:w="451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264348C" w14:textId="77777777" w:rsidR="005E0E9B" w:rsidRDefault="006F2469">
            <w:pPr>
              <w:spacing w:before="20" w:after="20" w:line="276" w:lineRule="auto"/>
            </w:pPr>
            <w:r>
              <w:rPr>
                <w:sz w:val="19"/>
                <w:szCs w:val="19"/>
              </w:rPr>
              <w:t>$255</w:t>
            </w:r>
          </w:p>
        </w:tc>
      </w:tr>
    </w:tbl>
    <w:p w14:paraId="731A1B46" w14:textId="77777777" w:rsidR="005E0E9B" w:rsidRDefault="006F2469">
      <w:pPr>
        <w:spacing w:before="80" w:after="120" w:line="290" w:lineRule="auto"/>
      </w:pPr>
      <w:r>
        <w:rPr>
          <w:color w:val="595959"/>
          <w:sz w:val="18"/>
          <w:szCs w:val="18"/>
        </w:rPr>
        <w:t>※ 명칭·금액·적용 시점은 운하 수위·항로·시황 등 변동 요인에 따라 다를 수 있습니다.</w:t>
      </w:r>
    </w:p>
    <w:p w14:paraId="4B954537" w14:textId="77777777" w:rsidR="005E0E9B" w:rsidRDefault="006F2469">
      <w:pPr>
        <w:spacing w:after="120" w:line="300" w:lineRule="auto"/>
      </w:pPr>
      <w:r>
        <w:t xml:space="preserve">파나마 운하의 저수위 영향이 단순 통항 지연을 넘어 추가 선복/항차 운영, 슬롯 확보 비용 등 </w:t>
      </w:r>
      <w:r>
        <w:rPr>
          <w:b/>
          <w:bCs/>
        </w:rPr>
        <w:t>선사의 운영비용 증가를 할증료 형태로 화주에게 전가</w:t>
      </w:r>
      <w:r>
        <w:t>하며 운임 상승 압력으로 작용했습니다.</w:t>
      </w:r>
    </w:p>
    <w:p w14:paraId="388D2154" w14:textId="77777777" w:rsidR="005E0E9B" w:rsidRPr="00166EC2" w:rsidRDefault="005E0E9B">
      <w:pPr>
        <w:spacing w:after="80"/>
      </w:pPr>
    </w:p>
    <w:p w14:paraId="19445EE5" w14:textId="77777777" w:rsidR="005E0E9B" w:rsidRDefault="006F2469">
      <w:pPr>
        <w:pStyle w:val="1"/>
      </w:pPr>
      <w:r>
        <w:t>향후 전망</w:t>
      </w:r>
    </w:p>
    <w:tbl>
      <w:tblPr>
        <w:tblW w:w="9026"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8"/>
        <w:gridCol w:w="2410"/>
        <w:gridCol w:w="4058"/>
      </w:tblGrid>
      <w:tr w:rsidR="005E0E9B" w14:paraId="2ACED4DA" w14:textId="77777777" w:rsidTr="00661FA2">
        <w:trPr>
          <w:tblHeader/>
        </w:trPr>
        <w:tc>
          <w:tcPr>
            <w:tcW w:w="2558"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6EF946B0" w14:textId="77777777" w:rsidR="005E0E9B" w:rsidRDefault="006F2469">
            <w:pPr>
              <w:spacing w:before="20" w:after="20" w:line="276" w:lineRule="auto"/>
              <w:jc w:val="center"/>
            </w:pPr>
            <w:r>
              <w:rPr>
                <w:b/>
                <w:bCs/>
                <w:color w:val="1F3864"/>
                <w:sz w:val="19"/>
                <w:szCs w:val="19"/>
              </w:rPr>
              <w:t>핵심 변수</w:t>
            </w:r>
          </w:p>
        </w:tc>
        <w:tc>
          <w:tcPr>
            <w:tcW w:w="241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6C19C36C" w14:textId="77777777" w:rsidR="005E0E9B" w:rsidRDefault="006F2469">
            <w:pPr>
              <w:spacing w:before="20" w:after="20" w:line="276" w:lineRule="auto"/>
              <w:jc w:val="center"/>
            </w:pPr>
            <w:r>
              <w:rPr>
                <w:b/>
                <w:bCs/>
                <w:color w:val="1F3864"/>
                <w:sz w:val="19"/>
                <w:szCs w:val="19"/>
              </w:rPr>
              <w:t>시점</w:t>
            </w:r>
          </w:p>
        </w:tc>
        <w:tc>
          <w:tcPr>
            <w:tcW w:w="4058"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336AFF3F" w14:textId="77777777" w:rsidR="005E0E9B" w:rsidRDefault="006F2469">
            <w:pPr>
              <w:spacing w:before="20" w:after="20" w:line="276" w:lineRule="auto"/>
              <w:jc w:val="center"/>
            </w:pPr>
            <w:r>
              <w:rPr>
                <w:b/>
                <w:bCs/>
                <w:color w:val="1F3864"/>
                <w:sz w:val="19"/>
                <w:szCs w:val="19"/>
              </w:rPr>
              <w:t>영향</w:t>
            </w:r>
          </w:p>
        </w:tc>
      </w:tr>
      <w:tr w:rsidR="005E0E9B" w14:paraId="4092EB0B" w14:textId="77777777" w:rsidTr="00661FA2">
        <w:tc>
          <w:tcPr>
            <w:tcW w:w="2558"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BC8752D" w14:textId="77777777" w:rsidR="005E0E9B" w:rsidRDefault="006F2469">
            <w:pPr>
              <w:spacing w:before="20" w:after="20" w:line="276" w:lineRule="auto"/>
            </w:pPr>
            <w:r>
              <w:rPr>
                <w:sz w:val="19"/>
                <w:szCs w:val="19"/>
              </w:rPr>
              <w:t>엘니뇨 지속 가능성</w:t>
            </w:r>
          </w:p>
        </w:tc>
        <w:tc>
          <w:tcPr>
            <w:tcW w:w="241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4443237" w14:textId="77777777" w:rsidR="005E0E9B" w:rsidRDefault="006F2469">
            <w:pPr>
              <w:spacing w:before="20" w:after="20" w:line="276" w:lineRule="auto"/>
            </w:pPr>
            <w:r>
              <w:rPr>
                <w:sz w:val="19"/>
                <w:szCs w:val="19"/>
              </w:rPr>
              <w:t>올해 여름~내년 초</w:t>
            </w:r>
          </w:p>
        </w:tc>
        <w:tc>
          <w:tcPr>
            <w:tcW w:w="4058"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7472CEA" w14:textId="77777777" w:rsidR="005E0E9B" w:rsidRDefault="006F2469">
            <w:pPr>
              <w:spacing w:before="20" w:after="20" w:line="276" w:lineRule="auto"/>
            </w:pPr>
            <w:r>
              <w:rPr>
                <w:sz w:val="19"/>
                <w:szCs w:val="19"/>
              </w:rPr>
              <w:t>슈퍼 엘니뇨 발전 가능성 배제 못함</w:t>
            </w:r>
          </w:p>
        </w:tc>
      </w:tr>
      <w:tr w:rsidR="005E0E9B" w14:paraId="05F33187" w14:textId="77777777" w:rsidTr="00661FA2">
        <w:tc>
          <w:tcPr>
            <w:tcW w:w="2558"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F4FDD43" w14:textId="77777777" w:rsidR="005E0E9B" w:rsidRDefault="006F2469">
            <w:pPr>
              <w:spacing w:before="20" w:after="20" w:line="276" w:lineRule="auto"/>
            </w:pPr>
            <w:r>
              <w:rPr>
                <w:sz w:val="19"/>
                <w:szCs w:val="19"/>
              </w:rPr>
              <w:t>흘수·통항 제한 압박</w:t>
            </w:r>
          </w:p>
        </w:tc>
        <w:tc>
          <w:tcPr>
            <w:tcW w:w="241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5E82C22" w14:textId="77777777" w:rsidR="005E0E9B" w:rsidRDefault="006F2469">
            <w:pPr>
              <w:spacing w:before="20" w:after="20" w:line="276" w:lineRule="auto"/>
            </w:pPr>
            <w:r>
              <w:rPr>
                <w:sz w:val="19"/>
                <w:szCs w:val="19"/>
              </w:rPr>
              <w:t>올해 연말~내년 초</w:t>
            </w:r>
          </w:p>
        </w:tc>
        <w:tc>
          <w:tcPr>
            <w:tcW w:w="4058"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6F1D132" w14:textId="77777777" w:rsidR="005E0E9B" w:rsidRDefault="006F2469">
            <w:pPr>
              <w:spacing w:before="20" w:after="20" w:line="276" w:lineRule="auto"/>
            </w:pPr>
            <w:r>
              <w:rPr>
                <w:sz w:val="19"/>
                <w:szCs w:val="19"/>
              </w:rPr>
              <w:t>건기 전환기 본격화로 압박 심화 예상</w:t>
            </w:r>
          </w:p>
        </w:tc>
      </w:tr>
      <w:tr w:rsidR="005E0E9B" w14:paraId="59F84F93" w14:textId="77777777" w:rsidTr="00661FA2">
        <w:tc>
          <w:tcPr>
            <w:tcW w:w="2558"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DBFAAA9" w14:textId="77777777" w:rsidR="005E0E9B" w:rsidRDefault="006F2469">
            <w:pPr>
              <w:spacing w:before="20" w:after="20" w:line="276" w:lineRule="auto"/>
            </w:pPr>
            <w:r>
              <w:rPr>
                <w:sz w:val="19"/>
                <w:szCs w:val="19"/>
              </w:rPr>
              <w:t>PCA 통항 정책</w:t>
            </w:r>
          </w:p>
        </w:tc>
        <w:tc>
          <w:tcPr>
            <w:tcW w:w="241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D02EC17" w14:textId="77777777" w:rsidR="005E0E9B" w:rsidRDefault="006F2469">
            <w:pPr>
              <w:spacing w:before="20" w:after="20" w:line="276" w:lineRule="auto"/>
            </w:pPr>
            <w:r>
              <w:rPr>
                <w:sz w:val="19"/>
                <w:szCs w:val="19"/>
              </w:rPr>
              <w:t>연내 유지 (일 38척)</w:t>
            </w:r>
          </w:p>
        </w:tc>
        <w:tc>
          <w:tcPr>
            <w:tcW w:w="4058"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427E7E7" w14:textId="77777777" w:rsidR="005E0E9B" w:rsidRDefault="006F2469">
            <w:pPr>
              <w:spacing w:before="20" w:after="20" w:line="276" w:lineRule="auto"/>
            </w:pPr>
            <w:r>
              <w:rPr>
                <w:sz w:val="19"/>
                <w:szCs w:val="19"/>
              </w:rPr>
              <w:t>강한 슈퍼 엘니뇨 시 운영 제한 재발 가능</w:t>
            </w:r>
          </w:p>
        </w:tc>
      </w:tr>
    </w:tbl>
    <w:p w14:paraId="26119F42" w14:textId="77777777" w:rsidR="005E0E9B" w:rsidRDefault="005E0E9B">
      <w:pPr>
        <w:spacing w:after="80"/>
      </w:pPr>
    </w:p>
    <w:p w14:paraId="0D176D30" w14:textId="77777777" w:rsidR="005E0E9B" w:rsidRDefault="006F2469">
      <w:pPr>
        <w:pStyle w:val="a4"/>
        <w:numPr>
          <w:ilvl w:val="0"/>
          <w:numId w:val="2"/>
        </w:numPr>
        <w:spacing w:after="120" w:line="300" w:lineRule="auto"/>
      </w:pPr>
      <w:r>
        <w:lastRenderedPageBreak/>
        <w:t xml:space="preserve">주요 기상기관은 </w:t>
      </w:r>
      <w:r>
        <w:rPr>
          <w:b/>
          <w:bCs/>
        </w:rPr>
        <w:t>올해 여름~내년 초까지 엘니뇨가 지속</w:t>
      </w:r>
      <w:r>
        <w:t>될 가능성이 높으며, 슈퍼 엘니뇨로 발전할 가능성도 배제할 수 없다고 전망합니다.</w:t>
      </w:r>
    </w:p>
    <w:p w14:paraId="56C4857B" w14:textId="77777777" w:rsidR="005E0E9B" w:rsidRDefault="006F2469">
      <w:pPr>
        <w:pStyle w:val="a4"/>
        <w:numPr>
          <w:ilvl w:val="0"/>
          <w:numId w:val="2"/>
        </w:numPr>
        <w:spacing w:after="120" w:line="300" w:lineRule="auto"/>
      </w:pPr>
      <w:r>
        <w:t xml:space="preserve">'23년 사례를 보면 엘니뇨 영향은 초기보다 강수 부족 누적 및 건기 전환기에 본격화되어 </w:t>
      </w:r>
      <w:r>
        <w:rPr>
          <w:b/>
          <w:bCs/>
        </w:rPr>
        <w:t>올해 연말~내년 초에 흘수 제한과 일일 통항량 축소로 인한 압박이 심화될 것으로 예상</w:t>
      </w:r>
      <w:r>
        <w:t>됩니다.</w:t>
      </w:r>
    </w:p>
    <w:p w14:paraId="4C419E9E" w14:textId="77777777" w:rsidR="005E0E9B" w:rsidRDefault="006F2469">
      <w:pPr>
        <w:pStyle w:val="a4"/>
        <w:numPr>
          <w:ilvl w:val="0"/>
          <w:numId w:val="2"/>
        </w:numPr>
        <w:spacing w:after="120" w:line="300" w:lineRule="auto"/>
      </w:pPr>
      <w:r>
        <w:t xml:space="preserve">현재 통항량은 호르무즈 해협 봉쇄로 인한 미주발 에너지 수요 증가로 늘어난 것이며, 파나마 운하청은 일 38척 통항을 유지하고 연내 제한 계획은 없다고 밝혔으나, </w:t>
      </w:r>
      <w:r>
        <w:rPr>
          <w:b/>
          <w:bCs/>
        </w:rPr>
        <w:t>강한 슈퍼 엘니뇨 발생 시 운영 제한 재발 가능성이 존재</w:t>
      </w:r>
      <w:r>
        <w:t>합니다.</w:t>
      </w:r>
    </w:p>
    <w:p w14:paraId="0C6EF290" w14:textId="77777777" w:rsidR="005E0E9B" w:rsidRDefault="006F2469">
      <w:pPr>
        <w:pStyle w:val="a4"/>
        <w:numPr>
          <w:ilvl w:val="0"/>
          <w:numId w:val="2"/>
        </w:numPr>
        <w:spacing w:after="120" w:line="300" w:lineRule="auto"/>
      </w:pPr>
      <w:r>
        <w:t xml:space="preserve">가툰호수 수위, 강수량, 일일 통항량, 선사 할증료 변화 등을 지속 모니터링하고, </w:t>
      </w:r>
      <w:r>
        <w:rPr>
          <w:b/>
          <w:bCs/>
        </w:rPr>
        <w:t>통항 제한에 대비한 사전 대응 계획 수립이 필요</w:t>
      </w:r>
      <w:r>
        <w:t>합니다.</w:t>
      </w:r>
    </w:p>
    <w:p w14:paraId="175C25A7" w14:textId="77777777" w:rsidR="005E0E9B" w:rsidRDefault="005E0E9B">
      <w:pPr>
        <w:spacing w:after="80"/>
      </w:pPr>
    </w:p>
    <w:p w14:paraId="451D3901" w14:textId="77777777" w:rsidR="006E22E9" w:rsidRDefault="006E22E9" w:rsidP="006E22E9">
      <w:pPr>
        <w:pStyle w:val="1"/>
      </w:pPr>
      <w:r>
        <w:t>자주 묻는 질문</w:t>
      </w:r>
    </w:p>
    <w:p w14:paraId="0D20C431" w14:textId="77777777" w:rsidR="006E22E9" w:rsidRDefault="006E22E9" w:rsidP="006E22E9">
      <w:pPr>
        <w:spacing w:before="160" w:after="40" w:line="300" w:lineRule="auto"/>
      </w:pPr>
      <w:r>
        <w:rPr>
          <w:b/>
          <w:bCs/>
          <w:color w:val="1F3864"/>
        </w:rPr>
        <w:t>Q. 파나마 운하 통항 제한은 엘니뇨 발생 직후 바로 시작되나요?</w:t>
      </w:r>
    </w:p>
    <w:p w14:paraId="3D1343B3" w14:textId="77777777" w:rsidR="006E22E9" w:rsidRDefault="006E22E9" w:rsidP="006E22E9">
      <w:pPr>
        <w:spacing w:after="80" w:line="300" w:lineRule="auto"/>
      </w:pPr>
      <w:r>
        <w:rPr>
          <w:b/>
          <w:bCs/>
        </w:rPr>
        <w:t xml:space="preserve">A. </w:t>
      </w:r>
      <w:r>
        <w:t>아닙니다. 통항 제한은 엘니뇨 발생 직후가 아니라 저수위가 누적된 '23년 11월부터 본격화됐습니다. 엘니뇨 초기('23.5~10월)에는 대기 선박 수·대기 시간이 이전과 유사한 수준이었고, 강수 부족이 누적되는 건기 전환기에 흘수·통항 제한이 강해지는 경향이 있습니다.</w:t>
      </w:r>
    </w:p>
    <w:p w14:paraId="2718F0D6" w14:textId="77777777" w:rsidR="006E22E9" w:rsidRDefault="006E22E9" w:rsidP="006E22E9">
      <w:pPr>
        <w:spacing w:before="160" w:after="40" w:line="300" w:lineRule="auto"/>
      </w:pPr>
      <w:r>
        <w:rPr>
          <w:b/>
          <w:bCs/>
          <w:color w:val="1F3864"/>
        </w:rPr>
        <w:t>Q. 흘수 50→44ft 제한 시 컨테이너선 적재능력은 얼마나 줄어드나요?</w:t>
      </w:r>
    </w:p>
    <w:p w14:paraId="02DC0E2C" w14:textId="77777777" w:rsidR="006E22E9" w:rsidRDefault="006E22E9" w:rsidP="006E22E9">
      <w:pPr>
        <w:spacing w:after="80" w:line="300" w:lineRule="auto"/>
      </w:pPr>
      <w:r>
        <w:rPr>
          <w:b/>
          <w:bCs/>
        </w:rPr>
        <w:t xml:space="preserve">A. </w:t>
      </w:r>
      <w:r>
        <w:t>흘수가 50ft에서 44ft로 제한되면 15,000TEU급 컨테이너선 기준 최대 약 2,100TEU(약 -14%)의 적재능력이 감소할 수 있습니다. 실제 손실폭은 흘수 제한 구간·선형·항로 등 변동 요인에 따라 달라집니다.</w:t>
      </w:r>
    </w:p>
    <w:p w14:paraId="4F186BF3" w14:textId="77777777" w:rsidR="006E22E9" w:rsidRDefault="006E22E9" w:rsidP="006E22E9">
      <w:pPr>
        <w:spacing w:before="160" w:after="40" w:line="300" w:lineRule="auto"/>
      </w:pPr>
      <w:r>
        <w:rPr>
          <w:b/>
          <w:bCs/>
          <w:color w:val="1F3864"/>
        </w:rPr>
        <w:t>Q. 컨테이너 운임 상승, 통항 척수가 유지되는데도 발생하는 이유는?</w:t>
      </w:r>
    </w:p>
    <w:p w14:paraId="76F22B6F" w14:textId="77777777" w:rsidR="006E22E9" w:rsidRDefault="006E22E9" w:rsidP="006E22E9">
      <w:pPr>
        <w:spacing w:after="80" w:line="300" w:lineRule="auto"/>
      </w:pPr>
      <w:r>
        <w:rPr>
          <w:b/>
          <w:bCs/>
        </w:rPr>
        <w:t xml:space="preserve">A. </w:t>
      </w:r>
      <w:r>
        <w:t>통항 척수가 유지돼도 운임 상승 압력이 생기는 이유는 최대 약 -14%의 실질 적재능력 감소와 선사들의 저수위 할증료(Surcharge) 부과 때문입니다. 컨테이너선은 사전 슬롯 예약으로 일평균 약 4척의 통항을 유지했으나, 운항 유연성 저하·슬롯 확보 부담 등 운영비 증가가 Canal·Low Water·Drought Surcharge 형태로 화주에게 전가됐습니다.</w:t>
      </w:r>
    </w:p>
    <w:p w14:paraId="43793038" w14:textId="77777777" w:rsidR="006E22E9" w:rsidRDefault="006E22E9" w:rsidP="006E22E9">
      <w:pPr>
        <w:spacing w:before="160" w:after="40" w:line="300" w:lineRule="auto"/>
      </w:pPr>
      <w:r>
        <w:rPr>
          <w:b/>
          <w:bCs/>
          <w:color w:val="1F3864"/>
        </w:rPr>
        <w:t>Q. 파나마 운하 통항량이 지금 늘었는데도 통항 제한에 대비해야 하나요?</w:t>
      </w:r>
    </w:p>
    <w:p w14:paraId="1B3BA797" w14:textId="77777777" w:rsidR="006E22E9" w:rsidRDefault="006E22E9" w:rsidP="006E22E9">
      <w:pPr>
        <w:spacing w:after="80" w:line="300" w:lineRule="auto"/>
      </w:pPr>
      <w:r>
        <w:rPr>
          <w:b/>
          <w:bCs/>
        </w:rPr>
        <w:t xml:space="preserve">A. </w:t>
      </w:r>
      <w:r>
        <w:t xml:space="preserve">네, 대비가 필요합니다. 현재 통항량 증가는 호르무즈 해협 봉쇄에 따른 미주발 에너지 수요 </w:t>
      </w:r>
      <w:r>
        <w:lastRenderedPageBreak/>
        <w:t>증가가 주요 원인일 뿐, 엘니뇨 리스크가 해소된 것은 아닙니다. 파나마 운하청은 연내 일 38척 통항 유지 방침이며 제한 계획이 없다고 밝혔으나, 강한 슈퍼 엘니뇨 발생 시 운영 제한이 재발할 가능성이 있습니다.</w:t>
      </w:r>
    </w:p>
    <w:p w14:paraId="5A991E20" w14:textId="77777777" w:rsidR="006E22E9" w:rsidRDefault="006E22E9" w:rsidP="006E22E9">
      <w:pPr>
        <w:spacing w:before="160" w:after="40" w:line="300" w:lineRule="auto"/>
      </w:pPr>
      <w:r>
        <w:rPr>
          <w:b/>
          <w:bCs/>
          <w:color w:val="1F3864"/>
        </w:rPr>
        <w:t>Q. 파나마 운하 통항 리스크 대응, Cello Square는 어떻게 지원하나요?</w:t>
      </w:r>
    </w:p>
    <w:p w14:paraId="3F259C66" w14:textId="77777777" w:rsidR="006E22E9" w:rsidRDefault="006E22E9" w:rsidP="006E22E9">
      <w:pPr>
        <w:spacing w:after="80" w:line="300" w:lineRule="auto"/>
      </w:pPr>
      <w:r>
        <w:rPr>
          <w:b/>
          <w:bCs/>
        </w:rPr>
        <w:t xml:space="preserve">A. </w:t>
      </w:r>
      <w:r>
        <w:t>Cello Square는 삼성SDS가 운영하는 디지털 통합 물류 플랫폼으로, 항로별 총비용(Total Cost) 비교와 실시간 견적을 통해 운하 제한·할증료 변동에 따른 최적 경로 의사결정을 지원합니다. 글로벌 거점 네트워크를 기반으로 가툰호수 수위·통항량 변화에 따른 대체 항로 시나리오를 비교하고 슬롯 확보·납기 관리까지 통합 검토할 수 있습니다.</w:t>
      </w:r>
    </w:p>
    <w:p w14:paraId="20EDC8AD" w14:textId="77777777" w:rsidR="006E22E9" w:rsidRDefault="006E22E9" w:rsidP="006E22E9">
      <w:pPr>
        <w:spacing w:after="80" w:line="300" w:lineRule="auto"/>
      </w:pPr>
    </w:p>
    <w:p w14:paraId="5D386399" w14:textId="77777777" w:rsidR="006E22E9" w:rsidRDefault="006E22E9" w:rsidP="006E22E9">
      <w:pPr>
        <w:pStyle w:val="2"/>
      </w:pPr>
      <w:r>
        <w:t>📎 참고 자료</w:t>
      </w:r>
    </w:p>
    <w:p w14:paraId="5751BAC0" w14:textId="77777777" w:rsidR="006E22E9" w:rsidRDefault="006E22E9" w:rsidP="006E22E9">
      <w:pPr>
        <w:pStyle w:val="a4"/>
        <w:numPr>
          <w:ilvl w:val="0"/>
          <w:numId w:val="3"/>
        </w:numPr>
        <w:spacing w:after="120" w:line="300" w:lineRule="auto"/>
      </w:pPr>
      <w:r>
        <w:t>NOAA (National Oceanic and Atmospheric Administration) — El Niño / ONI Outlook</w:t>
      </w:r>
    </w:p>
    <w:p w14:paraId="75762D3E" w14:textId="77777777" w:rsidR="006E22E9" w:rsidRDefault="006E22E9" w:rsidP="006E22E9">
      <w:pPr>
        <w:pStyle w:val="a4"/>
        <w:numPr>
          <w:ilvl w:val="0"/>
          <w:numId w:val="3"/>
        </w:numPr>
        <w:spacing w:after="120" w:line="300" w:lineRule="auto"/>
      </w:pPr>
      <w:r>
        <w:t>WMO (World Meteorological Organization) — 엘니뇨 발생 및 중미·남미 기후 전망</w:t>
      </w:r>
    </w:p>
    <w:p w14:paraId="51B28707" w14:textId="77777777" w:rsidR="006E22E9" w:rsidRDefault="006E22E9" w:rsidP="006E22E9">
      <w:pPr>
        <w:pStyle w:val="a4"/>
        <w:numPr>
          <w:ilvl w:val="0"/>
          <w:numId w:val="3"/>
        </w:numPr>
        <w:spacing w:after="120" w:line="300" w:lineRule="auto"/>
      </w:pPr>
      <w:r>
        <w:t>파나마 운하청(PCA) — 흘수·통항 제한 및 통항 정책 발표</w:t>
      </w:r>
    </w:p>
    <w:p w14:paraId="48F2F9C6" w14:textId="77777777" w:rsidR="006E22E9" w:rsidRDefault="006E22E9" w:rsidP="006E22E9">
      <w:pPr>
        <w:pStyle w:val="a4"/>
        <w:numPr>
          <w:ilvl w:val="0"/>
          <w:numId w:val="3"/>
        </w:numPr>
        <w:spacing w:after="120" w:line="300" w:lineRule="auto"/>
      </w:pPr>
      <w:r>
        <w:t>선사 공지 — Maersk · CMA CGM · Hapag-Lloyd · Cosco 저수위 관련 할증료</w:t>
      </w:r>
    </w:p>
    <w:p w14:paraId="2C64FFCA" w14:textId="77777777" w:rsidR="006E22E9" w:rsidRDefault="006E22E9" w:rsidP="006E22E9">
      <w:pPr>
        <w:pStyle w:val="a4"/>
        <w:numPr>
          <w:ilvl w:val="0"/>
          <w:numId w:val="3"/>
        </w:numPr>
        <w:spacing w:after="120" w:line="300" w:lineRule="auto"/>
      </w:pPr>
      <w:r>
        <w:t>삼성SDS 물류MI 내부 분석 자료 (2026.05.29)</w:t>
      </w:r>
    </w:p>
    <w:p w14:paraId="39B5C093" w14:textId="77777777" w:rsidR="006E22E9" w:rsidRDefault="006E22E9" w:rsidP="006E22E9">
      <w:pPr>
        <w:spacing w:after="80"/>
      </w:pPr>
    </w:p>
    <w:p w14:paraId="0CA9993A" w14:textId="77777777" w:rsidR="006E22E9" w:rsidRDefault="006E22E9" w:rsidP="006E22E9">
      <w:pPr>
        <w:pStyle w:val="1"/>
      </w:pPr>
      <w:r>
        <w:t>Cello Square와 함께 운하 통항 리스크에 대응하세요</w:t>
      </w:r>
    </w:p>
    <w:p w14:paraId="61680708" w14:textId="77777777" w:rsidR="006E22E9" w:rsidRDefault="006E22E9" w:rsidP="006E22E9">
      <w:pPr>
        <w:spacing w:after="120" w:line="300" w:lineRule="auto"/>
      </w:pPr>
      <w:r>
        <w:t>Cello Square는 삼성SDS가 운영하는 디지털 통합 물류 플랫폼으로, 기후·운하 리스크에 따른 공급망 점검과 총비용 기반 의사결정을 지원합니다. 글로벌 네트워크 기반으로 항로별 물류 견적을 실시간 비교하고, 대체 항로 검토부터 통관 대응까지 통합적으로 해결하세요.</w:t>
      </w:r>
    </w:p>
    <w:p w14:paraId="6EE2AA40" w14:textId="77777777" w:rsidR="006E22E9" w:rsidRDefault="006E22E9" w:rsidP="006E22E9">
      <w:pPr>
        <w:pBdr>
          <w:top w:val="single" w:sz="6" w:space="6" w:color="BFBFBF"/>
        </w:pBdr>
        <w:spacing w:before="200" w:after="80"/>
        <w:rPr>
          <w:b/>
          <w:bCs/>
          <w:color w:val="595959"/>
          <w:sz w:val="20"/>
          <w:szCs w:val="20"/>
        </w:rPr>
      </w:pPr>
    </w:p>
    <w:p w14:paraId="08AA4C1E" w14:textId="77777777" w:rsidR="006E22E9" w:rsidRDefault="006E22E9" w:rsidP="006E22E9">
      <w:pPr>
        <w:pBdr>
          <w:top w:val="single" w:sz="6" w:space="6" w:color="BFBFBF"/>
        </w:pBdr>
        <w:spacing w:before="200" w:after="80"/>
        <w:rPr>
          <w:b/>
          <w:bCs/>
          <w:color w:val="595959"/>
          <w:sz w:val="20"/>
          <w:szCs w:val="20"/>
        </w:rPr>
      </w:pPr>
    </w:p>
    <w:p w14:paraId="0836DFE9" w14:textId="77777777" w:rsidR="006E22E9" w:rsidRDefault="006E22E9" w:rsidP="006E22E9">
      <w:pPr>
        <w:pBdr>
          <w:top w:val="single" w:sz="6" w:space="6" w:color="BFBFBF"/>
        </w:pBdr>
        <w:spacing w:before="200" w:after="80"/>
      </w:pPr>
      <w:r w:rsidRPr="006E22E9">
        <w:rPr>
          <w:noProof/>
        </w:rPr>
        <w:lastRenderedPageBreak/>
        <w:drawing>
          <wp:inline distT="0" distB="0" distL="0" distR="0" wp14:anchorId="3CE18AE3" wp14:editId="3399F178">
            <wp:extent cx="5731510" cy="3869690"/>
            <wp:effectExtent l="0" t="0" r="254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869690"/>
                    </a:xfrm>
                    <a:prstGeom prst="rect">
                      <a:avLst/>
                    </a:prstGeom>
                  </pic:spPr>
                </pic:pic>
              </a:graphicData>
            </a:graphic>
          </wp:inline>
        </w:drawing>
      </w:r>
      <w:r>
        <w:rPr>
          <w:b/>
          <w:bCs/>
          <w:color w:val="595959"/>
          <w:sz w:val="20"/>
          <w:szCs w:val="20"/>
        </w:rPr>
        <w:t>📦 개발팀 전달용 — FAQPage Schema (JSON-LD)</w:t>
      </w:r>
    </w:p>
    <w:p w14:paraId="3C38AC49" w14:textId="77777777" w:rsidR="006E22E9" w:rsidRDefault="006E22E9" w:rsidP="006E22E9">
      <w:r>
        <w:rPr>
          <w:rFonts w:ascii="Consolas" w:eastAsia="Consolas" w:hAnsi="Consolas" w:cs="Consolas"/>
          <w:color w:val="333333"/>
          <w:sz w:val="16"/>
          <w:szCs w:val="16"/>
        </w:rPr>
        <w:t>{</w:t>
      </w:r>
    </w:p>
    <w:p w14:paraId="653640A9" w14:textId="77777777" w:rsidR="006E22E9" w:rsidRDefault="006E22E9" w:rsidP="006E22E9">
      <w:r>
        <w:rPr>
          <w:rFonts w:ascii="Consolas" w:eastAsia="Consolas" w:hAnsi="Consolas" w:cs="Consolas"/>
          <w:color w:val="333333"/>
          <w:sz w:val="16"/>
          <w:szCs w:val="16"/>
        </w:rPr>
        <w:t xml:space="preserve">  "@context": "https://schema.org",</w:t>
      </w:r>
    </w:p>
    <w:p w14:paraId="6D5B92EC" w14:textId="77777777" w:rsidR="006E22E9" w:rsidRDefault="006E22E9" w:rsidP="006E22E9">
      <w:r>
        <w:rPr>
          <w:rFonts w:ascii="Consolas" w:eastAsia="Consolas" w:hAnsi="Consolas" w:cs="Consolas"/>
          <w:color w:val="333333"/>
          <w:sz w:val="16"/>
          <w:szCs w:val="16"/>
        </w:rPr>
        <w:t xml:space="preserve">  "@type": "FAQPage",</w:t>
      </w:r>
    </w:p>
    <w:p w14:paraId="6D20476A" w14:textId="77777777" w:rsidR="006E22E9" w:rsidRDefault="006E22E9" w:rsidP="006E22E9">
      <w:r>
        <w:rPr>
          <w:rFonts w:ascii="Consolas" w:eastAsia="Consolas" w:hAnsi="Consolas" w:cs="Consolas"/>
          <w:color w:val="333333"/>
          <w:sz w:val="16"/>
          <w:szCs w:val="16"/>
        </w:rPr>
        <w:t xml:space="preserve">  "mainEntity": [</w:t>
      </w:r>
    </w:p>
    <w:p w14:paraId="0A60AC11" w14:textId="77777777" w:rsidR="006E22E9" w:rsidRDefault="006E22E9" w:rsidP="006E22E9">
      <w:r>
        <w:rPr>
          <w:rFonts w:ascii="Consolas" w:eastAsia="Consolas" w:hAnsi="Consolas" w:cs="Consolas"/>
          <w:color w:val="333333"/>
          <w:sz w:val="16"/>
          <w:szCs w:val="16"/>
        </w:rPr>
        <w:t xml:space="preserve">    { "@type": "Question", "name": "파나마 운하 통항 제한은 엘니뇨 발생 직후 바로 시작되나요?",</w:t>
      </w:r>
    </w:p>
    <w:p w14:paraId="39B5B3B6" w14:textId="77777777" w:rsidR="006E22E9" w:rsidRDefault="006E22E9" w:rsidP="006E22E9">
      <w:r>
        <w:rPr>
          <w:rFonts w:ascii="Consolas" w:eastAsia="Consolas" w:hAnsi="Consolas" w:cs="Consolas"/>
          <w:color w:val="333333"/>
          <w:sz w:val="16"/>
          <w:szCs w:val="16"/>
        </w:rPr>
        <w:t xml:space="preserve">      "acceptedAnswer": { "@type": "Answer", "text": "아닙니다. 통항 제한은 엘니뇨 발생 직후가 아니라 저수위가 누적된 2023년 11월부터 본격화됐습니다. 엘니뇨 초기에는 대기 선박 수·대기 시간이 이전과 유사했고, 강수 부족이 누적되는 건기 전환기에 흘수·통항 제한이 강해지는 경향이 있습니다." } },</w:t>
      </w:r>
    </w:p>
    <w:p w14:paraId="0ABC150D" w14:textId="77777777" w:rsidR="006E22E9" w:rsidRDefault="006E22E9" w:rsidP="006E22E9">
      <w:r>
        <w:rPr>
          <w:rFonts w:ascii="Consolas" w:eastAsia="Consolas" w:hAnsi="Consolas" w:cs="Consolas"/>
          <w:color w:val="333333"/>
          <w:sz w:val="16"/>
          <w:szCs w:val="16"/>
        </w:rPr>
        <w:t xml:space="preserve">    { "@type": "Question", "name": "흘수 50→44ft 제한 시 컨테이너선 적재능력은 얼마나 줄어드나요?",</w:t>
      </w:r>
    </w:p>
    <w:p w14:paraId="6C805595" w14:textId="77777777" w:rsidR="006E22E9" w:rsidRDefault="006E22E9" w:rsidP="006E22E9">
      <w:r>
        <w:rPr>
          <w:rFonts w:ascii="Consolas" w:eastAsia="Consolas" w:hAnsi="Consolas" w:cs="Consolas"/>
          <w:color w:val="333333"/>
          <w:sz w:val="16"/>
          <w:szCs w:val="16"/>
        </w:rPr>
        <w:t xml:space="preserve">      "acceptedAnswer": { "@type": "Answer", "text": "흘수가 50ft에서 44ft로 제한되면 15,000TEU급 컨테이너선 기준 최대 약 2,100TEU(약 -14%)의 적재능력이 감소할 수 있습니다. 실제 손실폭은 흘수 제한 구간·선형·항로 등 변동 요인에 따라 달라집니다." } },</w:t>
      </w:r>
    </w:p>
    <w:p w14:paraId="1260285F" w14:textId="77777777" w:rsidR="006E22E9" w:rsidRDefault="006E22E9" w:rsidP="006E22E9">
      <w:r>
        <w:rPr>
          <w:rFonts w:ascii="Consolas" w:eastAsia="Consolas" w:hAnsi="Consolas" w:cs="Consolas"/>
          <w:color w:val="333333"/>
          <w:sz w:val="16"/>
          <w:szCs w:val="16"/>
        </w:rPr>
        <w:t xml:space="preserve">    { "@type": "Question", "name": "컨테이너 운임 상승, 통항 척수가 유지되는데도 발생하는 이유는?",</w:t>
      </w:r>
    </w:p>
    <w:p w14:paraId="0DF98614" w14:textId="77777777" w:rsidR="006E22E9" w:rsidRDefault="006E22E9" w:rsidP="006E22E9">
      <w:r>
        <w:rPr>
          <w:rFonts w:ascii="Consolas" w:eastAsia="Consolas" w:hAnsi="Consolas" w:cs="Consolas"/>
          <w:color w:val="333333"/>
          <w:sz w:val="16"/>
          <w:szCs w:val="16"/>
        </w:rPr>
        <w:t xml:space="preserve">      "acceptedAnswer": { "@type": "Answer", "text": "통항 척수가 유지돼도 운임 상승 압력이 생기는 이유는 최대 약 -14%의 실질 적재능력 감소와 선사들의 저수위 할증료(Surcharge) 부과 때문입니다. 컨테이너선은 사전 슬롯 예약으로 일평균 약 4척의 통항을 유지했으나, 운영비 증가가 할증료 형태로 화주에게 전가됐습니다." } },</w:t>
      </w:r>
    </w:p>
    <w:p w14:paraId="38995E45" w14:textId="77777777" w:rsidR="006E22E9" w:rsidRDefault="006E22E9" w:rsidP="006E22E9">
      <w:r>
        <w:rPr>
          <w:rFonts w:ascii="Consolas" w:eastAsia="Consolas" w:hAnsi="Consolas" w:cs="Consolas"/>
          <w:color w:val="333333"/>
          <w:sz w:val="16"/>
          <w:szCs w:val="16"/>
        </w:rPr>
        <w:t xml:space="preserve">    { "@type": "Question", "name": "파나마 운하 통항량이 지금 늘었는데도 통항 제한에 대비해야 하나요?",</w:t>
      </w:r>
    </w:p>
    <w:p w14:paraId="6EC24EF6" w14:textId="77777777" w:rsidR="006E22E9" w:rsidRDefault="006E22E9" w:rsidP="006E22E9">
      <w:r>
        <w:rPr>
          <w:rFonts w:ascii="Consolas" w:eastAsia="Consolas" w:hAnsi="Consolas" w:cs="Consolas"/>
          <w:color w:val="333333"/>
          <w:sz w:val="16"/>
          <w:szCs w:val="16"/>
        </w:rPr>
        <w:t xml:space="preserve">      "acceptedAnswer": { "@type": "Answer", "text": "네, 대비가 필요합니다. 현재 통항량 증가는 호르무즈 해협 봉쇄에 따른 미주발 에너지 수요 증가가 주요 원인일 뿐, 엘니뇨 리스크가 해소된 것은 아닙니다. 파나마 운하청은 연내 일 38척 통항 유지 방침이나, 강한 슈퍼 엘니뇨 발생 시 운영 제한이 재발할 가능성이 있습니다." } },</w:t>
      </w:r>
    </w:p>
    <w:p w14:paraId="2F5C21AA" w14:textId="77777777" w:rsidR="006E22E9" w:rsidRDefault="006E22E9" w:rsidP="006E22E9">
      <w:r>
        <w:rPr>
          <w:rFonts w:ascii="Consolas" w:eastAsia="Consolas" w:hAnsi="Consolas" w:cs="Consolas"/>
          <w:color w:val="333333"/>
          <w:sz w:val="16"/>
          <w:szCs w:val="16"/>
        </w:rPr>
        <w:t xml:space="preserve">    { "@type": "Question", "name": "파나마 운하 통항 리스크 대응, Cello Square는 어떻게 지원하나요?",</w:t>
      </w:r>
    </w:p>
    <w:p w14:paraId="7C84389E" w14:textId="77777777" w:rsidR="006E22E9" w:rsidRDefault="006E22E9" w:rsidP="006E22E9">
      <w:r>
        <w:rPr>
          <w:rFonts w:ascii="Consolas" w:eastAsia="Consolas" w:hAnsi="Consolas" w:cs="Consolas"/>
          <w:color w:val="333333"/>
          <w:sz w:val="16"/>
          <w:szCs w:val="16"/>
        </w:rPr>
        <w:t xml:space="preserve">      "acceptedAnswer": { "@type": "Answer", "text": "Cello Square는 삼성SDS가 운영하는 디지털 통합 물류 플랫폼으로, 항로별 총비용 비교와 실시간 견적을 통해 운하 제한·할증료 변동에 따른 최적 경로 의사결정을 지원합니다." } }</w:t>
      </w:r>
    </w:p>
    <w:p w14:paraId="777CF8A3" w14:textId="77777777" w:rsidR="006E22E9" w:rsidRDefault="006E22E9" w:rsidP="006E22E9">
      <w:r>
        <w:rPr>
          <w:rFonts w:ascii="Consolas" w:eastAsia="Consolas" w:hAnsi="Consolas" w:cs="Consolas"/>
          <w:color w:val="333333"/>
          <w:sz w:val="16"/>
          <w:szCs w:val="16"/>
        </w:rPr>
        <w:t xml:space="preserve">  ]</w:t>
      </w:r>
    </w:p>
    <w:p w14:paraId="105B6D25" w14:textId="77777777" w:rsidR="006E22E9" w:rsidRDefault="006E22E9" w:rsidP="006E22E9">
      <w:r>
        <w:rPr>
          <w:rFonts w:ascii="Consolas" w:eastAsia="Consolas" w:hAnsi="Consolas" w:cs="Consolas"/>
          <w:color w:val="333333"/>
          <w:sz w:val="16"/>
          <w:szCs w:val="16"/>
        </w:rPr>
        <w:t>}</w:t>
      </w:r>
    </w:p>
    <w:p w14:paraId="1E76D586" w14:textId="6A9D4502" w:rsidR="005E0E9B" w:rsidRDefault="006F2469">
      <w:pPr>
        <w:rPr>
          <w:rFonts w:ascii="Consolas" w:eastAsia="Consolas" w:hAnsi="Consolas" w:cs="Consolas"/>
          <w:color w:val="333333"/>
          <w:sz w:val="16"/>
          <w:szCs w:val="16"/>
        </w:rPr>
      </w:pPr>
      <w:r>
        <w:rPr>
          <w:rFonts w:ascii="Consolas" w:eastAsia="Consolas" w:hAnsi="Consolas" w:cs="Consolas"/>
          <w:color w:val="333333"/>
          <w:sz w:val="16"/>
          <w:szCs w:val="16"/>
        </w:rPr>
        <w:t>}</w:t>
      </w:r>
    </w:p>
    <w:p w14:paraId="2E6D3D1D" w14:textId="62A6FFD0" w:rsidR="00416D48" w:rsidRDefault="00416D48">
      <w:pPr>
        <w:rPr>
          <w:rFonts w:ascii="Consolas" w:eastAsiaTheme="minorEastAsia" w:hAnsi="Consolas" w:cs="Consolas"/>
          <w:color w:val="333333"/>
          <w:sz w:val="16"/>
          <w:szCs w:val="16"/>
        </w:rPr>
      </w:pPr>
    </w:p>
    <w:p w14:paraId="3BB0C8B2" w14:textId="0810315B" w:rsidR="00416D48" w:rsidRDefault="00416D48">
      <w:pPr>
        <w:rPr>
          <w:rFonts w:ascii="Consolas" w:eastAsiaTheme="minorEastAsia" w:hAnsi="Consolas" w:cs="Consolas"/>
          <w:color w:val="333333"/>
          <w:sz w:val="16"/>
          <w:szCs w:val="16"/>
        </w:rPr>
      </w:pPr>
    </w:p>
    <w:p w14:paraId="7042179E" w14:textId="3EC93101" w:rsidR="00416D48" w:rsidRPr="00416D48" w:rsidRDefault="00416D48" w:rsidP="00416D48">
      <w:pPr>
        <w:spacing w:after="80"/>
        <w:rPr>
          <w:rFonts w:hint="eastAsia"/>
          <w:bCs/>
        </w:rPr>
      </w:pPr>
      <w:r>
        <w:rPr>
          <w:rFonts w:hint="eastAsia"/>
          <w:b/>
          <w:bCs/>
        </w:rPr>
        <w:t>*</w:t>
      </w:r>
      <w:r>
        <w:rPr>
          <w:b/>
          <w:bCs/>
        </w:rPr>
        <w:t>*******************************</w:t>
      </w:r>
      <w:r w:rsidRPr="00416D48">
        <w:rPr>
          <w:rFonts w:hint="eastAsia"/>
          <w:b/>
          <w:bCs/>
        </w:rPr>
        <w:t>영문</w:t>
      </w:r>
      <w:r>
        <w:rPr>
          <w:rFonts w:hint="eastAsia"/>
          <w:b/>
          <w:bCs/>
        </w:rPr>
        <w:t>*</w:t>
      </w:r>
      <w:r>
        <w:rPr>
          <w:b/>
          <w:bCs/>
        </w:rPr>
        <w:t>*******************************</w:t>
      </w:r>
    </w:p>
    <w:p w14:paraId="1624D6A2" w14:textId="1E4AC870" w:rsidR="00416D48" w:rsidRDefault="00416D48">
      <w:pPr>
        <w:rPr>
          <w:rFonts w:ascii="Consolas" w:eastAsia="Consolas" w:hAnsi="Consolas" w:cs="Consolas"/>
          <w:color w:val="333333"/>
          <w:sz w:val="16"/>
          <w:szCs w:val="16"/>
        </w:rPr>
      </w:pPr>
    </w:p>
    <w:p w14:paraId="10643953" w14:textId="77777777" w:rsidR="00416D48" w:rsidRDefault="00416D48" w:rsidP="00416D48">
      <w:pPr>
        <w:shd w:val="clear" w:color="auto" w:fill="2E75B6"/>
        <w:spacing w:after="40"/>
      </w:pPr>
      <w:r>
        <w:rPr>
          <w:b/>
          <w:bCs/>
          <w:color w:val="FFFFFF"/>
          <w:sz w:val="18"/>
          <w:szCs w:val="18"/>
        </w:rPr>
        <w:t>물류 시황</w:t>
      </w:r>
    </w:p>
    <w:p w14:paraId="6FF7D0D5" w14:textId="5DC21A21" w:rsidR="00416D48" w:rsidRPr="00416D48" w:rsidRDefault="00416D48" w:rsidP="00416D48">
      <w:pPr>
        <w:spacing w:before="60" w:after="60"/>
        <w:rPr>
          <w:b/>
          <w:bCs/>
          <w:color w:val="1F3864"/>
          <w:sz w:val="36"/>
          <w:szCs w:val="36"/>
        </w:rPr>
      </w:pPr>
      <w:r w:rsidRPr="00416D48">
        <w:rPr>
          <w:b/>
          <w:bCs/>
          <w:color w:val="1F3864"/>
          <w:sz w:val="36"/>
          <w:szCs w:val="36"/>
        </w:rPr>
        <w:lastRenderedPageBreak/>
        <w:t>Pre-check of Panama Canal Transit Risks Due to a Potential El Niño Return</w:t>
      </w:r>
    </w:p>
    <w:p w14:paraId="1113779D" w14:textId="4460DF86" w:rsidR="00416D48" w:rsidRDefault="00416D48" w:rsidP="00416D48">
      <w:pPr>
        <w:pBdr>
          <w:bottom w:val="single" w:sz="8" w:space="6" w:color="2E75B6"/>
        </w:pBdr>
        <w:spacing w:after="140"/>
      </w:pPr>
      <w:r>
        <w:t>May 29, 2026 | Samsung SDS</w:t>
      </w:r>
    </w:p>
    <w:p w14:paraId="32E07BCE" w14:textId="0DD1B6DC" w:rsidR="00416D48" w:rsidRDefault="00416D48" w:rsidP="00416D48">
      <w:pPr>
        <w:pStyle w:val="1"/>
      </w:pPr>
      <w:r>
        <w:t>What Risks Could a 2026 "Super El Niño" Pose to Panama Canal Transit?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16D48" w14:paraId="5716FF03" w14:textId="77777777" w:rsidTr="00E61D3D">
        <w:tc>
          <w:tcPr>
            <w:tcW w:w="9026" w:type="dxa"/>
            <w:tcBorders>
              <w:top w:val="single" w:sz="1" w:space="0" w:color="2E75B6"/>
              <w:left w:val="single" w:sz="1" w:space="0" w:color="2E75B6"/>
              <w:bottom w:val="single" w:sz="1" w:space="0" w:color="2E75B6"/>
              <w:right w:val="single" w:sz="1" w:space="0" w:color="2E75B6"/>
            </w:tcBorders>
            <w:shd w:val="clear" w:color="auto" w:fill="EAF1FB"/>
            <w:tcMar>
              <w:top w:w="100" w:type="dxa"/>
              <w:left w:w="160" w:type="dxa"/>
              <w:bottom w:w="100" w:type="dxa"/>
              <w:right w:w="160" w:type="dxa"/>
            </w:tcMar>
          </w:tcPr>
          <w:p w14:paraId="68FA6965" w14:textId="5EFDC7D7" w:rsidR="00416D48" w:rsidRPr="00416D48" w:rsidRDefault="00416D48" w:rsidP="00E61D3D">
            <w:pPr>
              <w:spacing w:before="40" w:after="60"/>
              <w:rPr>
                <w:b/>
                <w:bCs/>
                <w:color w:val="1F3864"/>
              </w:rPr>
            </w:pPr>
            <w:r>
              <w:rPr>
                <w:b/>
                <w:bCs/>
                <w:color w:val="1F3864"/>
              </w:rPr>
              <w:t xml:space="preserve">📌 </w:t>
            </w:r>
            <w:r w:rsidRPr="00416D48">
              <w:rPr>
                <w:b/>
                <w:bCs/>
                <w:color w:val="1F3864"/>
              </w:rPr>
              <w:t>Key Takeaways at a Glance</w:t>
            </w:r>
          </w:p>
          <w:p w14:paraId="2E0A60C0" w14:textId="77777777" w:rsidR="00416D48" w:rsidRDefault="00416D48" w:rsidP="00416D48">
            <w:pPr>
              <w:widowControl/>
              <w:wordWrap/>
              <w:autoSpaceDE/>
              <w:autoSpaceDN/>
            </w:pPr>
            <w:r>
              <w:rPr>
                <w:rFonts w:hAnsi="Symbol"/>
              </w:rPr>
              <w:t></w:t>
            </w:r>
            <w:r>
              <w:t xml:space="preserve">  The </w:t>
            </w:r>
            <w:r>
              <w:rPr>
                <w:rStyle w:val="ae"/>
              </w:rPr>
              <w:t>National Oceanic and Atmospheric Administration (NOAA)</w:t>
            </w:r>
            <w:r>
              <w:t xml:space="preserve"> and the </w:t>
            </w:r>
            <w:r>
              <w:rPr>
                <w:rStyle w:val="whitespace-normal"/>
              </w:rPr>
              <w:t>World Meteorological Organization</w:t>
            </w:r>
            <w:r>
              <w:t xml:space="preserve"> (WMO) indicate that the likelihood of an El Niño event developing during </w:t>
            </w:r>
            <w:r>
              <w:rPr>
                <w:rStyle w:val="ae"/>
              </w:rPr>
              <w:t>May to July 2026</w:t>
            </w:r>
            <w:r>
              <w:t xml:space="preserve"> is increasing. They also note that the possibility of it intensifying into a </w:t>
            </w:r>
            <w:r>
              <w:rPr>
                <w:rStyle w:val="ae"/>
              </w:rPr>
              <w:t>Super El Niño between October 2026 and February 2027 cannot be ruled out</w:t>
            </w:r>
            <w:r>
              <w:t xml:space="preserve">. </w:t>
            </w:r>
          </w:p>
          <w:p w14:paraId="5F2E64D7" w14:textId="77777777" w:rsidR="00416D48" w:rsidRDefault="00416D48" w:rsidP="00416D48">
            <w:r>
              <w:rPr>
                <w:rFonts w:hAnsi="Symbol"/>
              </w:rPr>
              <w:t></w:t>
            </w:r>
            <w:r>
              <w:t xml:space="preserve">  El Niño-related reductions in rainfall and drought conditions across Central and South America can lower water levels in </w:t>
            </w:r>
            <w:r>
              <w:rPr>
                <w:rStyle w:val="ae"/>
              </w:rPr>
              <w:t>Gatun Lake</w:t>
            </w:r>
            <w:r>
              <w:t xml:space="preserve">, the primary water source for the lock-based </w:t>
            </w:r>
            <w:r>
              <w:rPr>
                <w:rStyle w:val="whitespace-normal"/>
              </w:rPr>
              <w:t>Panama Canal</w:t>
            </w:r>
            <w:r>
              <w:t xml:space="preserve">. This directly constrains the canal's operating capacity. </w:t>
            </w:r>
          </w:p>
          <w:p w14:paraId="11DF63B3" w14:textId="77777777" w:rsidR="00416D48" w:rsidRDefault="00416D48" w:rsidP="00416D48">
            <w:r>
              <w:rPr>
                <w:rFonts w:hAnsi="Symbol"/>
              </w:rPr>
              <w:t></w:t>
            </w:r>
            <w:r>
              <w:t xml:space="preserve">  During the </w:t>
            </w:r>
            <w:r>
              <w:rPr>
                <w:rStyle w:val="ae"/>
              </w:rPr>
              <w:t>2023–2024 El Niño event</w:t>
            </w:r>
            <w:r>
              <w:t xml:space="preserve">, the Panama Canal Authority reduced: </w:t>
            </w:r>
          </w:p>
          <w:p w14:paraId="42008A77" w14:textId="30E2F491" w:rsidR="00416D48" w:rsidRDefault="00416D48" w:rsidP="00416D48">
            <w:pPr>
              <w:pStyle w:val="a4"/>
              <w:numPr>
                <w:ilvl w:val="0"/>
                <w:numId w:val="5"/>
              </w:numPr>
              <w:spacing w:before="100" w:beforeAutospacing="1" w:after="100" w:afterAutospacing="1"/>
            </w:pPr>
            <w:r>
              <w:t xml:space="preserve">Maximum allowable vessel draft from </w:t>
            </w:r>
            <w:r>
              <w:rPr>
                <w:rStyle w:val="ae"/>
              </w:rPr>
              <w:t>50 ft to 44 ft</w:t>
            </w:r>
            <w:r>
              <w:t xml:space="preserve"> </w:t>
            </w:r>
          </w:p>
          <w:p w14:paraId="29CCD92A" w14:textId="02C1EB70" w:rsidR="00416D48" w:rsidRDefault="00416D48" w:rsidP="00416D48">
            <w:pPr>
              <w:pStyle w:val="a4"/>
              <w:numPr>
                <w:ilvl w:val="0"/>
                <w:numId w:val="5"/>
              </w:numPr>
              <w:spacing w:before="100" w:beforeAutospacing="1" w:after="100" w:afterAutospacing="1"/>
            </w:pPr>
            <w:r>
              <w:t xml:space="preserve">Daily transit capacity (all vessel types) from approximately </w:t>
            </w:r>
            <w:r>
              <w:rPr>
                <w:rStyle w:val="ae"/>
              </w:rPr>
              <w:t>36–38 vessels to 22 vessels</w:t>
            </w:r>
            <w:r>
              <w:t xml:space="preserve"> </w:t>
            </w:r>
          </w:p>
          <w:p w14:paraId="32B3E33F" w14:textId="77777777" w:rsidR="00416D48" w:rsidRDefault="00416D48" w:rsidP="00416D48">
            <w:r>
              <w:rPr>
                <w:rFonts w:hAnsi="Symbol"/>
              </w:rPr>
              <w:t></w:t>
            </w:r>
            <w:r>
              <w:t xml:space="preserve">  While container vessel transits remained relatively stable at around </w:t>
            </w:r>
            <w:r>
              <w:rPr>
                <w:rStyle w:val="ae"/>
              </w:rPr>
              <w:t>seven vessels per day</w:t>
            </w:r>
            <w:r>
              <w:t xml:space="preserve">, similar to pre-El Niño levels, cargo capacity was significantly affected. For a </w:t>
            </w:r>
            <w:r>
              <w:rPr>
                <w:rStyle w:val="ae"/>
              </w:rPr>
              <w:t>15,000 TEU-class container ship</w:t>
            </w:r>
            <w:r>
              <w:t xml:space="preserve">, the draft restriction resulted in a cargo loss of up to </w:t>
            </w:r>
            <w:r>
              <w:rPr>
                <w:rStyle w:val="ae"/>
              </w:rPr>
              <w:t>2,100 TEU (-14%)</w:t>
            </w:r>
            <w:r>
              <w:t xml:space="preserve">. In addition, low-water surcharges were passed on to shippers, creating upward pressure on freight rates. </w:t>
            </w:r>
          </w:p>
          <w:p w14:paraId="310CE76D" w14:textId="3A21AA33" w:rsidR="00416D48" w:rsidRDefault="00416D48" w:rsidP="00416D48">
            <w:pPr>
              <w:spacing w:after="40" w:line="290" w:lineRule="auto"/>
            </w:pPr>
            <w:r>
              <w:rPr>
                <w:rFonts w:hAnsi="Symbol"/>
              </w:rPr>
              <w:t></w:t>
            </w:r>
            <w:r>
              <w:t xml:space="preserve">  Based on the 2023 experience, operational impacts became more pronounced as the region entered the dry season. Similar pressure could intensify during </w:t>
            </w:r>
            <w:r>
              <w:rPr>
                <w:rStyle w:val="ae"/>
              </w:rPr>
              <w:t>late 2026 and early 2027</w:t>
            </w:r>
            <w:r>
              <w:t xml:space="preserve"> if El Niño conditions strengthen.</w:t>
            </w:r>
          </w:p>
        </w:tc>
      </w:tr>
    </w:tbl>
    <w:p w14:paraId="2841FBB2" w14:textId="77777777" w:rsidR="00416D48" w:rsidRDefault="00416D48" w:rsidP="00416D48">
      <w:pPr>
        <w:spacing w:after="80"/>
      </w:pPr>
    </w:p>
    <w:p w14:paraId="06619AD5" w14:textId="3066A2FB" w:rsidR="00416D48" w:rsidRPr="00416D48" w:rsidRDefault="00416D48" w:rsidP="00416D48">
      <w:pPr>
        <w:spacing w:after="80"/>
        <w:rPr>
          <w:b/>
          <w:bCs/>
        </w:rPr>
      </w:pPr>
      <w:r w:rsidRPr="00416D48">
        <w:rPr>
          <w:b/>
          <w:bCs/>
        </w:rPr>
        <w:t>Comparison: Normal Operations vs. Severe El Niño Low-Water Conditions (Based on 2023–2024 Data)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8"/>
        <w:gridCol w:w="2745"/>
        <w:gridCol w:w="3163"/>
      </w:tblGrid>
      <w:tr w:rsidR="00416D48" w14:paraId="7714E4A6" w14:textId="77777777" w:rsidTr="00416D48">
        <w:trPr>
          <w:tblHeader/>
        </w:trPr>
        <w:tc>
          <w:tcPr>
            <w:tcW w:w="3118"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697D9593" w14:textId="442DAEA9" w:rsidR="00416D48" w:rsidRPr="00416D48" w:rsidRDefault="00416D48" w:rsidP="00416D48">
            <w:pPr>
              <w:widowControl/>
              <w:wordWrap/>
              <w:autoSpaceDE/>
              <w:autoSpaceDN/>
              <w:jc w:val="center"/>
              <w:rPr>
                <w:rFonts w:hint="eastAsia"/>
                <w:b/>
                <w:bCs/>
              </w:rPr>
            </w:pPr>
            <w:r>
              <w:rPr>
                <w:b/>
                <w:bCs/>
              </w:rPr>
              <w:lastRenderedPageBreak/>
              <w:t>Category</w:t>
            </w:r>
          </w:p>
        </w:tc>
        <w:tc>
          <w:tcPr>
            <w:tcW w:w="2745"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11E00B16" w14:textId="6C591499" w:rsidR="00416D48" w:rsidRPr="00416D48" w:rsidRDefault="00416D48" w:rsidP="00416D48">
            <w:pPr>
              <w:widowControl/>
              <w:wordWrap/>
              <w:autoSpaceDE/>
              <w:autoSpaceDN/>
              <w:jc w:val="center"/>
              <w:rPr>
                <w:b/>
                <w:bCs/>
              </w:rPr>
            </w:pPr>
            <w:r w:rsidRPr="00416D48">
              <w:rPr>
                <w:b/>
                <w:bCs/>
              </w:rPr>
              <w:t>Normal Operations</w:t>
            </w:r>
          </w:p>
        </w:tc>
        <w:tc>
          <w:tcPr>
            <w:tcW w:w="3163"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5B1606EF" w14:textId="2D90E210" w:rsidR="00416D48" w:rsidRPr="00416D48" w:rsidRDefault="00416D48" w:rsidP="00416D48">
            <w:pPr>
              <w:widowControl/>
              <w:wordWrap/>
              <w:autoSpaceDE/>
              <w:autoSpaceDN/>
              <w:jc w:val="center"/>
              <w:rPr>
                <w:b/>
                <w:bCs/>
              </w:rPr>
            </w:pPr>
            <w:r w:rsidRPr="00416D48">
              <w:rPr>
                <w:b/>
                <w:bCs/>
              </w:rPr>
              <w:t>Severe El Niño Low-Water Conditions</w:t>
            </w:r>
          </w:p>
        </w:tc>
      </w:tr>
      <w:tr w:rsidR="00416D48" w14:paraId="16DBE62E" w14:textId="77777777" w:rsidTr="00416D48">
        <w:tc>
          <w:tcPr>
            <w:tcW w:w="3118"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794AEBC" w14:textId="1817FC99" w:rsidR="00416D48" w:rsidRDefault="00416D48" w:rsidP="00E61D3D">
            <w:pPr>
              <w:spacing w:before="20" w:after="20" w:line="276" w:lineRule="auto"/>
            </w:pPr>
            <w:r>
              <w:t>Maximum Allowable Draft</w:t>
            </w:r>
          </w:p>
        </w:tc>
        <w:tc>
          <w:tcPr>
            <w:tcW w:w="2745"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E005B02" w14:textId="77777777" w:rsidR="00416D48" w:rsidRDefault="00416D48" w:rsidP="00E61D3D">
            <w:pPr>
              <w:spacing w:before="20" w:after="20" w:line="276" w:lineRule="auto"/>
            </w:pPr>
            <w:r>
              <w:rPr>
                <w:sz w:val="19"/>
                <w:szCs w:val="19"/>
              </w:rPr>
              <w:t>50ft</w:t>
            </w:r>
          </w:p>
        </w:tc>
        <w:tc>
          <w:tcPr>
            <w:tcW w:w="316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EB0272F" w14:textId="77777777" w:rsidR="00416D48" w:rsidRDefault="00416D48" w:rsidP="00E61D3D">
            <w:pPr>
              <w:spacing w:before="20" w:after="20" w:line="276" w:lineRule="auto"/>
            </w:pPr>
            <w:r>
              <w:rPr>
                <w:sz w:val="19"/>
                <w:szCs w:val="19"/>
              </w:rPr>
              <w:t>44ft</w:t>
            </w:r>
          </w:p>
        </w:tc>
      </w:tr>
      <w:tr w:rsidR="00416D48" w14:paraId="4AAFDA35" w14:textId="77777777" w:rsidTr="00416D48">
        <w:tc>
          <w:tcPr>
            <w:tcW w:w="3118"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D1A3DB8" w14:textId="04BFDD4E" w:rsidR="00416D48" w:rsidRDefault="00416D48" w:rsidP="00E61D3D">
            <w:pPr>
              <w:spacing w:before="20" w:after="20" w:line="276" w:lineRule="auto"/>
            </w:pPr>
            <w:r>
              <w:t>Daily Transit Capacity (All Vessel Types)</w:t>
            </w:r>
          </w:p>
        </w:tc>
        <w:tc>
          <w:tcPr>
            <w:tcW w:w="2745"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2BE6880" w14:textId="1FC0BCF6" w:rsidR="00416D48" w:rsidRDefault="00416D48" w:rsidP="00E61D3D">
            <w:pPr>
              <w:spacing w:before="20" w:after="20" w:line="276" w:lineRule="auto"/>
            </w:pPr>
            <w:r>
              <w:t>36–38 vessels</w:t>
            </w:r>
          </w:p>
        </w:tc>
        <w:tc>
          <w:tcPr>
            <w:tcW w:w="316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DBBDA3B" w14:textId="7A3BDE34" w:rsidR="00416D48" w:rsidRDefault="00416D48" w:rsidP="00E61D3D">
            <w:pPr>
              <w:spacing w:before="20" w:after="20" w:line="276" w:lineRule="auto"/>
            </w:pPr>
            <w:r>
              <w:t>22 vessels</w:t>
            </w:r>
          </w:p>
        </w:tc>
      </w:tr>
      <w:tr w:rsidR="00416D48" w14:paraId="58183932" w14:textId="77777777" w:rsidTr="00416D48">
        <w:tc>
          <w:tcPr>
            <w:tcW w:w="3118"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752F5C0" w14:textId="173E3DD1" w:rsidR="00416D48" w:rsidRPr="00416D48" w:rsidRDefault="00416D48" w:rsidP="00E61D3D">
            <w:pPr>
              <w:spacing w:before="20" w:after="20" w:line="276" w:lineRule="auto"/>
              <w:rPr>
                <w:sz w:val="19"/>
                <w:szCs w:val="19"/>
              </w:rPr>
            </w:pPr>
            <w:r>
              <w:t>Daily Container Ship Transits</w:t>
            </w:r>
          </w:p>
        </w:tc>
        <w:tc>
          <w:tcPr>
            <w:tcW w:w="2745"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4AAA011" w14:textId="51088C86" w:rsidR="00416D48" w:rsidRPr="00416D48" w:rsidRDefault="00416D48" w:rsidP="00E61D3D">
            <w:pPr>
              <w:spacing w:before="20" w:after="20" w:line="276" w:lineRule="auto"/>
            </w:pPr>
            <w:r>
              <w:t>Approximately 7 vessels/day</w:t>
            </w:r>
          </w:p>
        </w:tc>
        <w:tc>
          <w:tcPr>
            <w:tcW w:w="316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0CB736F" w14:textId="14D42271" w:rsidR="00416D48" w:rsidRPr="00416D48" w:rsidRDefault="00416D48" w:rsidP="00E61D3D">
            <w:pPr>
              <w:spacing w:before="20" w:after="20" w:line="276" w:lineRule="auto"/>
            </w:pPr>
            <w:r>
              <w:t>Approximately 7 vessels/day</w:t>
            </w:r>
          </w:p>
        </w:tc>
      </w:tr>
      <w:tr w:rsidR="00416D48" w14:paraId="47D925E9" w14:textId="77777777" w:rsidTr="00416D48">
        <w:tc>
          <w:tcPr>
            <w:tcW w:w="3118"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4572522" w14:textId="4AEBB9DC" w:rsidR="00416D48" w:rsidRDefault="00416D48" w:rsidP="00E61D3D">
            <w:pPr>
              <w:spacing w:before="20" w:after="20" w:line="276" w:lineRule="auto"/>
            </w:pPr>
            <w:r>
              <w:t>Average Number of Waiting Vessels</w:t>
            </w:r>
          </w:p>
        </w:tc>
        <w:tc>
          <w:tcPr>
            <w:tcW w:w="2745"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E384765" w14:textId="797E3268" w:rsidR="00416D48" w:rsidRDefault="00416D48" w:rsidP="00E61D3D">
            <w:pPr>
              <w:spacing w:before="20" w:after="20" w:line="276" w:lineRule="auto"/>
            </w:pPr>
            <w:r>
              <w:t>13.3 vessels</w:t>
            </w:r>
          </w:p>
        </w:tc>
        <w:tc>
          <w:tcPr>
            <w:tcW w:w="316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017B074" w14:textId="4AB40F38" w:rsidR="00416D48" w:rsidRDefault="00416D48" w:rsidP="00E61D3D">
            <w:pPr>
              <w:spacing w:before="20" w:after="20" w:line="276" w:lineRule="auto"/>
            </w:pPr>
            <w:r>
              <w:t>17.3 vessels</w:t>
            </w:r>
          </w:p>
        </w:tc>
      </w:tr>
      <w:tr w:rsidR="00416D48" w14:paraId="154F0EBB" w14:textId="77777777" w:rsidTr="00416D48">
        <w:tc>
          <w:tcPr>
            <w:tcW w:w="3118"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0903854" w14:textId="4588B418" w:rsidR="00416D48" w:rsidRDefault="00416D48" w:rsidP="00E61D3D">
            <w:pPr>
              <w:spacing w:before="20" w:after="20" w:line="276" w:lineRule="auto"/>
            </w:pPr>
            <w:r>
              <w:t>Average Waiting Time</w:t>
            </w:r>
          </w:p>
        </w:tc>
        <w:tc>
          <w:tcPr>
            <w:tcW w:w="2745"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7CDE2CD" w14:textId="5931C4D8" w:rsidR="00416D48" w:rsidRDefault="00416D48" w:rsidP="00E61D3D">
            <w:pPr>
              <w:spacing w:before="20" w:after="20" w:line="276" w:lineRule="auto"/>
            </w:pPr>
            <w:r>
              <w:t>17.5 hours</w:t>
            </w:r>
          </w:p>
        </w:tc>
        <w:tc>
          <w:tcPr>
            <w:tcW w:w="316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082CF14" w14:textId="38B50981" w:rsidR="00416D48" w:rsidRDefault="00416D48" w:rsidP="00E61D3D">
            <w:pPr>
              <w:spacing w:before="20" w:after="20" w:line="276" w:lineRule="auto"/>
            </w:pPr>
            <w:r>
              <w:t>25.8 hours</w:t>
            </w:r>
          </w:p>
        </w:tc>
      </w:tr>
      <w:tr w:rsidR="00416D48" w14:paraId="54997FA8" w14:textId="77777777" w:rsidTr="00416D48">
        <w:tc>
          <w:tcPr>
            <w:tcW w:w="3118"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4F4D4F5" w14:textId="15ECEF85" w:rsidR="00416D48" w:rsidRDefault="00416D48" w:rsidP="00E61D3D">
            <w:pPr>
              <w:spacing w:before="20" w:after="20" w:line="276" w:lineRule="auto"/>
            </w:pPr>
            <w:r>
              <w:t>Cargo Capacity of a 15,000 TEU Container Ship</w:t>
            </w:r>
          </w:p>
        </w:tc>
        <w:tc>
          <w:tcPr>
            <w:tcW w:w="2745"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F9A7740" w14:textId="66D80FC7" w:rsidR="00416D48" w:rsidRDefault="00416D48" w:rsidP="00E61D3D">
            <w:pPr>
              <w:spacing w:before="20" w:after="20" w:line="276" w:lineRule="auto"/>
            </w:pPr>
            <w:r>
              <w:t>Full capacity</w:t>
            </w:r>
          </w:p>
        </w:tc>
        <w:tc>
          <w:tcPr>
            <w:tcW w:w="316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3DD873A" w14:textId="12DD132C" w:rsidR="00416D48" w:rsidRDefault="00416D48" w:rsidP="00E61D3D">
            <w:pPr>
              <w:spacing w:before="20" w:after="20" w:line="276" w:lineRule="auto"/>
            </w:pPr>
            <w:r>
              <w:t xml:space="preserve">Up to approximately </w:t>
            </w:r>
            <w:r>
              <w:rPr>
                <w:rStyle w:val="ae"/>
              </w:rPr>
              <w:t>2,100 TEU reduction (-14%)</w:t>
            </w:r>
          </w:p>
        </w:tc>
      </w:tr>
    </w:tbl>
    <w:p w14:paraId="1C3E6C4A" w14:textId="03731FDE" w:rsidR="00416D48" w:rsidRPr="00416D48" w:rsidRDefault="00416D48" w:rsidP="00416D48">
      <w:pPr>
        <w:spacing w:after="80"/>
        <w:rPr>
          <w:rFonts w:hint="eastAsia"/>
        </w:rPr>
      </w:pPr>
    </w:p>
    <w:p w14:paraId="21CD24EE" w14:textId="5DB85570" w:rsidR="00416D48" w:rsidRDefault="00416D48" w:rsidP="00416D48">
      <w:pPr>
        <w:pStyle w:val="1"/>
      </w:pPr>
      <w:r>
        <w:t>2026: Elevated Risk of a "Super El Niño"</w:t>
      </w:r>
    </w:p>
    <w:p w14:paraId="560E9454" w14:textId="3B40E023" w:rsidR="00416D48" w:rsidRPr="00416D48" w:rsidRDefault="00416D48" w:rsidP="00416D48">
      <w:pPr>
        <w:pStyle w:val="2"/>
        <w:rPr>
          <w:b w:val="0"/>
        </w:rPr>
      </w:pPr>
      <w:r>
        <w:t>1) What is El Niño?</w:t>
      </w:r>
    </w:p>
    <w:p w14:paraId="15249ADE" w14:textId="77777777" w:rsidR="00416D48" w:rsidRDefault="00416D48" w:rsidP="00416D48">
      <w:pPr>
        <w:pStyle w:val="af"/>
      </w:pPr>
      <w:r>
        <w:rPr>
          <w:rStyle w:val="ae"/>
        </w:rPr>
        <w:t>El Niño</w:t>
      </w:r>
      <w:r>
        <w:t xml:space="preserve"> is defined as a climate phenomenon in which the </w:t>
      </w:r>
      <w:r>
        <w:rPr>
          <w:rStyle w:val="ae"/>
        </w:rPr>
        <w:t>Oceanic Niño Index (ONI)</w:t>
      </w:r>
      <w:r>
        <w:t xml:space="preserve">, measured as the three-month running average sea surface temperature anomaly in the equatorial Pacific monitoring region, remains at </w:t>
      </w:r>
      <w:r>
        <w:rPr>
          <w:rStyle w:val="ae"/>
        </w:rPr>
        <w:t>+0.5°C or higher for at least five consecutive months</w:t>
      </w:r>
      <w:r>
        <w:t>.</w:t>
      </w:r>
    </w:p>
    <w:p w14:paraId="3855F849" w14:textId="77777777" w:rsidR="00416D48" w:rsidRDefault="00416D48" w:rsidP="00416D48">
      <w:pPr>
        <w:pStyle w:val="af"/>
      </w:pPr>
      <w:r>
        <w:t xml:space="preserve">When the ONI remains at </w:t>
      </w:r>
      <w:r>
        <w:rPr>
          <w:rStyle w:val="ae"/>
        </w:rPr>
        <w:t>+2.0°C or higher for an extended period</w:t>
      </w:r>
      <w:r>
        <w:t xml:space="preserve">, the event is generally classified as a </w:t>
      </w:r>
      <w:r>
        <w:rPr>
          <w:rStyle w:val="ae"/>
        </w:rPr>
        <w:t>Super El Niño</w:t>
      </w:r>
      <w:r>
        <w:t>.</w:t>
      </w:r>
    </w:p>
    <w:p w14:paraId="7B9A0E1F" w14:textId="474BD203" w:rsidR="00416D48" w:rsidRPr="00416D48" w:rsidRDefault="00416D48" w:rsidP="00416D48">
      <w:pPr>
        <w:pStyle w:val="2"/>
        <w:rPr>
          <w:b w:val="0"/>
        </w:rPr>
      </w:pPr>
      <w:r>
        <w:t>2) Outlook from Major Organizations</w:t>
      </w:r>
    </w:p>
    <w:p w14:paraId="203942AC" w14:textId="77777777" w:rsidR="00416D48" w:rsidRDefault="00416D48" w:rsidP="00416D48">
      <w:pPr>
        <w:pStyle w:val="af"/>
      </w:pPr>
      <w:r>
        <w:t xml:space="preserve">According to forecasts from the </w:t>
      </w:r>
      <w:r>
        <w:rPr>
          <w:rStyle w:val="ae"/>
        </w:rPr>
        <w:t>National Oceanic and Atmospheric Administration (NOAA)</w:t>
      </w:r>
      <w:r>
        <w:t xml:space="preserve">, an El Niño event is expected to develop between </w:t>
      </w:r>
      <w:r>
        <w:rPr>
          <w:rStyle w:val="ae"/>
        </w:rPr>
        <w:t>May and July 2026</w:t>
      </w:r>
      <w:r>
        <w:t xml:space="preserve">, with a heightened possibility of intensifying into a </w:t>
      </w:r>
      <w:r>
        <w:rPr>
          <w:rStyle w:val="ae"/>
        </w:rPr>
        <w:t>Super El Niño between October 2026 and February 2027</w:t>
      </w:r>
      <w:r>
        <w:t>.</w:t>
      </w:r>
    </w:p>
    <w:p w14:paraId="4FBF8904" w14:textId="77777777" w:rsidR="00416D48" w:rsidRDefault="00416D48" w:rsidP="00416D48">
      <w:pPr>
        <w:pStyle w:val="af"/>
      </w:pPr>
      <w:r>
        <w:t xml:space="preserve">The </w:t>
      </w:r>
      <w:r>
        <w:rPr>
          <w:rStyle w:val="whitespace-normal"/>
        </w:rPr>
        <w:t>World Meteorological Organization</w:t>
      </w:r>
      <w:r>
        <w:t xml:space="preserve"> (WMO) also projects a high likelihood of El Niño conditions emerging during </w:t>
      </w:r>
      <w:r>
        <w:rPr>
          <w:rStyle w:val="ae"/>
        </w:rPr>
        <w:t>May to July</w:t>
      </w:r>
      <w:r>
        <w:t xml:space="preserve">, accompanied by an increased </w:t>
      </w:r>
      <w:r>
        <w:lastRenderedPageBreak/>
        <w:t xml:space="preserve">risk of </w:t>
      </w:r>
      <w:r>
        <w:rPr>
          <w:rStyle w:val="ae"/>
        </w:rPr>
        <w:t>above-average temperatures and drought conditions across parts of Central America and northern South America</w:t>
      </w:r>
      <w:r>
        <w:t>.</w:t>
      </w:r>
    </w:p>
    <w:tbl>
      <w:tblPr>
        <w:tblW w:w="9026"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16D48" w14:paraId="5DFA1978" w14:textId="77777777" w:rsidTr="00E61D3D">
        <w:trPr>
          <w:tblHeader/>
        </w:trPr>
        <w:tc>
          <w:tcPr>
            <w:tcW w:w="19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4A590A14" w14:textId="486AAD84" w:rsidR="00416D48" w:rsidRPr="00416D48" w:rsidRDefault="00416D48" w:rsidP="00416D48">
            <w:pPr>
              <w:spacing w:before="20" w:after="20" w:line="276" w:lineRule="auto"/>
              <w:jc w:val="center"/>
              <w:rPr>
                <w:b/>
                <w:bCs/>
                <w:color w:val="1F3864"/>
                <w:sz w:val="19"/>
                <w:szCs w:val="19"/>
              </w:rPr>
            </w:pPr>
            <w:r w:rsidRPr="00416D48">
              <w:rPr>
                <w:b/>
                <w:bCs/>
                <w:color w:val="1F3864"/>
                <w:sz w:val="19"/>
                <w:szCs w:val="19"/>
              </w:rPr>
              <w:t>Organization</w:t>
            </w:r>
          </w:p>
        </w:tc>
        <w:tc>
          <w:tcPr>
            <w:tcW w:w="7126"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54E4861E" w14:textId="34C665FD" w:rsidR="00416D48" w:rsidRDefault="00416D48" w:rsidP="00416D48">
            <w:pPr>
              <w:spacing w:before="20" w:after="20" w:line="276" w:lineRule="auto"/>
              <w:jc w:val="center"/>
            </w:pPr>
            <w:r w:rsidRPr="00416D48">
              <w:rPr>
                <w:b/>
                <w:bCs/>
                <w:color w:val="1F3864"/>
                <w:sz w:val="19"/>
                <w:szCs w:val="19"/>
              </w:rPr>
              <w:t>Outlook</w:t>
            </w:r>
          </w:p>
        </w:tc>
      </w:tr>
      <w:tr w:rsidR="00416D48" w14:paraId="23A057FC" w14:textId="77777777" w:rsidTr="00E61D3D">
        <w:tc>
          <w:tcPr>
            <w:tcW w:w="1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EAFF200" w14:textId="77777777" w:rsidR="00416D48" w:rsidRDefault="00416D48" w:rsidP="00E61D3D">
            <w:pPr>
              <w:spacing w:before="20" w:after="20" w:line="276" w:lineRule="auto"/>
            </w:pPr>
            <w:r>
              <w:rPr>
                <w:sz w:val="19"/>
                <w:szCs w:val="19"/>
              </w:rPr>
              <w:t>NOAA</w:t>
            </w:r>
          </w:p>
        </w:tc>
        <w:tc>
          <w:tcPr>
            <w:tcW w:w="71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EE3C8F0" w14:textId="1FCFD90D" w:rsidR="00416D48" w:rsidRDefault="00416D48" w:rsidP="00E61D3D">
            <w:pPr>
              <w:spacing w:before="20" w:after="20" w:line="276" w:lineRule="auto"/>
            </w:pPr>
            <w:r>
              <w:t xml:space="preserve">El Niño is expected to develop between </w:t>
            </w:r>
            <w:r>
              <w:rPr>
                <w:rStyle w:val="ae"/>
              </w:rPr>
              <w:t>May and July</w:t>
            </w:r>
            <w:r>
              <w:t xml:space="preserve">, with a </w:t>
            </w:r>
            <w:r>
              <w:rPr>
                <w:rStyle w:val="ae"/>
              </w:rPr>
              <w:t>high likelihood of intensifying into a Super El Niño between October and February of the following year</w:t>
            </w:r>
            <w:r>
              <w:t>.</w:t>
            </w:r>
          </w:p>
        </w:tc>
      </w:tr>
      <w:tr w:rsidR="00416D48" w14:paraId="4D2BE751" w14:textId="77777777" w:rsidTr="00E61D3D">
        <w:tc>
          <w:tcPr>
            <w:tcW w:w="1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95C2C3F" w14:textId="77777777" w:rsidR="00416D48" w:rsidRDefault="00416D48" w:rsidP="00E61D3D">
            <w:pPr>
              <w:spacing w:before="20" w:after="20" w:line="276" w:lineRule="auto"/>
            </w:pPr>
            <w:r>
              <w:rPr>
                <w:sz w:val="19"/>
                <w:szCs w:val="19"/>
              </w:rPr>
              <w:t>WMO</w:t>
            </w:r>
          </w:p>
        </w:tc>
        <w:tc>
          <w:tcPr>
            <w:tcW w:w="71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01A5496" w14:textId="1B4B3CC6" w:rsidR="00416D48" w:rsidRDefault="00416D48" w:rsidP="00E61D3D">
            <w:pPr>
              <w:spacing w:before="20" w:after="20" w:line="276" w:lineRule="auto"/>
              <w:rPr>
                <w:rFonts w:hint="eastAsia"/>
              </w:rPr>
            </w:pPr>
            <w:r>
              <w:t xml:space="preserve">A </w:t>
            </w:r>
            <w:r>
              <w:rPr>
                <w:rStyle w:val="ae"/>
              </w:rPr>
              <w:t>high probability of El Niño development during May to July</w:t>
            </w:r>
            <w:r>
              <w:t xml:space="preserve">, accompanied by an increased tendency toward </w:t>
            </w:r>
            <w:r>
              <w:rPr>
                <w:rStyle w:val="ae"/>
              </w:rPr>
              <w:t>higher temperatures and drought conditions across Central America and northern South America</w:t>
            </w:r>
            <w:r>
              <w:t>.</w:t>
            </w:r>
          </w:p>
        </w:tc>
      </w:tr>
    </w:tbl>
    <w:p w14:paraId="2855ECB0" w14:textId="77777777" w:rsidR="00416D48" w:rsidRDefault="00416D48" w:rsidP="00416D48">
      <w:pPr>
        <w:spacing w:after="80"/>
      </w:pPr>
    </w:p>
    <w:p w14:paraId="0365E2C0" w14:textId="3CC8DD66" w:rsidR="00416D48" w:rsidRPr="00416D48" w:rsidRDefault="00416D48" w:rsidP="00416D48">
      <w:pPr>
        <w:pStyle w:val="2"/>
        <w:rPr>
          <w:b w:val="0"/>
        </w:rPr>
      </w:pPr>
      <w:r>
        <w:t>3) 물류 영향</w:t>
      </w:r>
      <w:r>
        <w:rPr>
          <w:rFonts w:hint="eastAsia"/>
        </w:rPr>
        <w:t xml:space="preserve"> </w:t>
      </w:r>
      <w:r>
        <w:t>3) Logistics Impact</w:t>
      </w:r>
    </w:p>
    <w:p w14:paraId="1FBD9BA9" w14:textId="77777777" w:rsidR="00416D48" w:rsidRDefault="00416D48" w:rsidP="00416D48">
      <w:pPr>
        <w:pStyle w:val="af"/>
      </w:pPr>
      <w:r>
        <w:t xml:space="preserve">El Niño is widely regarded as a major climate risk affecting </w:t>
      </w:r>
      <w:r>
        <w:rPr>
          <w:rStyle w:val="ae"/>
        </w:rPr>
        <w:t>ocean transportation, port operations, and water resource management</w:t>
      </w:r>
      <w:r>
        <w:t xml:space="preserve">. In particular, reduced rainfall and drought conditions across Central and South America can have a direct impact on the operation of the </w:t>
      </w:r>
      <w:r>
        <w:rPr>
          <w:rStyle w:val="whitespace-normal"/>
        </w:rPr>
        <w:t>Panama Canal</w:t>
      </w:r>
      <w:r>
        <w:t>.</w:t>
      </w:r>
    </w:p>
    <w:p w14:paraId="307BED0F" w14:textId="2318C644" w:rsidR="00416D48" w:rsidRDefault="00416D48" w:rsidP="00416D48">
      <w:pPr>
        <w:pStyle w:val="af"/>
      </w:pPr>
      <w:r>
        <w:t xml:space="preserve">As a lock-based canal, the Panama Canal requires approximately </w:t>
      </w:r>
      <w:r>
        <w:rPr>
          <w:rStyle w:val="ae"/>
        </w:rPr>
        <w:t>200 million liters of freshwater</w:t>
      </w:r>
      <w:r>
        <w:t xml:space="preserve"> to move a single vessel through its locks, equivalent to about </w:t>
      </w:r>
      <w:r>
        <w:rPr>
          <w:rStyle w:val="ae"/>
        </w:rPr>
        <w:t>80 Olympic-size swimming pools</w:t>
      </w:r>
      <w:r>
        <w:t xml:space="preserve">. As a result, the water level of </w:t>
      </w:r>
      <w:r>
        <w:rPr>
          <w:rStyle w:val="ae"/>
        </w:rPr>
        <w:t>Gatun Lake</w:t>
      </w:r>
      <w:r>
        <w:t xml:space="preserve"> plays a critical role in determining the canal's operational capacity.</w:t>
      </w:r>
    </w:p>
    <w:p w14:paraId="087AEEA8" w14:textId="77777777" w:rsidR="00416D48" w:rsidRDefault="00416D48" w:rsidP="00416D48">
      <w:pPr>
        <w:pStyle w:val="af"/>
        <w:rPr>
          <w:rFonts w:hint="eastAsia"/>
        </w:rPr>
      </w:pPr>
    </w:p>
    <w:p w14:paraId="1D423750" w14:textId="692F8B53" w:rsidR="00416D48" w:rsidRDefault="00416D48" w:rsidP="00416D48">
      <w:pPr>
        <w:pStyle w:val="1"/>
      </w:pPr>
      <w:r>
        <w:t>Historical Panama Canal Case (2023–2024)</w:t>
      </w:r>
    </w:p>
    <w:p w14:paraId="1050A9E5" w14:textId="1678CAAE" w:rsidR="00416D48" w:rsidRDefault="00416D48" w:rsidP="00416D48">
      <w:pPr>
        <w:pStyle w:val="2"/>
      </w:pPr>
      <w:r>
        <w:t>1) Draft and Transit Restrictions</w:t>
      </w:r>
    </w:p>
    <w:p w14:paraId="502A791C" w14:textId="77777777" w:rsidR="00416D48" w:rsidRDefault="00416D48" w:rsidP="00416D48">
      <w:pPr>
        <w:pStyle w:val="af"/>
      </w:pPr>
      <w:r>
        <w:t xml:space="preserve">The 2023 El Niño event lasted for approximately </w:t>
      </w:r>
      <w:r>
        <w:rPr>
          <w:rStyle w:val="ae"/>
        </w:rPr>
        <w:t>13 months</w:t>
      </w:r>
      <w:r>
        <w:t>, contributing to a significant decline in Gatun Lake's water levels.</w:t>
      </w:r>
    </w:p>
    <w:p w14:paraId="08751997" w14:textId="77777777" w:rsidR="00416D48" w:rsidRDefault="00416D48" w:rsidP="00416D48">
      <w:pPr>
        <w:pStyle w:val="af"/>
      </w:pPr>
      <w:r>
        <w:t xml:space="preserve">During the El Niño period, the average water level of Gatun Lake was approximately </w:t>
      </w:r>
      <w:r>
        <w:rPr>
          <w:rStyle w:val="ae"/>
        </w:rPr>
        <w:t>80.5 ft</w:t>
      </w:r>
      <w:r>
        <w:t xml:space="preserve">, with a low of </w:t>
      </w:r>
      <w:r>
        <w:rPr>
          <w:rStyle w:val="ae"/>
        </w:rPr>
        <w:t>79.5 ft</w:t>
      </w:r>
      <w:r>
        <w:t xml:space="preserve">, substantially below the </w:t>
      </w:r>
      <w:r>
        <w:rPr>
          <w:rStyle w:val="ae"/>
        </w:rPr>
        <w:t>20-year historical average (2000–2019) of 85.2 ft</w:t>
      </w:r>
      <w:r>
        <w:t>.</w:t>
      </w:r>
    </w:p>
    <w:p w14:paraId="0F637759" w14:textId="77777777" w:rsidR="00416D48" w:rsidRDefault="00416D48" w:rsidP="00416D48">
      <w:pPr>
        <w:pStyle w:val="af"/>
      </w:pPr>
      <w:r>
        <w:t>As water levels continued to decline, the Panama Canal Authority implemented operational restrictions, reducing:</w:t>
      </w:r>
    </w:p>
    <w:p w14:paraId="75E63B5D" w14:textId="77777777" w:rsidR="00416D48" w:rsidRDefault="00416D48" w:rsidP="00416D48">
      <w:pPr>
        <w:widowControl/>
        <w:numPr>
          <w:ilvl w:val="0"/>
          <w:numId w:val="6"/>
        </w:numPr>
        <w:wordWrap/>
        <w:autoSpaceDE/>
        <w:autoSpaceDN/>
        <w:spacing w:before="100" w:beforeAutospacing="1" w:after="100" w:afterAutospacing="1"/>
      </w:pPr>
      <w:r>
        <w:rPr>
          <w:rStyle w:val="ae"/>
        </w:rPr>
        <w:lastRenderedPageBreak/>
        <w:t>Maximum allowable vessel draft:</w:t>
      </w:r>
      <w:r>
        <w:t xml:space="preserve"> from </w:t>
      </w:r>
      <w:r>
        <w:rPr>
          <w:rStyle w:val="ae"/>
        </w:rPr>
        <w:t>50 ft to 44 ft</w:t>
      </w:r>
      <w:r>
        <w:t xml:space="preserve"> </w:t>
      </w:r>
    </w:p>
    <w:p w14:paraId="1C805B2B" w14:textId="77777777" w:rsidR="00416D48" w:rsidRDefault="00416D48" w:rsidP="00416D48">
      <w:pPr>
        <w:widowControl/>
        <w:numPr>
          <w:ilvl w:val="0"/>
          <w:numId w:val="6"/>
        </w:numPr>
        <w:wordWrap/>
        <w:autoSpaceDE/>
        <w:autoSpaceDN/>
        <w:spacing w:before="100" w:beforeAutospacing="1" w:after="100" w:afterAutospacing="1"/>
      </w:pPr>
      <w:r>
        <w:rPr>
          <w:rStyle w:val="ae"/>
        </w:rPr>
        <w:t>Daily transit capacity:</w:t>
      </w:r>
      <w:r>
        <w:t xml:space="preserve"> from </w:t>
      </w:r>
      <w:r>
        <w:rPr>
          <w:rStyle w:val="ae"/>
        </w:rPr>
        <w:t>36–38 vessels to 22 vessels per day</w:t>
      </w:r>
      <w:r>
        <w:t xml:space="preserve"> </w:t>
      </w:r>
    </w:p>
    <w:p w14:paraId="0336482F" w14:textId="77777777" w:rsidR="00416D48" w:rsidRDefault="00416D48" w:rsidP="00416D48">
      <w:pPr>
        <w:pStyle w:val="af"/>
      </w:pPr>
      <w:r>
        <w:t>These measures were necessary to conserve water resources while maintaining canal operations under severe drought conditions.</w:t>
      </w:r>
    </w:p>
    <w:p w14:paraId="63CCDF15" w14:textId="77777777" w:rsidR="00264426" w:rsidRPr="00BA296B" w:rsidRDefault="00264426" w:rsidP="00264426">
      <w:pPr>
        <w:rPr>
          <w:rFonts w:ascii="바탕체" w:eastAsia="바탕체" w:hAnsi="바탕체" w:cs="Arial"/>
          <w:sz w:val="28"/>
          <w:szCs w:val="28"/>
        </w:rPr>
      </w:pPr>
      <w:r w:rsidRPr="00BA296B">
        <w:rPr>
          <w:rFonts w:ascii="바탕체" w:eastAsia="바탕체" w:hAnsi="바탕체"/>
          <w:b/>
          <w:noProof/>
          <w:sz w:val="28"/>
          <w:szCs w:val="28"/>
        </w:rPr>
        <w:drawing>
          <wp:inline distT="0" distB="0" distL="0" distR="0" wp14:anchorId="4597077D" wp14:editId="4E071E9A">
            <wp:extent cx="2780199" cy="2134870"/>
            <wp:effectExtent l="0" t="0" r="1270" b="17780"/>
            <wp:docPr id="6" name="차트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r w:rsidRPr="00BA296B">
        <w:rPr>
          <w:rFonts w:ascii="바탕체" w:eastAsia="바탕체" w:hAnsi="바탕체" w:cs="Arial" w:hint="eastAsia"/>
          <w:sz w:val="28"/>
          <w:szCs w:val="28"/>
        </w:rPr>
        <w:t xml:space="preserve"> </w:t>
      </w:r>
      <w:r w:rsidRPr="00BA296B">
        <w:rPr>
          <w:rFonts w:ascii="바탕체" w:eastAsia="바탕체" w:hAnsi="바탕체"/>
          <w:noProof/>
          <w:sz w:val="28"/>
          <w:szCs w:val="28"/>
        </w:rPr>
        <w:drawing>
          <wp:inline distT="0" distB="0" distL="0" distR="0" wp14:anchorId="022DCBC5" wp14:editId="31EF0588">
            <wp:extent cx="2727193" cy="2124259"/>
            <wp:effectExtent l="0" t="0" r="16510" b="9525"/>
            <wp:docPr id="7" name="차트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3FF380D6" w14:textId="77777777" w:rsidR="00416D48" w:rsidRDefault="00416D48" w:rsidP="00416D48">
      <w:pPr>
        <w:pStyle w:val="2"/>
      </w:pPr>
    </w:p>
    <w:p w14:paraId="7BA269B4" w14:textId="4637C8CF" w:rsidR="00416D48" w:rsidRPr="00416D48" w:rsidRDefault="00416D48" w:rsidP="00416D48">
      <w:pPr>
        <w:pStyle w:val="2"/>
        <w:rPr>
          <w:b w:val="0"/>
        </w:rPr>
      </w:pPr>
      <w:r>
        <w:t>2) 운하 혼잡 증가</w:t>
      </w:r>
      <w:r>
        <w:rPr>
          <w:rFonts w:hint="eastAsia"/>
        </w:rPr>
        <w:t xml:space="preserve"> </w:t>
      </w:r>
      <w:r>
        <w:t>2) Increased Canal Congestion</w:t>
      </w:r>
    </w:p>
    <w:p w14:paraId="20BE2809" w14:textId="31084F39" w:rsidR="00416D48" w:rsidRDefault="00416D48" w:rsidP="00416D48">
      <w:pPr>
        <w:spacing w:after="120" w:line="300" w:lineRule="auto"/>
      </w:pPr>
      <w:r>
        <w:t xml:space="preserve">During the early stages of El Niño, the number of waiting vessels and average waiting times remained broadly in line with pre-El Niño levels. However, as low water levels persisted and transit restrictions became more stringent, congestion in the Panama Canal increased significantly from </w:t>
      </w:r>
      <w:r>
        <w:rPr>
          <w:rStyle w:val="ae"/>
        </w:rPr>
        <w:t>November 2023 onward</w:t>
      </w:r>
      <w:r>
        <w:t>.</w:t>
      </w:r>
    </w:p>
    <w:tbl>
      <w:tblPr>
        <w:tblW w:w="9026"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8"/>
        <w:gridCol w:w="2208"/>
        <w:gridCol w:w="2210"/>
      </w:tblGrid>
      <w:tr w:rsidR="00416D48" w14:paraId="263AB49F" w14:textId="77777777" w:rsidTr="00E61D3D">
        <w:trPr>
          <w:tblHeader/>
        </w:trPr>
        <w:tc>
          <w:tcPr>
            <w:tcW w:w="24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1BB85F06" w14:textId="77777777" w:rsidR="00416D48" w:rsidRPr="00416D48" w:rsidRDefault="00416D48" w:rsidP="00E61D3D">
            <w:pPr>
              <w:spacing w:before="20" w:after="20" w:line="276" w:lineRule="auto"/>
              <w:jc w:val="center"/>
              <w:rPr>
                <w:b/>
                <w:bCs/>
                <w:color w:val="1F3864"/>
                <w:sz w:val="19"/>
                <w:szCs w:val="19"/>
              </w:rPr>
            </w:pPr>
            <w:r>
              <w:rPr>
                <w:b/>
                <w:bCs/>
                <w:color w:val="1F3864"/>
                <w:sz w:val="19"/>
                <w:szCs w:val="19"/>
              </w:rPr>
              <w:t>구분</w:t>
            </w:r>
          </w:p>
          <w:p w14:paraId="3A12AEAC" w14:textId="28AC248C" w:rsidR="00416D48" w:rsidRPr="00416D48" w:rsidRDefault="00416D48" w:rsidP="00416D48">
            <w:pPr>
              <w:widowControl/>
              <w:wordWrap/>
              <w:autoSpaceDE/>
              <w:autoSpaceDN/>
              <w:jc w:val="center"/>
              <w:rPr>
                <w:rFonts w:hint="eastAsia"/>
                <w:b/>
                <w:bCs/>
                <w:color w:val="1F3864"/>
                <w:sz w:val="19"/>
                <w:szCs w:val="19"/>
              </w:rPr>
            </w:pPr>
            <w:r w:rsidRPr="00416D48">
              <w:rPr>
                <w:b/>
                <w:bCs/>
                <w:color w:val="1F3864"/>
                <w:sz w:val="19"/>
                <w:szCs w:val="19"/>
              </w:rPr>
              <w:t>Category</w:t>
            </w:r>
          </w:p>
        </w:tc>
        <w:tc>
          <w:tcPr>
            <w:tcW w:w="2208"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029858D3" w14:textId="77777777" w:rsidR="00416D48" w:rsidRDefault="00416D48" w:rsidP="00E61D3D">
            <w:pPr>
              <w:spacing w:before="20" w:after="20" w:line="276" w:lineRule="auto"/>
              <w:jc w:val="center"/>
              <w:rPr>
                <w:b/>
                <w:bCs/>
                <w:color w:val="1F3864"/>
                <w:sz w:val="19"/>
                <w:szCs w:val="19"/>
              </w:rPr>
            </w:pPr>
            <w:r w:rsidRPr="00416D48">
              <w:rPr>
                <w:b/>
                <w:bCs/>
                <w:color w:val="1F3864"/>
                <w:sz w:val="19"/>
                <w:szCs w:val="19"/>
              </w:rPr>
              <w:t xml:space="preserve">Pre-El Niño </w:t>
            </w:r>
          </w:p>
          <w:p w14:paraId="66E87802" w14:textId="7F192473" w:rsidR="00416D48" w:rsidRPr="00416D48" w:rsidRDefault="00416D48" w:rsidP="00E61D3D">
            <w:pPr>
              <w:spacing w:before="20" w:after="20" w:line="276" w:lineRule="auto"/>
              <w:jc w:val="center"/>
              <w:rPr>
                <w:b/>
                <w:bCs/>
                <w:color w:val="1F3864"/>
                <w:sz w:val="19"/>
                <w:szCs w:val="19"/>
              </w:rPr>
            </w:pPr>
            <w:r w:rsidRPr="00416D48">
              <w:rPr>
                <w:b/>
                <w:bCs/>
                <w:color w:val="1F3864"/>
                <w:sz w:val="19"/>
                <w:szCs w:val="19"/>
              </w:rPr>
              <w:t>(Jan–Apr 2023)</w:t>
            </w:r>
          </w:p>
        </w:tc>
        <w:tc>
          <w:tcPr>
            <w:tcW w:w="2208"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055A952A" w14:textId="77777777" w:rsidR="00416D48" w:rsidRDefault="00416D48" w:rsidP="00E61D3D">
            <w:pPr>
              <w:spacing w:before="20" w:after="20" w:line="276" w:lineRule="auto"/>
              <w:jc w:val="center"/>
              <w:rPr>
                <w:b/>
                <w:bCs/>
                <w:color w:val="1F3864"/>
                <w:sz w:val="19"/>
                <w:szCs w:val="19"/>
              </w:rPr>
            </w:pPr>
            <w:r w:rsidRPr="00416D48">
              <w:rPr>
                <w:b/>
                <w:bCs/>
                <w:color w:val="1F3864"/>
                <w:sz w:val="19"/>
                <w:szCs w:val="19"/>
              </w:rPr>
              <w:t xml:space="preserve">Early El Niño </w:t>
            </w:r>
          </w:p>
          <w:p w14:paraId="581E8D2C" w14:textId="3059F00B" w:rsidR="00416D48" w:rsidRPr="00416D48" w:rsidRDefault="00416D48" w:rsidP="00E61D3D">
            <w:pPr>
              <w:spacing w:before="20" w:after="20" w:line="276" w:lineRule="auto"/>
              <w:jc w:val="center"/>
              <w:rPr>
                <w:b/>
                <w:bCs/>
                <w:color w:val="1F3864"/>
                <w:sz w:val="19"/>
                <w:szCs w:val="19"/>
              </w:rPr>
            </w:pPr>
            <w:r w:rsidRPr="00416D48">
              <w:rPr>
                <w:b/>
                <w:bCs/>
                <w:color w:val="1F3864"/>
                <w:sz w:val="19"/>
                <w:szCs w:val="19"/>
              </w:rPr>
              <w:t>(May–Oct 2023)</w:t>
            </w:r>
          </w:p>
        </w:tc>
        <w:tc>
          <w:tcPr>
            <w:tcW w:w="221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49178449" w14:textId="385E6DEA" w:rsidR="00416D48" w:rsidRPr="00416D48" w:rsidRDefault="00416D48" w:rsidP="00E61D3D">
            <w:pPr>
              <w:spacing w:before="20" w:after="20" w:line="276" w:lineRule="auto"/>
              <w:jc w:val="center"/>
              <w:rPr>
                <w:b/>
                <w:bCs/>
                <w:color w:val="1F3864"/>
                <w:sz w:val="19"/>
                <w:szCs w:val="19"/>
              </w:rPr>
            </w:pPr>
            <w:r w:rsidRPr="00416D48">
              <w:rPr>
                <w:b/>
                <w:bCs/>
                <w:color w:val="1F3864"/>
                <w:sz w:val="19"/>
                <w:szCs w:val="19"/>
              </w:rPr>
              <w:t>Severe El Niño Phase (Nov 2023–Mar 2024)</w:t>
            </w:r>
          </w:p>
        </w:tc>
      </w:tr>
      <w:tr w:rsidR="00416D48" w14:paraId="6023C657" w14:textId="77777777" w:rsidTr="00E61D3D">
        <w:tc>
          <w:tcPr>
            <w:tcW w:w="2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52FF1E8" w14:textId="1F17AEA0" w:rsidR="00416D48" w:rsidRDefault="00416D48" w:rsidP="00E61D3D">
            <w:pPr>
              <w:spacing w:before="20" w:after="20" w:line="276" w:lineRule="auto"/>
            </w:pPr>
            <w:r>
              <w:t>Average Number of Waiting Vessels</w:t>
            </w:r>
          </w:p>
        </w:tc>
        <w:tc>
          <w:tcPr>
            <w:tcW w:w="2208"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B602953" w14:textId="3682FC71" w:rsidR="00416D48" w:rsidRPr="00416D48" w:rsidRDefault="00416D48" w:rsidP="00E61D3D">
            <w:pPr>
              <w:spacing w:before="20" w:after="20" w:line="276" w:lineRule="auto"/>
              <w:jc w:val="right"/>
            </w:pPr>
            <w:r>
              <w:t>13.3 vessels</w:t>
            </w:r>
          </w:p>
        </w:tc>
        <w:tc>
          <w:tcPr>
            <w:tcW w:w="2208"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31E190B" w14:textId="12F6B913" w:rsidR="00416D48" w:rsidRPr="00416D48" w:rsidRDefault="00416D48" w:rsidP="00416D48">
            <w:pPr>
              <w:spacing w:before="20" w:after="20" w:line="276" w:lineRule="auto"/>
              <w:jc w:val="right"/>
            </w:pPr>
            <w:r w:rsidRPr="00416D48">
              <w:rPr>
                <w:sz w:val="19"/>
                <w:szCs w:val="19"/>
              </w:rPr>
              <w:t>12.4</w:t>
            </w:r>
            <w:r>
              <w:t xml:space="preserve"> </w:t>
            </w:r>
            <w:r>
              <w:t>vessels</w:t>
            </w:r>
          </w:p>
        </w:tc>
        <w:tc>
          <w:tcPr>
            <w:tcW w:w="221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4B35DD7" w14:textId="612B977C" w:rsidR="00416D48" w:rsidRPr="00416D48" w:rsidRDefault="00416D48" w:rsidP="00416D48">
            <w:pPr>
              <w:spacing w:before="20" w:after="20" w:line="276" w:lineRule="auto"/>
              <w:jc w:val="right"/>
            </w:pPr>
            <w:r w:rsidRPr="00416D48">
              <w:rPr>
                <w:sz w:val="19"/>
                <w:szCs w:val="19"/>
              </w:rPr>
              <w:t>17.3</w:t>
            </w:r>
            <w:r>
              <w:t xml:space="preserve"> </w:t>
            </w:r>
            <w:r>
              <w:t>vessels</w:t>
            </w:r>
          </w:p>
        </w:tc>
      </w:tr>
      <w:tr w:rsidR="00416D48" w14:paraId="22DBC60E" w14:textId="77777777" w:rsidTr="00E61D3D">
        <w:tc>
          <w:tcPr>
            <w:tcW w:w="2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77CE227" w14:textId="445CA38F" w:rsidR="00416D48" w:rsidRDefault="00416D48" w:rsidP="00E61D3D">
            <w:pPr>
              <w:spacing w:before="20" w:after="20" w:line="276" w:lineRule="auto"/>
            </w:pPr>
            <w:r>
              <w:t>Average Waiting Time</w:t>
            </w:r>
          </w:p>
        </w:tc>
        <w:tc>
          <w:tcPr>
            <w:tcW w:w="2208"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CFCD73E" w14:textId="094346D1" w:rsidR="00416D48" w:rsidRPr="00416D48" w:rsidRDefault="00416D48" w:rsidP="00416D48">
            <w:pPr>
              <w:spacing w:before="20" w:after="20" w:line="276" w:lineRule="auto"/>
              <w:jc w:val="right"/>
            </w:pPr>
            <w:r w:rsidRPr="00416D48">
              <w:rPr>
                <w:sz w:val="19"/>
                <w:szCs w:val="19"/>
              </w:rPr>
              <w:t>17.5</w:t>
            </w:r>
            <w:r>
              <w:t xml:space="preserve"> </w:t>
            </w:r>
            <w:r>
              <w:t>hours</w:t>
            </w:r>
          </w:p>
        </w:tc>
        <w:tc>
          <w:tcPr>
            <w:tcW w:w="2208"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ADA6700" w14:textId="4DE65DE7" w:rsidR="00416D48" w:rsidRPr="00416D48" w:rsidRDefault="00416D48" w:rsidP="00416D48">
            <w:pPr>
              <w:spacing w:before="20" w:after="20" w:line="276" w:lineRule="auto"/>
              <w:jc w:val="right"/>
            </w:pPr>
            <w:r w:rsidRPr="00416D48">
              <w:rPr>
                <w:sz w:val="19"/>
                <w:szCs w:val="19"/>
              </w:rPr>
              <w:t>17.1</w:t>
            </w:r>
            <w:r>
              <w:t xml:space="preserve"> </w:t>
            </w:r>
            <w:r>
              <w:t>hours</w:t>
            </w:r>
          </w:p>
        </w:tc>
        <w:tc>
          <w:tcPr>
            <w:tcW w:w="221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7AE400B" w14:textId="2C6DCD13" w:rsidR="00416D48" w:rsidRPr="00416D48" w:rsidRDefault="00416D48" w:rsidP="00416D48">
            <w:pPr>
              <w:spacing w:before="20" w:after="20" w:line="276" w:lineRule="auto"/>
              <w:jc w:val="right"/>
            </w:pPr>
            <w:commentRangeStart w:id="2"/>
            <w:r w:rsidRPr="00416D48">
              <w:rPr>
                <w:sz w:val="19"/>
                <w:szCs w:val="19"/>
              </w:rPr>
              <w:t>25.8</w:t>
            </w:r>
            <w:commentRangeEnd w:id="2"/>
            <w:r w:rsidRPr="00416D48">
              <w:rPr>
                <w:rStyle w:val="aa"/>
              </w:rPr>
              <w:commentReference w:id="2"/>
            </w:r>
            <w:r>
              <w:t xml:space="preserve"> </w:t>
            </w:r>
            <w:r>
              <w:t>hours</w:t>
            </w:r>
          </w:p>
        </w:tc>
      </w:tr>
    </w:tbl>
    <w:p w14:paraId="2331C0CA" w14:textId="1B3A9EE2" w:rsidR="00416D48" w:rsidRPr="00416D48" w:rsidRDefault="00416D48" w:rsidP="00416D48">
      <w:pPr>
        <w:pStyle w:val="af"/>
        <w:rPr>
          <w:color w:val="595959"/>
          <w:sz w:val="18"/>
          <w:szCs w:val="18"/>
        </w:rPr>
      </w:pPr>
      <w:r>
        <w:rPr>
          <w:color w:val="595959"/>
          <w:sz w:val="18"/>
          <w:szCs w:val="18"/>
        </w:rPr>
        <w:t xml:space="preserve">※ </w:t>
      </w:r>
      <w:r w:rsidRPr="00416D48">
        <w:rPr>
          <w:b/>
          <w:bCs/>
          <w:color w:val="595959"/>
          <w:sz w:val="18"/>
          <w:szCs w:val="18"/>
        </w:rPr>
        <w:t>Compared with the early El Niño period:</w:t>
      </w:r>
      <w:r>
        <w:rPr>
          <w:b/>
          <w:bCs/>
          <w:color w:val="595959"/>
          <w:sz w:val="18"/>
          <w:szCs w:val="18"/>
        </w:rPr>
        <w:t xml:space="preserve">  </w:t>
      </w:r>
      <w:r w:rsidRPr="00416D48">
        <w:rPr>
          <w:color w:val="595959"/>
          <w:sz w:val="18"/>
          <w:szCs w:val="18"/>
        </w:rPr>
        <w:t xml:space="preserve">Average number of waiting vessels increased by </w:t>
      </w:r>
      <w:r w:rsidRPr="00416D48">
        <w:rPr>
          <w:b/>
          <w:bCs/>
          <w:color w:val="595959"/>
          <w:sz w:val="18"/>
          <w:szCs w:val="18"/>
        </w:rPr>
        <w:t>39.2%</w:t>
      </w:r>
      <w:r>
        <w:rPr>
          <w:b/>
          <w:bCs/>
          <w:color w:val="595959"/>
          <w:sz w:val="18"/>
          <w:szCs w:val="18"/>
        </w:rPr>
        <w:t xml:space="preserve">, </w:t>
      </w:r>
      <w:r w:rsidRPr="00416D48">
        <w:rPr>
          <w:color w:val="595959"/>
          <w:sz w:val="18"/>
          <w:szCs w:val="18"/>
        </w:rPr>
        <w:t xml:space="preserve">Average waiting time increased by </w:t>
      </w:r>
      <w:r w:rsidRPr="00416D48">
        <w:rPr>
          <w:b/>
          <w:bCs/>
          <w:color w:val="595959"/>
          <w:sz w:val="18"/>
          <w:szCs w:val="18"/>
        </w:rPr>
        <w:t>51.0%</w:t>
      </w:r>
    </w:p>
    <w:p w14:paraId="6449DBAE" w14:textId="0B61205B" w:rsidR="00416D48" w:rsidRPr="00416D48" w:rsidRDefault="00416D48" w:rsidP="00416D48">
      <w:pPr>
        <w:spacing w:before="80" w:after="120" w:line="290" w:lineRule="auto"/>
      </w:pPr>
    </w:p>
    <w:p w14:paraId="007D7ED4" w14:textId="66AD2CF2" w:rsidR="00416D48" w:rsidRDefault="00416D48" w:rsidP="00416D48">
      <w:pPr>
        <w:spacing w:after="120" w:line="300" w:lineRule="auto"/>
      </w:pPr>
      <w:r>
        <w:t>Operational bottlenecks expanded due to draft restrictions, reduced transit slots, and longer waiting times for non-reserved vessels, resulting in increased canal congestion.</w:t>
      </w:r>
      <w:r>
        <w:t xml:space="preserve"> </w:t>
      </w:r>
    </w:p>
    <w:p w14:paraId="69772B9B" w14:textId="403CCC55" w:rsidR="00416D48" w:rsidRDefault="00264426" w:rsidP="00416D48">
      <w:pPr>
        <w:spacing w:after="120" w:line="300" w:lineRule="auto"/>
      </w:pPr>
      <w:r>
        <w:rPr>
          <w:rFonts w:ascii="바탕체" w:eastAsia="바탕체" w:hAnsi="바탕체"/>
          <w:b/>
          <w:noProof/>
          <w:sz w:val="28"/>
          <w:szCs w:val="28"/>
        </w:rPr>
        <w:lastRenderedPageBreak/>
        <w:drawing>
          <wp:inline distT="0" distB="0" distL="0" distR="0" wp14:anchorId="7777BE41" wp14:editId="47CABA99">
            <wp:extent cx="5486400" cy="1616451"/>
            <wp:effectExtent l="0" t="0" r="0" b="3175"/>
            <wp:docPr id="8" name="차트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bookmarkStart w:id="3" w:name="_GoBack"/>
      <w:bookmarkEnd w:id="3"/>
    </w:p>
    <w:p w14:paraId="1BD0DA0A" w14:textId="77777777" w:rsidR="00416D48" w:rsidRDefault="00416D48" w:rsidP="00416D48">
      <w:pPr>
        <w:pStyle w:val="2"/>
      </w:pPr>
    </w:p>
    <w:p w14:paraId="364972D2" w14:textId="080C959F" w:rsidR="00416D48" w:rsidRPr="00661FA2" w:rsidRDefault="00416D48" w:rsidP="00416D48">
      <w:pPr>
        <w:pStyle w:val="2"/>
        <w:rPr>
          <w:strike/>
          <w:color w:val="FF0000"/>
        </w:rPr>
      </w:pPr>
      <w:r>
        <w:t>3) 적재량 손실</w:t>
      </w:r>
      <w:r>
        <w:rPr>
          <w:rFonts w:hint="eastAsia"/>
        </w:rPr>
        <w:t xml:space="preserve"> </w:t>
      </w:r>
      <w:r>
        <w:t xml:space="preserve">3) Cargo Capacity Loss </w:t>
      </w:r>
    </w:p>
    <w:p w14:paraId="3AC6BD2D" w14:textId="443C9BE9" w:rsidR="00416D48" w:rsidRPr="00416D48" w:rsidRDefault="00416D48" w:rsidP="00416D48">
      <w:pPr>
        <w:spacing w:after="120" w:line="300" w:lineRule="auto"/>
        <w:rPr>
          <w:b/>
        </w:rPr>
      </w:pPr>
      <w:r>
        <w:t>Although daily transit capacity was restricted due to declining water levels in Gatun Lake, the impact varied by vessel type.</w:t>
      </w:r>
    </w:p>
    <w:tbl>
      <w:tblPr>
        <w:tblW w:w="9026"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3826"/>
      </w:tblGrid>
      <w:tr w:rsidR="00416D48" w14:paraId="1BB3D3AE" w14:textId="77777777" w:rsidTr="00E61D3D">
        <w:trPr>
          <w:tblHeader/>
        </w:trPr>
        <w:tc>
          <w:tcPr>
            <w:tcW w:w="24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75544DD9" w14:textId="4CFC00CC" w:rsidR="00416D48" w:rsidRPr="00416D48" w:rsidRDefault="00416D48" w:rsidP="00E61D3D">
            <w:pPr>
              <w:spacing w:before="20" w:after="20" w:line="276" w:lineRule="auto"/>
              <w:jc w:val="center"/>
              <w:rPr>
                <w:b/>
                <w:bCs/>
                <w:color w:val="1F3864"/>
                <w:sz w:val="19"/>
                <w:szCs w:val="19"/>
              </w:rPr>
            </w:pPr>
            <w:r w:rsidRPr="00416D48">
              <w:rPr>
                <w:b/>
                <w:bCs/>
                <w:color w:val="1F3864"/>
                <w:sz w:val="19"/>
                <w:szCs w:val="19"/>
              </w:rPr>
              <w:t>Vessel Type</w:t>
            </w:r>
          </w:p>
        </w:tc>
        <w:tc>
          <w:tcPr>
            <w:tcW w:w="28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3E3B6A41" w14:textId="7277F3C0" w:rsidR="00416D48" w:rsidRPr="00416D48" w:rsidRDefault="00416D48" w:rsidP="00E61D3D">
            <w:pPr>
              <w:spacing w:before="20" w:after="20" w:line="276" w:lineRule="auto"/>
              <w:jc w:val="center"/>
              <w:rPr>
                <w:b/>
                <w:bCs/>
                <w:color w:val="1F3864"/>
                <w:sz w:val="19"/>
                <w:szCs w:val="19"/>
              </w:rPr>
            </w:pPr>
            <w:r w:rsidRPr="00416D48">
              <w:rPr>
                <w:b/>
                <w:bCs/>
                <w:color w:val="1F3864"/>
                <w:sz w:val="19"/>
                <w:szCs w:val="19"/>
              </w:rPr>
              <w:t>Change in Transit Volume</w:t>
            </w:r>
          </w:p>
        </w:tc>
        <w:tc>
          <w:tcPr>
            <w:tcW w:w="3826"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08681329" w14:textId="29983174" w:rsidR="00416D48" w:rsidRPr="00416D48" w:rsidRDefault="00416D48" w:rsidP="00E61D3D">
            <w:pPr>
              <w:spacing w:before="20" w:after="20" w:line="276" w:lineRule="auto"/>
              <w:jc w:val="center"/>
              <w:rPr>
                <w:b/>
                <w:bCs/>
                <w:color w:val="1F3864"/>
                <w:sz w:val="19"/>
                <w:szCs w:val="19"/>
              </w:rPr>
            </w:pPr>
            <w:r w:rsidRPr="00416D48">
              <w:rPr>
                <w:b/>
                <w:bCs/>
                <w:color w:val="1F3864"/>
                <w:sz w:val="19"/>
                <w:szCs w:val="19"/>
              </w:rPr>
              <w:t>Key Impact</w:t>
            </w:r>
          </w:p>
        </w:tc>
      </w:tr>
      <w:tr w:rsidR="00416D48" w14:paraId="17B6C142" w14:textId="77777777" w:rsidTr="00E61D3D">
        <w:tc>
          <w:tcPr>
            <w:tcW w:w="2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CCC6E23" w14:textId="258D52CB" w:rsidR="00416D48" w:rsidRDefault="00416D48" w:rsidP="00E61D3D">
            <w:pPr>
              <w:spacing w:before="20" w:after="20" w:line="276" w:lineRule="auto"/>
            </w:pPr>
            <w:r>
              <w:t>Container Vessels</w:t>
            </w:r>
          </w:p>
        </w:tc>
        <w:tc>
          <w:tcPr>
            <w:tcW w:w="28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9AA09D6" w14:textId="1215ED7A" w:rsidR="00416D48" w:rsidRDefault="00416D48" w:rsidP="00E61D3D">
            <w:pPr>
              <w:spacing w:before="20" w:after="20" w:line="276" w:lineRule="auto"/>
            </w:pPr>
            <w:r>
              <w:t>Maintained at approximately 7 vessels per day (supported by advance slot reservations)</w:t>
            </w:r>
          </w:p>
        </w:tc>
        <w:tc>
          <w:tcPr>
            <w:tcW w:w="38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B481767" w14:textId="1A288363" w:rsidR="00416D48" w:rsidRDefault="00416D48" w:rsidP="00E61D3D">
            <w:pPr>
              <w:spacing w:before="20" w:after="20" w:line="276" w:lineRule="auto"/>
            </w:pPr>
            <w:r>
              <w:t xml:space="preserve">When the maximum allowable draft was reduced from </w:t>
            </w:r>
            <w:r>
              <w:rPr>
                <w:rStyle w:val="ae"/>
              </w:rPr>
              <w:t>50 ft to 44 ft</w:t>
            </w:r>
            <w:r>
              <w:t xml:space="preserve">, a </w:t>
            </w:r>
            <w:r>
              <w:rPr>
                <w:rStyle w:val="ae"/>
              </w:rPr>
              <w:t>15,000 TEU-class container vessel</w:t>
            </w:r>
            <w:r>
              <w:t xml:space="preserve"> experienced a cargo capacity reduction of up to </w:t>
            </w:r>
            <w:r>
              <w:rPr>
                <w:rStyle w:val="ae"/>
              </w:rPr>
              <w:t>2,100 TEU (-14%)</w:t>
            </w:r>
          </w:p>
        </w:tc>
      </w:tr>
    </w:tbl>
    <w:p w14:paraId="6F0A3C73" w14:textId="77777777" w:rsidR="00416D48" w:rsidRDefault="00416D48" w:rsidP="00416D48">
      <w:pPr>
        <w:pStyle w:val="af"/>
      </w:pPr>
      <w:r>
        <w:t>The impact of low water levels on container shipping was reflected less in the number of vessel transits and more in increased operating costs, reduced scheduling flexibility, greater difficulty securing transit slots, and a decline in effective cargo-carrying capacity.</w:t>
      </w:r>
    </w:p>
    <w:p w14:paraId="76BDEAD4" w14:textId="77777777" w:rsidR="00416D48" w:rsidRDefault="00416D48" w:rsidP="00416D48">
      <w:pPr>
        <w:pStyle w:val="af"/>
      </w:pPr>
      <w:r>
        <w:t>Actual cargo capacity losses may vary depending on factors such as draft restrictions, vessel design, and trade routes.</w:t>
      </w:r>
    </w:p>
    <w:p w14:paraId="5736121F" w14:textId="77777777" w:rsidR="00416D48" w:rsidRPr="00416D48" w:rsidRDefault="00416D48" w:rsidP="00416D48">
      <w:pPr>
        <w:pStyle w:val="2"/>
      </w:pPr>
    </w:p>
    <w:p w14:paraId="50621324" w14:textId="74DF49F8" w:rsidR="00416D48" w:rsidRDefault="00416D48" w:rsidP="00416D48">
      <w:pPr>
        <w:pStyle w:val="2"/>
      </w:pPr>
      <w:r>
        <w:t>4) Surcharge Implementation</w:t>
      </w:r>
    </w:p>
    <w:p w14:paraId="5D852AC9" w14:textId="1C4AB01A" w:rsidR="00416D48" w:rsidRDefault="00416D48" w:rsidP="00416D48">
      <w:pPr>
        <w:spacing w:after="120" w:line="300" w:lineRule="auto"/>
      </w:pPr>
      <w:r>
        <w:t xml:space="preserve">Beginning in the second half of 2023, major shipping lines introduced surcharges related to Panama Canal low-water conditions, including </w:t>
      </w:r>
      <w:r>
        <w:rPr>
          <w:rStyle w:val="ae"/>
        </w:rPr>
        <w:t>Canal Surcharges</w:t>
      </w:r>
      <w:r>
        <w:t xml:space="preserve">, </w:t>
      </w:r>
      <w:r>
        <w:rPr>
          <w:rStyle w:val="ae"/>
        </w:rPr>
        <w:t>Low Water Surcharges</w:t>
      </w:r>
      <w:r>
        <w:t xml:space="preserve">, and </w:t>
      </w:r>
      <w:r>
        <w:rPr>
          <w:rStyle w:val="ae"/>
        </w:rPr>
        <w:t>Drought Surcharges</w:t>
      </w:r>
      <w:r>
        <w:t>.</w:t>
      </w:r>
    </w:p>
    <w:tbl>
      <w:tblPr>
        <w:tblW w:w="9026"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416D48" w14:paraId="4A77EE5F" w14:textId="77777777" w:rsidTr="00E61D3D">
        <w:trPr>
          <w:tblHeader/>
        </w:trPr>
        <w:tc>
          <w:tcPr>
            <w:tcW w:w="4513"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58C751A3" w14:textId="6509B7AE" w:rsidR="00416D48" w:rsidRPr="00416D48" w:rsidRDefault="00416D48" w:rsidP="00E61D3D">
            <w:pPr>
              <w:spacing w:before="20" w:after="20" w:line="276" w:lineRule="auto"/>
              <w:jc w:val="center"/>
              <w:rPr>
                <w:b/>
                <w:bCs/>
                <w:color w:val="1F3864"/>
                <w:sz w:val="19"/>
                <w:szCs w:val="19"/>
              </w:rPr>
            </w:pPr>
            <w:r w:rsidRPr="00416D48">
              <w:rPr>
                <w:b/>
                <w:bCs/>
                <w:color w:val="1F3864"/>
                <w:sz w:val="19"/>
                <w:szCs w:val="19"/>
              </w:rPr>
              <w:lastRenderedPageBreak/>
              <w:t>Carrier</w:t>
            </w:r>
          </w:p>
        </w:tc>
        <w:tc>
          <w:tcPr>
            <w:tcW w:w="4513"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7193B447" w14:textId="6C276FCE" w:rsidR="00416D48" w:rsidRPr="00416D48" w:rsidRDefault="00416D48" w:rsidP="00E61D3D">
            <w:pPr>
              <w:spacing w:before="20" w:after="20" w:line="276" w:lineRule="auto"/>
              <w:jc w:val="center"/>
              <w:rPr>
                <w:b/>
                <w:bCs/>
                <w:color w:val="1F3864"/>
                <w:sz w:val="19"/>
                <w:szCs w:val="19"/>
              </w:rPr>
            </w:pPr>
            <w:r w:rsidRPr="00416D48">
              <w:rPr>
                <w:b/>
                <w:bCs/>
                <w:color w:val="1F3864"/>
                <w:sz w:val="19"/>
                <w:szCs w:val="19"/>
              </w:rPr>
              <w:t>Surcharge per TEU (at the time of implementation)</w:t>
            </w:r>
          </w:p>
        </w:tc>
      </w:tr>
      <w:tr w:rsidR="00416D48" w14:paraId="2244E021" w14:textId="77777777" w:rsidTr="00E61D3D">
        <w:tc>
          <w:tcPr>
            <w:tcW w:w="451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6007F9C" w14:textId="77777777" w:rsidR="00416D48" w:rsidRDefault="00416D48" w:rsidP="00E61D3D">
            <w:pPr>
              <w:spacing w:before="20" w:after="20" w:line="276" w:lineRule="auto"/>
            </w:pPr>
            <w:r>
              <w:rPr>
                <w:sz w:val="19"/>
                <w:szCs w:val="19"/>
              </w:rPr>
              <w:t>Maersk</w:t>
            </w:r>
          </w:p>
        </w:tc>
        <w:tc>
          <w:tcPr>
            <w:tcW w:w="451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C2C805B" w14:textId="77777777" w:rsidR="00416D48" w:rsidRDefault="00416D48" w:rsidP="00E61D3D">
            <w:pPr>
              <w:spacing w:before="20" w:after="20" w:line="276" w:lineRule="auto"/>
            </w:pPr>
            <w:r>
              <w:rPr>
                <w:sz w:val="19"/>
                <w:szCs w:val="19"/>
              </w:rPr>
              <w:t>$175</w:t>
            </w:r>
          </w:p>
        </w:tc>
      </w:tr>
      <w:tr w:rsidR="00416D48" w14:paraId="2E338E3B" w14:textId="77777777" w:rsidTr="00E61D3D">
        <w:tc>
          <w:tcPr>
            <w:tcW w:w="451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75706E3" w14:textId="77777777" w:rsidR="00416D48" w:rsidRDefault="00416D48" w:rsidP="00E61D3D">
            <w:pPr>
              <w:spacing w:before="20" w:after="20" w:line="276" w:lineRule="auto"/>
            </w:pPr>
            <w:r>
              <w:rPr>
                <w:sz w:val="19"/>
                <w:szCs w:val="19"/>
              </w:rPr>
              <w:t>CMA CGM</w:t>
            </w:r>
          </w:p>
        </w:tc>
        <w:tc>
          <w:tcPr>
            <w:tcW w:w="451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0B01571" w14:textId="77777777" w:rsidR="00416D48" w:rsidRDefault="00416D48" w:rsidP="00E61D3D">
            <w:pPr>
              <w:spacing w:before="20" w:after="20" w:line="276" w:lineRule="auto"/>
            </w:pPr>
            <w:r>
              <w:rPr>
                <w:sz w:val="19"/>
                <w:szCs w:val="19"/>
              </w:rPr>
              <w:t>$150</w:t>
            </w:r>
          </w:p>
        </w:tc>
      </w:tr>
      <w:tr w:rsidR="00416D48" w14:paraId="1E685F66" w14:textId="77777777" w:rsidTr="00E61D3D">
        <w:tc>
          <w:tcPr>
            <w:tcW w:w="451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AE442C8" w14:textId="77777777" w:rsidR="00416D48" w:rsidRDefault="00416D48" w:rsidP="00E61D3D">
            <w:pPr>
              <w:spacing w:before="20" w:after="20" w:line="276" w:lineRule="auto"/>
            </w:pPr>
            <w:r>
              <w:rPr>
                <w:sz w:val="19"/>
                <w:szCs w:val="19"/>
              </w:rPr>
              <w:t>Hapag-Lloyd</w:t>
            </w:r>
          </w:p>
        </w:tc>
        <w:tc>
          <w:tcPr>
            <w:tcW w:w="451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1E2A1DC" w14:textId="77777777" w:rsidR="00416D48" w:rsidRDefault="00416D48" w:rsidP="00E61D3D">
            <w:pPr>
              <w:spacing w:before="20" w:after="20" w:line="276" w:lineRule="auto"/>
            </w:pPr>
            <w:r>
              <w:rPr>
                <w:sz w:val="19"/>
                <w:szCs w:val="19"/>
              </w:rPr>
              <w:t>$130</w:t>
            </w:r>
          </w:p>
        </w:tc>
      </w:tr>
      <w:tr w:rsidR="00416D48" w14:paraId="44EC1450" w14:textId="77777777" w:rsidTr="00E61D3D">
        <w:tc>
          <w:tcPr>
            <w:tcW w:w="451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52083E1" w14:textId="77777777" w:rsidR="00416D48" w:rsidRDefault="00416D48" w:rsidP="00E61D3D">
            <w:pPr>
              <w:spacing w:before="20" w:after="20" w:line="276" w:lineRule="auto"/>
            </w:pPr>
            <w:r>
              <w:rPr>
                <w:sz w:val="19"/>
                <w:szCs w:val="19"/>
              </w:rPr>
              <w:t>Cosco</w:t>
            </w:r>
          </w:p>
        </w:tc>
        <w:tc>
          <w:tcPr>
            <w:tcW w:w="451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B700E93" w14:textId="77777777" w:rsidR="00416D48" w:rsidRDefault="00416D48" w:rsidP="00E61D3D">
            <w:pPr>
              <w:spacing w:before="20" w:after="20" w:line="276" w:lineRule="auto"/>
            </w:pPr>
            <w:r>
              <w:rPr>
                <w:sz w:val="19"/>
                <w:szCs w:val="19"/>
              </w:rPr>
              <w:t>$255</w:t>
            </w:r>
          </w:p>
        </w:tc>
      </w:tr>
    </w:tbl>
    <w:p w14:paraId="2FD42518" w14:textId="15D4088C" w:rsidR="00416D48" w:rsidRPr="00416D48" w:rsidRDefault="00416D48" w:rsidP="00416D48">
      <w:pPr>
        <w:spacing w:before="80" w:after="120" w:line="290" w:lineRule="auto"/>
        <w:rPr>
          <w:color w:val="595959"/>
          <w:sz w:val="18"/>
          <w:szCs w:val="18"/>
        </w:rPr>
      </w:pPr>
      <w:r>
        <w:rPr>
          <w:color w:val="595959"/>
          <w:sz w:val="18"/>
          <w:szCs w:val="18"/>
        </w:rPr>
        <w:t xml:space="preserve">※ </w:t>
      </w:r>
      <w:r w:rsidRPr="00416D48">
        <w:rPr>
          <w:color w:val="595959"/>
          <w:sz w:val="18"/>
          <w:szCs w:val="18"/>
        </w:rPr>
        <w:t>Note: Surcharge names, rates, and implementation dates may vary depending on canal water levels, trade routes, and market conditions.</w:t>
      </w:r>
    </w:p>
    <w:p w14:paraId="47862874" w14:textId="77777777" w:rsidR="00416D48" w:rsidRDefault="00416D48" w:rsidP="00416D48">
      <w:pPr>
        <w:spacing w:after="120" w:line="300" w:lineRule="auto"/>
      </w:pPr>
    </w:p>
    <w:p w14:paraId="789FD000" w14:textId="5FA13BF6" w:rsidR="00416D48" w:rsidRDefault="00416D48" w:rsidP="00416D48">
      <w:pPr>
        <w:spacing w:after="120" w:line="300" w:lineRule="auto"/>
      </w:pPr>
      <w:r>
        <w:t>The impact of low water levels in the Panama Canal extended beyond transit delays. Additional vessel deployment, extra sailings, and higher slot acquisition costs increased carriers' operating expenses, which were subsequently passed on to shippers through surcharges, creating upward pressure on freight rates.</w:t>
      </w:r>
    </w:p>
    <w:p w14:paraId="25FB7861" w14:textId="77777777" w:rsidR="00416D48" w:rsidRPr="00166EC2" w:rsidRDefault="00416D48" w:rsidP="00416D48">
      <w:pPr>
        <w:spacing w:after="80"/>
      </w:pPr>
    </w:p>
    <w:p w14:paraId="3B45D5C3" w14:textId="5636F54E" w:rsidR="00416D48" w:rsidRDefault="00416D48" w:rsidP="00416D48">
      <w:pPr>
        <w:pStyle w:val="1"/>
      </w:pPr>
      <w:r>
        <w:t>Outlook</w:t>
      </w:r>
    </w:p>
    <w:tbl>
      <w:tblPr>
        <w:tblW w:w="9026"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8"/>
        <w:gridCol w:w="2410"/>
        <w:gridCol w:w="4058"/>
      </w:tblGrid>
      <w:tr w:rsidR="00416D48" w14:paraId="14186BBC" w14:textId="77777777" w:rsidTr="00E61D3D">
        <w:trPr>
          <w:tblHeader/>
        </w:trPr>
        <w:tc>
          <w:tcPr>
            <w:tcW w:w="2558"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01268059" w14:textId="1AF8A2CA" w:rsidR="00416D48" w:rsidRPr="00416D48" w:rsidRDefault="00416D48" w:rsidP="00416D48">
            <w:pPr>
              <w:widowControl/>
              <w:wordWrap/>
              <w:autoSpaceDE/>
              <w:autoSpaceDN/>
              <w:jc w:val="center"/>
              <w:rPr>
                <w:rFonts w:hint="eastAsia"/>
                <w:b/>
                <w:bCs/>
                <w:color w:val="1F3864"/>
                <w:sz w:val="19"/>
                <w:szCs w:val="19"/>
              </w:rPr>
            </w:pPr>
            <w:r w:rsidRPr="00416D48">
              <w:rPr>
                <w:b/>
                <w:bCs/>
                <w:color w:val="1F3864"/>
                <w:sz w:val="19"/>
                <w:szCs w:val="19"/>
              </w:rPr>
              <w:t>Key Variable</w:t>
            </w:r>
          </w:p>
        </w:tc>
        <w:tc>
          <w:tcPr>
            <w:tcW w:w="241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3D167607" w14:textId="115C34A0" w:rsidR="00416D48" w:rsidRPr="00416D48" w:rsidRDefault="00416D48" w:rsidP="00E61D3D">
            <w:pPr>
              <w:spacing w:before="20" w:after="20" w:line="276" w:lineRule="auto"/>
              <w:jc w:val="center"/>
              <w:rPr>
                <w:b/>
                <w:bCs/>
                <w:color w:val="1F3864"/>
                <w:sz w:val="19"/>
                <w:szCs w:val="19"/>
              </w:rPr>
            </w:pPr>
            <w:r w:rsidRPr="00416D48">
              <w:rPr>
                <w:b/>
                <w:bCs/>
                <w:color w:val="1F3864"/>
                <w:sz w:val="19"/>
                <w:szCs w:val="19"/>
              </w:rPr>
              <w:t>Timing</w:t>
            </w:r>
          </w:p>
        </w:tc>
        <w:tc>
          <w:tcPr>
            <w:tcW w:w="4058"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21BABE04" w14:textId="04E03762" w:rsidR="00416D48" w:rsidRPr="00416D48" w:rsidRDefault="00416D48" w:rsidP="00416D48">
            <w:pPr>
              <w:spacing w:before="20" w:after="20" w:line="276" w:lineRule="auto"/>
              <w:jc w:val="center"/>
              <w:rPr>
                <w:b/>
                <w:bCs/>
                <w:color w:val="1F3864"/>
                <w:sz w:val="19"/>
                <w:szCs w:val="19"/>
              </w:rPr>
            </w:pPr>
            <w:r w:rsidRPr="00416D48">
              <w:rPr>
                <w:b/>
                <w:bCs/>
                <w:color w:val="1F3864"/>
                <w:sz w:val="19"/>
                <w:szCs w:val="19"/>
              </w:rPr>
              <w:t>Potential Impact</w:t>
            </w:r>
          </w:p>
        </w:tc>
      </w:tr>
      <w:tr w:rsidR="00416D48" w14:paraId="08443C25" w14:textId="77777777" w:rsidTr="00E61D3D">
        <w:tc>
          <w:tcPr>
            <w:tcW w:w="2558"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7E9BB54" w14:textId="3BA6E5CF" w:rsidR="00416D48" w:rsidRDefault="00416D48" w:rsidP="00E61D3D">
            <w:pPr>
              <w:spacing w:before="20" w:after="20" w:line="276" w:lineRule="auto"/>
            </w:pPr>
            <w:r>
              <w:t>El Niño Persistence</w:t>
            </w:r>
          </w:p>
        </w:tc>
        <w:tc>
          <w:tcPr>
            <w:tcW w:w="241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CC4498D" w14:textId="46AF5589" w:rsidR="00416D48" w:rsidRDefault="00416D48" w:rsidP="00E61D3D">
            <w:pPr>
              <w:spacing w:before="20" w:after="20" w:line="276" w:lineRule="auto"/>
            </w:pPr>
            <w:r>
              <w:t>Summer 2026 to Early 2027</w:t>
            </w:r>
          </w:p>
        </w:tc>
        <w:tc>
          <w:tcPr>
            <w:tcW w:w="4058"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1467D5E" w14:textId="6851105B" w:rsidR="00416D48" w:rsidRDefault="00416D48" w:rsidP="00E61D3D">
            <w:pPr>
              <w:spacing w:before="20" w:after="20" w:line="276" w:lineRule="auto"/>
            </w:pPr>
            <w:r>
              <w:t>Possibility of developing into a Super El Niño cannot be ruled out</w:t>
            </w:r>
          </w:p>
        </w:tc>
      </w:tr>
      <w:tr w:rsidR="00416D48" w14:paraId="5D61E977" w14:textId="77777777" w:rsidTr="00E61D3D">
        <w:tc>
          <w:tcPr>
            <w:tcW w:w="2558"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CC40560" w14:textId="4225DF79" w:rsidR="00416D48" w:rsidRDefault="00416D48" w:rsidP="00E61D3D">
            <w:pPr>
              <w:spacing w:before="20" w:after="20" w:line="276" w:lineRule="auto"/>
            </w:pPr>
            <w:r>
              <w:t>Draft and Transit Restrictions</w:t>
            </w:r>
          </w:p>
        </w:tc>
        <w:tc>
          <w:tcPr>
            <w:tcW w:w="241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70F001D" w14:textId="0FA087C4" w:rsidR="00416D48" w:rsidRDefault="00416D48" w:rsidP="00E61D3D">
            <w:pPr>
              <w:spacing w:before="20" w:after="20" w:line="276" w:lineRule="auto"/>
            </w:pPr>
            <w:r>
              <w:t>Late 2026 to Early 2027</w:t>
            </w:r>
          </w:p>
        </w:tc>
        <w:tc>
          <w:tcPr>
            <w:tcW w:w="4058"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5843E97" w14:textId="20DDB344" w:rsidR="00416D48" w:rsidRDefault="00416D48" w:rsidP="00E61D3D">
            <w:pPr>
              <w:spacing w:before="20" w:after="20" w:line="276" w:lineRule="auto"/>
            </w:pPr>
            <w:r>
              <w:t>Pressure expected to intensify as the region enters the dry season</w:t>
            </w:r>
          </w:p>
        </w:tc>
      </w:tr>
      <w:tr w:rsidR="00416D48" w14:paraId="6419B1C7" w14:textId="77777777" w:rsidTr="00E61D3D">
        <w:tc>
          <w:tcPr>
            <w:tcW w:w="2558"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046666E" w14:textId="17F63002" w:rsidR="00416D48" w:rsidRDefault="00416D48" w:rsidP="00E61D3D">
            <w:pPr>
              <w:spacing w:before="20" w:after="20" w:line="276" w:lineRule="auto"/>
            </w:pPr>
            <w:r>
              <w:t>Panama Canal Authority (PCA) Transit Policy</w:t>
            </w:r>
          </w:p>
        </w:tc>
        <w:tc>
          <w:tcPr>
            <w:tcW w:w="241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7D44886" w14:textId="036CF169" w:rsidR="00416D48" w:rsidRDefault="00416D48" w:rsidP="00E61D3D">
            <w:pPr>
              <w:spacing w:before="20" w:after="20" w:line="276" w:lineRule="auto"/>
            </w:pPr>
            <w:r>
              <w:t>Daily limit of 38 transits currently maintained</w:t>
            </w:r>
          </w:p>
        </w:tc>
        <w:tc>
          <w:tcPr>
            <w:tcW w:w="4058"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5EF3039" w14:textId="66EC2991" w:rsidR="00416D48" w:rsidRDefault="00416D48" w:rsidP="00E61D3D">
            <w:pPr>
              <w:spacing w:before="20" w:after="20" w:line="276" w:lineRule="auto"/>
            </w:pPr>
            <w:r>
              <w:t>Operational restrictions could be reinstated if a strong Super El Niño develops</w:t>
            </w:r>
          </w:p>
        </w:tc>
      </w:tr>
    </w:tbl>
    <w:p w14:paraId="48C60C8A" w14:textId="77777777" w:rsidR="00416D48" w:rsidRDefault="00416D48" w:rsidP="00416D48">
      <w:pPr>
        <w:spacing w:after="80"/>
      </w:pPr>
    </w:p>
    <w:p w14:paraId="6CB954F4" w14:textId="77777777" w:rsidR="00416D48" w:rsidRDefault="00416D48" w:rsidP="00416D48">
      <w:pPr>
        <w:pStyle w:val="a4"/>
        <w:ind w:left="460"/>
      </w:pPr>
      <w:r w:rsidRPr="00416D48">
        <w:rPr>
          <w:rFonts w:hAnsi="Symbol"/>
        </w:rPr>
        <w:t></w:t>
      </w:r>
      <w:r>
        <w:t xml:space="preserve">  Major meteorological agencies forecast a high likelihood that El Niño conditions will persist from </w:t>
      </w:r>
      <w:r>
        <w:rPr>
          <w:rStyle w:val="ae"/>
        </w:rPr>
        <w:t>summer 2026 through early 2027</w:t>
      </w:r>
      <w:r>
        <w:t xml:space="preserve">, with the potential to strengthen into a </w:t>
      </w:r>
      <w:r>
        <w:rPr>
          <w:rStyle w:val="ae"/>
        </w:rPr>
        <w:t>Super El Niño</w:t>
      </w:r>
      <w:r>
        <w:t xml:space="preserve">. </w:t>
      </w:r>
    </w:p>
    <w:p w14:paraId="1CFD12D3" w14:textId="77777777" w:rsidR="00416D48" w:rsidRDefault="00416D48" w:rsidP="00416D48">
      <w:pPr>
        <w:pStyle w:val="a4"/>
        <w:ind w:left="460"/>
      </w:pPr>
      <w:r w:rsidRPr="00416D48">
        <w:rPr>
          <w:rFonts w:hAnsi="Symbol"/>
        </w:rPr>
        <w:lastRenderedPageBreak/>
        <w:t></w:t>
      </w:r>
      <w:r>
        <w:t xml:space="preserve">  Based on the 2023 experience, the most significant impacts are likely to emerge not during the initial phase of El Niño, but after prolonged rainfall deficits accumulate and the region transitions into the dry season. As a result, pressure from draft restrictions and reduced daily transit capacity may intensify during </w:t>
      </w:r>
      <w:r>
        <w:rPr>
          <w:rStyle w:val="ae"/>
        </w:rPr>
        <w:t>late 2026 and early 2027</w:t>
      </w:r>
      <w:r>
        <w:t xml:space="preserve">. </w:t>
      </w:r>
    </w:p>
    <w:p w14:paraId="33C7D7A2" w14:textId="77777777" w:rsidR="00416D48" w:rsidRDefault="00416D48" w:rsidP="00416D48">
      <w:pPr>
        <w:pStyle w:val="a4"/>
        <w:ind w:left="460"/>
      </w:pPr>
      <w:r w:rsidRPr="00416D48">
        <w:rPr>
          <w:rFonts w:hAnsi="Symbol"/>
        </w:rPr>
        <w:t></w:t>
      </w:r>
      <w:r>
        <w:t xml:space="preserve">  Current transit volumes have been supported by increased energy shipments to the Americas following disruptions in the </w:t>
      </w:r>
      <w:r w:rsidRPr="00416D48">
        <w:rPr>
          <w:rStyle w:val="whitespace-normal"/>
          <w:b/>
          <w:bCs/>
        </w:rPr>
        <w:t>Strait of Hormuz</w:t>
      </w:r>
      <w:r>
        <w:t xml:space="preserve">. While the </w:t>
      </w:r>
      <w:r w:rsidRPr="00416D48">
        <w:rPr>
          <w:rStyle w:val="whitespace-normal"/>
          <w:b/>
          <w:bCs/>
        </w:rPr>
        <w:t>Panama Canal Authority</w:t>
      </w:r>
      <w:r>
        <w:t xml:space="preserve"> has stated that it intends to maintain </w:t>
      </w:r>
      <w:r>
        <w:rPr>
          <w:rStyle w:val="ae"/>
        </w:rPr>
        <w:t>38 daily transits</w:t>
      </w:r>
      <w:r>
        <w:t xml:space="preserve"> and currently has no plans to impose additional restrictions this year, the possibility of renewed operational constraints remains if a severe Super El Niño materializes. </w:t>
      </w:r>
    </w:p>
    <w:p w14:paraId="641316F8" w14:textId="14A8376C" w:rsidR="00416D48" w:rsidRDefault="00416D48" w:rsidP="00416D48">
      <w:pPr>
        <w:pStyle w:val="a4"/>
        <w:spacing w:after="120" w:line="300" w:lineRule="auto"/>
        <w:ind w:left="460"/>
      </w:pPr>
      <w:r>
        <w:rPr>
          <w:rFonts w:hAnsi="Symbol"/>
        </w:rPr>
        <w:t></w:t>
      </w:r>
      <w:r>
        <w:t xml:space="preserve">  Continuous monitoring of </w:t>
      </w:r>
      <w:r>
        <w:rPr>
          <w:rStyle w:val="ae"/>
        </w:rPr>
        <w:t>Gatun Lake water levels, regional precipitation, daily transit volumes, and carrier surcharge developments</w:t>
      </w:r>
      <w:r>
        <w:t xml:space="preserve"> is recommended, along with the establishment of contingency plans to mitigate potential disruptions caused by future transit restrictions.</w:t>
      </w:r>
    </w:p>
    <w:p w14:paraId="562A4240" w14:textId="77777777" w:rsidR="00416D48" w:rsidRDefault="00416D48" w:rsidP="00416D48">
      <w:pPr>
        <w:spacing w:after="80"/>
      </w:pPr>
    </w:p>
    <w:p w14:paraId="2E3C6492" w14:textId="556C549A" w:rsidR="00416D48" w:rsidRDefault="00416D48" w:rsidP="00416D48">
      <w:pPr>
        <w:pStyle w:val="1"/>
      </w:pPr>
      <w:r>
        <w:t>Frequently Asked Questions (FAQ)</w:t>
      </w:r>
    </w:p>
    <w:p w14:paraId="5DEB0E47" w14:textId="774990B8" w:rsidR="00416D48" w:rsidRPr="00416D48" w:rsidRDefault="00416D48" w:rsidP="00416D48">
      <w:pPr>
        <w:spacing w:before="160" w:after="40" w:line="300" w:lineRule="auto"/>
        <w:rPr>
          <w:b/>
          <w:bCs/>
          <w:color w:val="1F3864"/>
        </w:rPr>
      </w:pPr>
      <w:r w:rsidRPr="00416D48">
        <w:rPr>
          <w:b/>
          <w:bCs/>
          <w:color w:val="1F3864"/>
        </w:rPr>
        <w:t>Q. Do Panama Canal transit restrictions begin immediately after an El Niño event develops?</w:t>
      </w:r>
    </w:p>
    <w:p w14:paraId="7456F913" w14:textId="77777777" w:rsidR="00416D48" w:rsidRDefault="00416D48" w:rsidP="00416D48">
      <w:pPr>
        <w:spacing w:before="160" w:after="40" w:line="300" w:lineRule="auto"/>
      </w:pPr>
      <w:r>
        <w:rPr>
          <w:rStyle w:val="ae"/>
        </w:rPr>
        <w:t>A. No.</w:t>
      </w:r>
      <w:r>
        <w:t xml:space="preserve"> Transit restrictions typically do not begin immediately after the onset of El Niño. During the early phase of the 2023 event (May–October 2023), the number of waiting vessels and average waiting times remained similar to pre-El Niño levels. Restrictions became more pronounced from </w:t>
      </w:r>
      <w:r>
        <w:rPr>
          <w:rStyle w:val="ae"/>
        </w:rPr>
        <w:t>November 2023 onward</w:t>
      </w:r>
      <w:r>
        <w:t>, after prolonged rainfall deficits led to lower water levels. Historically, draft and transit restrictions tend to intensify as dry-season conditions develop and water shortages accumulate.</w:t>
      </w:r>
    </w:p>
    <w:p w14:paraId="03F9BA6C" w14:textId="77777777" w:rsidR="00416D48" w:rsidRDefault="00416D48" w:rsidP="00416D48">
      <w:pPr>
        <w:spacing w:after="80" w:line="300" w:lineRule="auto"/>
      </w:pPr>
    </w:p>
    <w:p w14:paraId="03FB8BBE" w14:textId="77777777" w:rsidR="00416D48" w:rsidRPr="00416D48" w:rsidRDefault="00416D48" w:rsidP="00416D48">
      <w:pPr>
        <w:spacing w:before="160" w:after="40" w:line="300" w:lineRule="auto"/>
        <w:rPr>
          <w:b/>
          <w:bCs/>
          <w:color w:val="1F3864"/>
        </w:rPr>
      </w:pPr>
      <w:r w:rsidRPr="00416D48">
        <w:rPr>
          <w:b/>
          <w:bCs/>
          <w:color w:val="1F3864"/>
        </w:rPr>
        <w:t>Q. How much cargo capacity is lost when the maximum allowable draft is reduced from 50 ft to 44 ft?</w:t>
      </w:r>
    </w:p>
    <w:p w14:paraId="0E8B25B8" w14:textId="77777777" w:rsidR="00416D48" w:rsidRDefault="00416D48" w:rsidP="00416D48">
      <w:pPr>
        <w:spacing w:before="160" w:after="40" w:line="300" w:lineRule="auto"/>
      </w:pPr>
      <w:r>
        <w:rPr>
          <w:rStyle w:val="ae"/>
        </w:rPr>
        <w:t>A.</w:t>
      </w:r>
      <w:r>
        <w:t xml:space="preserve"> For a </w:t>
      </w:r>
      <w:r>
        <w:rPr>
          <w:rStyle w:val="ae"/>
        </w:rPr>
        <w:t>15,000 TEU-class container vessel</w:t>
      </w:r>
      <w:r>
        <w:t xml:space="preserve">, reducing the maximum allowable draft from </w:t>
      </w:r>
      <w:r>
        <w:rPr>
          <w:rStyle w:val="ae"/>
        </w:rPr>
        <w:t>50 ft to 44 ft</w:t>
      </w:r>
      <w:r>
        <w:t xml:space="preserve"> can result in a cargo capacity loss of up to </w:t>
      </w:r>
      <w:r>
        <w:rPr>
          <w:rStyle w:val="ae"/>
        </w:rPr>
        <w:t>2,100 TEU (approximately 14%)</w:t>
      </w:r>
      <w:r>
        <w:t>. Actual capacity reductions may vary depending on factors such as vessel design, draft restriction levels, and trade routes.</w:t>
      </w:r>
    </w:p>
    <w:p w14:paraId="36A67452" w14:textId="77777777" w:rsidR="00416D48" w:rsidRDefault="00416D48" w:rsidP="00416D48">
      <w:pPr>
        <w:spacing w:before="160" w:after="40" w:line="300" w:lineRule="auto"/>
      </w:pPr>
    </w:p>
    <w:p w14:paraId="0FD14071" w14:textId="7C171B16" w:rsidR="00416D48" w:rsidRPr="00416D48" w:rsidRDefault="00416D48" w:rsidP="00416D48">
      <w:pPr>
        <w:spacing w:before="160" w:after="40" w:line="300" w:lineRule="auto"/>
        <w:rPr>
          <w:b/>
          <w:bCs/>
          <w:color w:val="1F3864"/>
        </w:rPr>
      </w:pPr>
      <w:r w:rsidRPr="00416D48">
        <w:rPr>
          <w:b/>
          <w:bCs/>
          <w:color w:val="1F3864"/>
        </w:rPr>
        <w:t>Q. Why do container freight rates increase even when the number of container vessel transits remains stable?</w:t>
      </w:r>
    </w:p>
    <w:p w14:paraId="55B0402C" w14:textId="77777777" w:rsidR="00416D48" w:rsidRDefault="00416D48" w:rsidP="00416D48">
      <w:pPr>
        <w:pStyle w:val="af"/>
      </w:pPr>
      <w:r>
        <w:rPr>
          <w:rStyle w:val="ae"/>
        </w:rPr>
        <w:t>A.</w:t>
      </w:r>
      <w:r>
        <w:t xml:space="preserve"> Freight rates can rise even when transit volumes remain stable because of reduced effective cargo capacity and additional carrier costs.</w:t>
      </w:r>
    </w:p>
    <w:p w14:paraId="659AAFA6" w14:textId="77777777" w:rsidR="00416D48" w:rsidRDefault="00416D48" w:rsidP="00416D48">
      <w:pPr>
        <w:pStyle w:val="af"/>
      </w:pPr>
      <w:r>
        <w:t xml:space="preserve">Although container vessels maintained approximately </w:t>
      </w:r>
      <w:r>
        <w:rPr>
          <w:rStyle w:val="ae"/>
        </w:rPr>
        <w:t>seven transits per day</w:t>
      </w:r>
      <w:r>
        <w:t xml:space="preserve"> through advance slot reservations, draft restrictions reduced the amount of cargo each vessel could carry by up to </w:t>
      </w:r>
      <w:r>
        <w:rPr>
          <w:rStyle w:val="ae"/>
        </w:rPr>
        <w:t>14%</w:t>
      </w:r>
      <w:r>
        <w:t xml:space="preserve">. In addition, carriers incurred higher operating costs due to reduced scheduling flexibility, increased competition for transit slots, and other operational constraints. These costs were often passed on to shippers through </w:t>
      </w:r>
      <w:r>
        <w:rPr>
          <w:rStyle w:val="ae"/>
        </w:rPr>
        <w:t>Canal Surcharges, Low Water Surcharges, and Drought Surcharges</w:t>
      </w:r>
      <w:r>
        <w:t>, creating upward pressure on freight rates.</w:t>
      </w:r>
    </w:p>
    <w:p w14:paraId="7737B6A5" w14:textId="77777777" w:rsidR="00416D48" w:rsidRPr="00416D48" w:rsidRDefault="00416D48" w:rsidP="00416D48">
      <w:pPr>
        <w:spacing w:before="160" w:after="40" w:line="300" w:lineRule="auto"/>
      </w:pPr>
    </w:p>
    <w:p w14:paraId="5FF94592" w14:textId="77777777" w:rsidR="00416D48" w:rsidRDefault="00416D48" w:rsidP="00416D48">
      <w:pPr>
        <w:spacing w:after="80" w:line="300" w:lineRule="auto"/>
        <w:rPr>
          <w:b/>
          <w:bCs/>
          <w:color w:val="1F3864"/>
        </w:rPr>
      </w:pPr>
      <w:r>
        <w:t>Q</w:t>
      </w:r>
      <w:r w:rsidRPr="00416D48">
        <w:rPr>
          <w:b/>
          <w:bCs/>
          <w:color w:val="1F3864"/>
        </w:rPr>
        <w:t>. Should companies still prepare for potential transit restrictions even though Panama Canal traffic has recently increased?</w:t>
      </w:r>
    </w:p>
    <w:p w14:paraId="412413BE" w14:textId="77777777" w:rsidR="00416D48" w:rsidRDefault="00416D48" w:rsidP="00416D48">
      <w:pPr>
        <w:pStyle w:val="af"/>
      </w:pPr>
      <w:r>
        <w:rPr>
          <w:rStyle w:val="ae"/>
        </w:rPr>
        <w:t>A. Yes.</w:t>
      </w:r>
      <w:r>
        <w:t xml:space="preserve"> Preparation remains advisable.</w:t>
      </w:r>
    </w:p>
    <w:p w14:paraId="2016312C" w14:textId="77777777" w:rsidR="00416D48" w:rsidRDefault="00416D48" w:rsidP="00416D48">
      <w:pPr>
        <w:pStyle w:val="af"/>
      </w:pPr>
      <w:r>
        <w:t xml:space="preserve">The recent increase in transit volumes has been driven largely by higher energy shipments to the Americas following disruptions in the </w:t>
      </w:r>
      <w:r>
        <w:rPr>
          <w:rStyle w:val="whitespace-normal"/>
          <w:b/>
          <w:bCs/>
        </w:rPr>
        <w:t>Strait of Hormuz</w:t>
      </w:r>
      <w:r>
        <w:t>, rather than by the elimination of El Niño-related risks.</w:t>
      </w:r>
    </w:p>
    <w:p w14:paraId="0E6933F6" w14:textId="77777777" w:rsidR="00416D48" w:rsidRDefault="00416D48" w:rsidP="00416D48">
      <w:pPr>
        <w:pStyle w:val="af"/>
      </w:pPr>
      <w:r>
        <w:t xml:space="preserve">While the </w:t>
      </w:r>
      <w:r>
        <w:rPr>
          <w:rStyle w:val="whitespace-normal"/>
          <w:b/>
          <w:bCs/>
        </w:rPr>
        <w:t>Panama Canal Authority</w:t>
      </w:r>
      <w:r>
        <w:t xml:space="preserve"> has stated that it intends to maintain </w:t>
      </w:r>
      <w:r>
        <w:rPr>
          <w:rStyle w:val="ae"/>
        </w:rPr>
        <w:t>38 daily transits</w:t>
      </w:r>
      <w:r>
        <w:t xml:space="preserve"> and currently has no plans to impose additional restrictions this year, operational constraints could re-emerge if a strong Super El Niño develops.</w:t>
      </w:r>
    </w:p>
    <w:p w14:paraId="6263AD65" w14:textId="77777777" w:rsidR="00416D48" w:rsidRDefault="00416D48" w:rsidP="00416D48">
      <w:pPr>
        <w:spacing w:before="160" w:after="40" w:line="300" w:lineRule="auto"/>
        <w:rPr>
          <w:b/>
          <w:bCs/>
          <w:color w:val="1F3864"/>
        </w:rPr>
      </w:pPr>
    </w:p>
    <w:p w14:paraId="1AA2EE7E" w14:textId="77777777" w:rsidR="00416D48" w:rsidRPr="00416D48" w:rsidRDefault="00416D48" w:rsidP="00416D48">
      <w:pPr>
        <w:spacing w:after="80" w:line="300" w:lineRule="auto"/>
        <w:rPr>
          <w:b/>
          <w:bCs/>
          <w:color w:val="1F3864"/>
        </w:rPr>
      </w:pPr>
      <w:r w:rsidRPr="00416D48">
        <w:rPr>
          <w:b/>
          <w:bCs/>
          <w:color w:val="1F3864"/>
        </w:rPr>
        <w:t>Q. How does Cello Square support customers in managing Panama Canal transit risks?</w:t>
      </w:r>
    </w:p>
    <w:p w14:paraId="7287AF05" w14:textId="77777777" w:rsidR="00416D48" w:rsidRDefault="00416D48" w:rsidP="00416D48">
      <w:pPr>
        <w:pStyle w:val="af"/>
      </w:pPr>
      <w:r>
        <w:rPr>
          <w:rStyle w:val="ae"/>
        </w:rPr>
        <w:t>A.</w:t>
      </w:r>
      <w:r>
        <w:t xml:space="preserve"> </w:t>
      </w:r>
      <w:hyperlink r:id="rId16" w:tgtFrame="_blank" w:history="1">
        <w:r>
          <w:rPr>
            <w:rStyle w:val="a5"/>
          </w:rPr>
          <w:t>Cello Square</w:t>
        </w:r>
      </w:hyperlink>
      <w:r>
        <w:t xml:space="preserve">, the digital integrated logistics platform operated by </w:t>
      </w:r>
      <w:hyperlink r:id="rId17" w:tgtFrame="_blank" w:history="1">
        <w:r>
          <w:rPr>
            <w:rStyle w:val="a5"/>
          </w:rPr>
          <w:t>Samsung SDS</w:t>
        </w:r>
      </w:hyperlink>
      <w:r>
        <w:t>, helps customers make informed logistics decisions by providing:</w:t>
      </w:r>
    </w:p>
    <w:p w14:paraId="5A523A5E" w14:textId="77777777" w:rsidR="00416D48" w:rsidRDefault="00416D48" w:rsidP="00416D48">
      <w:pPr>
        <w:widowControl/>
        <w:numPr>
          <w:ilvl w:val="0"/>
          <w:numId w:val="8"/>
        </w:numPr>
        <w:wordWrap/>
        <w:autoSpaceDE/>
        <w:autoSpaceDN/>
        <w:spacing w:before="100" w:beforeAutospacing="1" w:after="100" w:afterAutospacing="1"/>
      </w:pPr>
      <w:r>
        <w:t xml:space="preserve">Total logistics cost comparisons across alternative routes </w:t>
      </w:r>
    </w:p>
    <w:p w14:paraId="1F960330" w14:textId="77777777" w:rsidR="00416D48" w:rsidRDefault="00416D48" w:rsidP="00416D48">
      <w:pPr>
        <w:widowControl/>
        <w:numPr>
          <w:ilvl w:val="0"/>
          <w:numId w:val="8"/>
        </w:numPr>
        <w:wordWrap/>
        <w:autoSpaceDE/>
        <w:autoSpaceDN/>
        <w:spacing w:before="100" w:beforeAutospacing="1" w:after="100" w:afterAutospacing="1"/>
      </w:pPr>
      <w:r>
        <w:t xml:space="preserve">Real-time freight quotations </w:t>
      </w:r>
    </w:p>
    <w:p w14:paraId="59051683" w14:textId="77777777" w:rsidR="00416D48" w:rsidRDefault="00416D48" w:rsidP="00416D48">
      <w:pPr>
        <w:widowControl/>
        <w:numPr>
          <w:ilvl w:val="0"/>
          <w:numId w:val="8"/>
        </w:numPr>
        <w:wordWrap/>
        <w:autoSpaceDE/>
        <w:autoSpaceDN/>
        <w:spacing w:before="100" w:beforeAutospacing="1" w:after="100" w:afterAutospacing="1"/>
      </w:pPr>
      <w:r>
        <w:t xml:space="preserve">Evaluation of route options under canal restrictions or surcharge changes </w:t>
      </w:r>
    </w:p>
    <w:p w14:paraId="333D83C5" w14:textId="77777777" w:rsidR="00416D48" w:rsidRDefault="00416D48" w:rsidP="00416D48">
      <w:pPr>
        <w:widowControl/>
        <w:numPr>
          <w:ilvl w:val="0"/>
          <w:numId w:val="8"/>
        </w:numPr>
        <w:wordWrap/>
        <w:autoSpaceDE/>
        <w:autoSpaceDN/>
        <w:spacing w:before="100" w:beforeAutospacing="1" w:after="100" w:afterAutospacing="1"/>
      </w:pPr>
      <w:r>
        <w:lastRenderedPageBreak/>
        <w:t xml:space="preserve">Alternative routing scenarios based on changes in Gatun Lake water levels and canal transit capacity </w:t>
      </w:r>
    </w:p>
    <w:p w14:paraId="59F4F0C9" w14:textId="77777777" w:rsidR="00416D48" w:rsidRDefault="00416D48" w:rsidP="00416D48">
      <w:pPr>
        <w:widowControl/>
        <w:numPr>
          <w:ilvl w:val="0"/>
          <w:numId w:val="8"/>
        </w:numPr>
        <w:wordWrap/>
        <w:autoSpaceDE/>
        <w:autoSpaceDN/>
        <w:spacing w:before="100" w:beforeAutospacing="1" w:after="100" w:afterAutospacing="1"/>
      </w:pPr>
      <w:r>
        <w:t xml:space="preserve">Integrated support for transit slot planning and delivery schedule management through Samsung SDS's global logistics network </w:t>
      </w:r>
    </w:p>
    <w:p w14:paraId="24C62F28" w14:textId="77777777" w:rsidR="00416D48" w:rsidRDefault="00416D48" w:rsidP="00416D48">
      <w:pPr>
        <w:pStyle w:val="af"/>
      </w:pPr>
      <w:r>
        <w:t>These capabilities enable shippers to proactively evaluate contingency options and optimize routing decisions when Panama Canal operating conditions change.</w:t>
      </w:r>
    </w:p>
    <w:p w14:paraId="779BA871" w14:textId="77777777" w:rsidR="00416D48" w:rsidRPr="00416D48" w:rsidRDefault="00416D48" w:rsidP="00416D48">
      <w:pPr>
        <w:spacing w:after="80" w:line="300" w:lineRule="auto"/>
      </w:pPr>
    </w:p>
    <w:p w14:paraId="2999EEA3" w14:textId="7DB76109" w:rsidR="00416D48" w:rsidRDefault="00416D48" w:rsidP="00416D48">
      <w:pPr>
        <w:pStyle w:val="2"/>
        <w:rPr>
          <w:rFonts w:hint="eastAsia"/>
        </w:rPr>
      </w:pPr>
      <w:r>
        <w:t xml:space="preserve">📎 </w:t>
      </w:r>
      <w:r>
        <w:rPr>
          <w:rFonts w:hint="eastAsia"/>
        </w:rPr>
        <w:t>R</w:t>
      </w:r>
      <w:r>
        <w:t>eferences</w:t>
      </w:r>
    </w:p>
    <w:p w14:paraId="26668766" w14:textId="77777777" w:rsidR="00416D48" w:rsidRDefault="00416D48" w:rsidP="00416D48">
      <w:pPr>
        <w:widowControl/>
        <w:wordWrap/>
        <w:autoSpaceDE/>
        <w:autoSpaceDN/>
      </w:pPr>
      <w:r>
        <w:rPr>
          <w:rFonts w:hAnsi="Symbol"/>
        </w:rPr>
        <w:t></w:t>
      </w:r>
      <w:r>
        <w:t xml:space="preserve">  </w:t>
      </w:r>
      <w:r>
        <w:rPr>
          <w:rStyle w:val="ae"/>
        </w:rPr>
        <w:t>NOAA (National Oceanic and Atmospheric Administration)</w:t>
      </w:r>
      <w:r>
        <w:t xml:space="preserve"> – El Niño and Oceanic Niño Index (ONI) Outlook </w:t>
      </w:r>
    </w:p>
    <w:p w14:paraId="46650FB3" w14:textId="77777777" w:rsidR="00416D48" w:rsidRDefault="00416D48" w:rsidP="00416D48">
      <w:r>
        <w:rPr>
          <w:rFonts w:hAnsi="Symbol"/>
        </w:rPr>
        <w:t></w:t>
      </w:r>
      <w:r>
        <w:t xml:space="preserve">  </w:t>
      </w:r>
      <w:r>
        <w:rPr>
          <w:rStyle w:val="whitespace-normal"/>
          <w:b/>
          <w:bCs/>
        </w:rPr>
        <w:t>World Meteorological Organization</w:t>
      </w:r>
      <w:r>
        <w:rPr>
          <w:rStyle w:val="ae"/>
        </w:rPr>
        <w:t xml:space="preserve"> (WMO)</w:t>
      </w:r>
      <w:r>
        <w:t xml:space="preserve"> – El Niño Development Outlook and Climate Forecasts for Central and Northern South America </w:t>
      </w:r>
    </w:p>
    <w:p w14:paraId="2E180FFC" w14:textId="77777777" w:rsidR="00416D48" w:rsidRDefault="00416D48" w:rsidP="00416D48">
      <w:r>
        <w:rPr>
          <w:rFonts w:hAnsi="Symbol"/>
        </w:rPr>
        <w:t></w:t>
      </w:r>
      <w:r>
        <w:t xml:space="preserve">  </w:t>
      </w:r>
      <w:r>
        <w:rPr>
          <w:rStyle w:val="whitespace-normal"/>
          <w:b/>
          <w:bCs/>
        </w:rPr>
        <w:t>Panama Canal Authority</w:t>
      </w:r>
      <w:r>
        <w:t xml:space="preserve"> – Announcements on Draft Restrictions, Transit Capacity Adjustments, and Canal Operating Policies </w:t>
      </w:r>
    </w:p>
    <w:p w14:paraId="6C29F4BC" w14:textId="77777777" w:rsidR="00416D48" w:rsidRDefault="00416D48" w:rsidP="00416D48">
      <w:r>
        <w:rPr>
          <w:rFonts w:hAnsi="Symbol"/>
        </w:rPr>
        <w:t></w:t>
      </w:r>
      <w:r>
        <w:t xml:space="preserve">  Carrier Advisories – Low-Water and Drought Surcharges Issued by </w:t>
      </w:r>
      <w:hyperlink r:id="rId18" w:tgtFrame="_blank" w:history="1">
        <w:r>
          <w:rPr>
            <w:rStyle w:val="a5"/>
            <w:b/>
            <w:bCs/>
          </w:rPr>
          <w:t>Maersk</w:t>
        </w:r>
      </w:hyperlink>
      <w:r>
        <w:t xml:space="preserve">, </w:t>
      </w:r>
      <w:hyperlink r:id="rId19" w:tgtFrame="_blank" w:history="1">
        <w:r>
          <w:rPr>
            <w:rStyle w:val="a5"/>
            <w:b/>
            <w:bCs/>
          </w:rPr>
          <w:t>CMA CGM</w:t>
        </w:r>
      </w:hyperlink>
      <w:r>
        <w:t xml:space="preserve">, </w:t>
      </w:r>
      <w:hyperlink r:id="rId20" w:tgtFrame="_blank" w:history="1">
        <w:r>
          <w:rPr>
            <w:rStyle w:val="a5"/>
            <w:b/>
            <w:bCs/>
          </w:rPr>
          <w:t>Hapag-Lloyd</w:t>
        </w:r>
      </w:hyperlink>
      <w:r>
        <w:t xml:space="preserve">, and </w:t>
      </w:r>
      <w:hyperlink r:id="rId21" w:tgtFrame="_blank" w:history="1">
        <w:r>
          <w:rPr>
            <w:rStyle w:val="a5"/>
            <w:b/>
            <w:bCs/>
          </w:rPr>
          <w:t>COSCO Shipping</w:t>
        </w:r>
      </w:hyperlink>
      <w:r>
        <w:t xml:space="preserve"> </w:t>
      </w:r>
    </w:p>
    <w:p w14:paraId="4B33ABD5" w14:textId="209EC75C" w:rsidR="00416D48" w:rsidRDefault="00416D48" w:rsidP="00416D48">
      <w:pPr>
        <w:spacing w:after="80"/>
      </w:pPr>
      <w:r>
        <w:rPr>
          <w:rFonts w:hAnsi="Symbol"/>
        </w:rPr>
        <w:t></w:t>
      </w:r>
      <w:r>
        <w:t xml:space="preserve">  Samsung SDS Logistics Market Intelligence (MI) Internal Analysis, May 29, 2026</w:t>
      </w:r>
    </w:p>
    <w:p w14:paraId="34692A96" w14:textId="77777777" w:rsidR="00416D48" w:rsidRDefault="00416D48" w:rsidP="00416D48">
      <w:pPr>
        <w:pStyle w:val="1"/>
      </w:pPr>
    </w:p>
    <w:p w14:paraId="1853D6BC" w14:textId="25997752" w:rsidR="00416D48" w:rsidRDefault="00416D48" w:rsidP="00416D48">
      <w:pPr>
        <w:pStyle w:val="1"/>
      </w:pPr>
      <w:r>
        <w:t>Respond to Canal Transit Risks with Cello Square</w:t>
      </w:r>
    </w:p>
    <w:p w14:paraId="403AB5C1" w14:textId="77777777" w:rsidR="00416D48" w:rsidRDefault="00416D48" w:rsidP="00416D48">
      <w:pPr>
        <w:pStyle w:val="af"/>
      </w:pPr>
      <w:hyperlink r:id="rId22" w:tgtFrame="_blank" w:history="1">
        <w:r>
          <w:rPr>
            <w:rStyle w:val="a5"/>
          </w:rPr>
          <w:t>Cello Square</w:t>
        </w:r>
      </w:hyperlink>
      <w:r>
        <w:t xml:space="preserve">, the digital integrated logistics platform operated by </w:t>
      </w:r>
      <w:hyperlink r:id="rId23" w:tgtFrame="_blank" w:history="1">
        <w:r>
          <w:rPr>
            <w:rStyle w:val="a5"/>
          </w:rPr>
          <w:t>Samsung SDS</w:t>
        </w:r>
      </w:hyperlink>
      <w:r>
        <w:t>, helps businesses assess supply chain exposure to climate and canal-related disruptions while supporting data-driven, total-cost-based decision making.</w:t>
      </w:r>
    </w:p>
    <w:p w14:paraId="275B9172" w14:textId="77777777" w:rsidR="00416D48" w:rsidRDefault="00416D48" w:rsidP="00416D48">
      <w:pPr>
        <w:pStyle w:val="af"/>
      </w:pPr>
      <w:r>
        <w:t>Leveraging Samsung SDS's global logistics network, Cello Square enables shippers to compare real-time freight quotations across multiple routes, evaluate alternative routing options, and manage logistics operations more effectively. From contingency planning and route diversification to customs support and execution, the platform provides an integrated approach to navigating supply chain risks associated with weather events, canal restrictions, and evolving market conditions</w:t>
      </w:r>
    </w:p>
    <w:p w14:paraId="6361A14B" w14:textId="11E18F26" w:rsidR="00416D48" w:rsidRDefault="00416D48" w:rsidP="00416D48">
      <w:pPr>
        <w:spacing w:after="120" w:line="300" w:lineRule="auto"/>
      </w:pPr>
    </w:p>
    <w:p w14:paraId="3375A086" w14:textId="77777777" w:rsidR="00416D48" w:rsidRDefault="00416D48" w:rsidP="00416D48">
      <w:pPr>
        <w:pBdr>
          <w:top w:val="single" w:sz="6" w:space="6" w:color="BFBFBF"/>
        </w:pBdr>
        <w:spacing w:before="200" w:after="80"/>
        <w:rPr>
          <w:b/>
          <w:bCs/>
          <w:color w:val="595959"/>
          <w:sz w:val="20"/>
          <w:szCs w:val="20"/>
        </w:rPr>
      </w:pPr>
    </w:p>
    <w:p w14:paraId="429C0C32" w14:textId="77777777" w:rsidR="00416D48" w:rsidRDefault="00416D48" w:rsidP="00416D48">
      <w:pPr>
        <w:pBdr>
          <w:top w:val="single" w:sz="6" w:space="6" w:color="BFBFBF"/>
        </w:pBdr>
        <w:spacing w:before="200" w:after="80"/>
        <w:rPr>
          <w:b/>
          <w:bCs/>
          <w:color w:val="595959"/>
          <w:sz w:val="20"/>
          <w:szCs w:val="20"/>
        </w:rPr>
      </w:pPr>
    </w:p>
    <w:p w14:paraId="778CB9FF" w14:textId="77777777" w:rsidR="00416D48" w:rsidRDefault="00416D48" w:rsidP="00416D48">
      <w:pPr>
        <w:pBdr>
          <w:top w:val="single" w:sz="6" w:space="6" w:color="BFBFBF"/>
        </w:pBdr>
        <w:spacing w:before="200" w:after="80"/>
      </w:pPr>
      <w:r w:rsidRPr="006E22E9">
        <w:rPr>
          <w:noProof/>
        </w:rPr>
        <w:drawing>
          <wp:inline distT="0" distB="0" distL="0" distR="0" wp14:anchorId="555CBAAE" wp14:editId="617282B8">
            <wp:extent cx="5731510" cy="3869690"/>
            <wp:effectExtent l="0" t="0" r="2540" b="0"/>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869690"/>
                    </a:xfrm>
                    <a:prstGeom prst="rect">
                      <a:avLst/>
                    </a:prstGeom>
                  </pic:spPr>
                </pic:pic>
              </a:graphicData>
            </a:graphic>
          </wp:inline>
        </w:drawing>
      </w:r>
      <w:r>
        <w:rPr>
          <w:b/>
          <w:bCs/>
          <w:color w:val="595959"/>
          <w:sz w:val="20"/>
          <w:szCs w:val="20"/>
        </w:rPr>
        <w:t>📦 개발팀 전달용 — FAQPage Schema (JSON-LD)</w:t>
      </w:r>
    </w:p>
    <w:p w14:paraId="6CC851B0" w14:textId="77777777" w:rsidR="00416D48" w:rsidRDefault="00416D48" w:rsidP="00416D48">
      <w:r>
        <w:rPr>
          <w:rFonts w:ascii="Consolas" w:eastAsia="Consolas" w:hAnsi="Consolas" w:cs="Consolas"/>
          <w:color w:val="333333"/>
          <w:sz w:val="16"/>
          <w:szCs w:val="16"/>
        </w:rPr>
        <w:t>{</w:t>
      </w:r>
    </w:p>
    <w:p w14:paraId="5BF2B60F" w14:textId="77777777" w:rsidR="00416D48" w:rsidRDefault="00416D48" w:rsidP="00416D48">
      <w:r>
        <w:rPr>
          <w:rFonts w:ascii="Consolas" w:eastAsia="Consolas" w:hAnsi="Consolas" w:cs="Consolas"/>
          <w:color w:val="333333"/>
          <w:sz w:val="16"/>
          <w:szCs w:val="16"/>
        </w:rPr>
        <w:t xml:space="preserve">  "@context": "https://schema.org",</w:t>
      </w:r>
    </w:p>
    <w:p w14:paraId="093F57A9" w14:textId="77777777" w:rsidR="00416D48" w:rsidRDefault="00416D48" w:rsidP="00416D48">
      <w:r>
        <w:rPr>
          <w:rFonts w:ascii="Consolas" w:eastAsia="Consolas" w:hAnsi="Consolas" w:cs="Consolas"/>
          <w:color w:val="333333"/>
          <w:sz w:val="16"/>
          <w:szCs w:val="16"/>
        </w:rPr>
        <w:t xml:space="preserve">  "@type": "FAQPage",</w:t>
      </w:r>
    </w:p>
    <w:p w14:paraId="5E12ABAF" w14:textId="77777777" w:rsidR="00416D48" w:rsidRDefault="00416D48" w:rsidP="00416D48">
      <w:r>
        <w:rPr>
          <w:rFonts w:ascii="Consolas" w:eastAsia="Consolas" w:hAnsi="Consolas" w:cs="Consolas"/>
          <w:color w:val="333333"/>
          <w:sz w:val="16"/>
          <w:szCs w:val="16"/>
        </w:rPr>
        <w:t xml:space="preserve">  "mainEntity": [</w:t>
      </w:r>
    </w:p>
    <w:p w14:paraId="0D5148BF" w14:textId="77777777" w:rsidR="00416D48" w:rsidRDefault="00416D48" w:rsidP="00416D48">
      <w:r>
        <w:rPr>
          <w:rFonts w:ascii="Consolas" w:eastAsia="Consolas" w:hAnsi="Consolas" w:cs="Consolas"/>
          <w:color w:val="333333"/>
          <w:sz w:val="16"/>
          <w:szCs w:val="16"/>
        </w:rPr>
        <w:t xml:space="preserve">    { "@type": "Question", "name": "파나마 운하 통항 제한은 엘니뇨 발생 직후 바로 시작되나요?",</w:t>
      </w:r>
    </w:p>
    <w:p w14:paraId="026077A5" w14:textId="77777777" w:rsidR="00416D48" w:rsidRDefault="00416D48" w:rsidP="00416D48">
      <w:r>
        <w:rPr>
          <w:rFonts w:ascii="Consolas" w:eastAsia="Consolas" w:hAnsi="Consolas" w:cs="Consolas"/>
          <w:color w:val="333333"/>
          <w:sz w:val="16"/>
          <w:szCs w:val="16"/>
        </w:rPr>
        <w:t xml:space="preserve">      "acceptedAnswer": { "@type": "Answer", "text": "아닙니다. 통항 제한은 엘니뇨 발생 직후가 아니라 저수위가 누적된 2023년 11월부터 본격화됐습니다. 엘니뇨 초기에는 대기 선박 수·대기 시간이 이전과 유사했고, 강수 부족이 누적되는 건기 전환기에 흘수·통항 제한이 강해지는 경향이 있습니다." } },</w:t>
      </w:r>
    </w:p>
    <w:p w14:paraId="49DAA785" w14:textId="77777777" w:rsidR="00416D48" w:rsidRDefault="00416D48" w:rsidP="00416D48">
      <w:r>
        <w:rPr>
          <w:rFonts w:ascii="Consolas" w:eastAsia="Consolas" w:hAnsi="Consolas" w:cs="Consolas"/>
          <w:color w:val="333333"/>
          <w:sz w:val="16"/>
          <w:szCs w:val="16"/>
        </w:rPr>
        <w:t xml:space="preserve">    { "@type": "Question", "name": "흘수 50→44ft 제한 시 컨테이너선 적재능력은 얼마나 줄어드나요?",</w:t>
      </w:r>
    </w:p>
    <w:p w14:paraId="64596418" w14:textId="77777777" w:rsidR="00416D48" w:rsidRDefault="00416D48" w:rsidP="00416D48">
      <w:r>
        <w:rPr>
          <w:rFonts w:ascii="Consolas" w:eastAsia="Consolas" w:hAnsi="Consolas" w:cs="Consolas"/>
          <w:color w:val="333333"/>
          <w:sz w:val="16"/>
          <w:szCs w:val="16"/>
        </w:rPr>
        <w:t xml:space="preserve">      "acceptedAnswer": { "@type": "Answer", "text": "흘수가 50ft에서 44ft로 제한되면 15,000TEU급 컨테이너선 기준 최대 약 2,100TEU(약 -14%)의 적재능력이 감소할 수 있습니다. 실제 손실폭은 흘수 제한 구간·선형·항로 등 변동 요인에 따라 달라집니다." } },</w:t>
      </w:r>
    </w:p>
    <w:p w14:paraId="5461E833" w14:textId="77777777" w:rsidR="00416D48" w:rsidRDefault="00416D48" w:rsidP="00416D48">
      <w:r>
        <w:rPr>
          <w:rFonts w:ascii="Consolas" w:eastAsia="Consolas" w:hAnsi="Consolas" w:cs="Consolas"/>
          <w:color w:val="333333"/>
          <w:sz w:val="16"/>
          <w:szCs w:val="16"/>
        </w:rPr>
        <w:t xml:space="preserve">    { "@type": "Question", "name": "컨테이너 운임 상승, 통항 척수가 유지되는데도 발생하는 이유는?",</w:t>
      </w:r>
    </w:p>
    <w:p w14:paraId="4B15D38E" w14:textId="77777777" w:rsidR="00416D48" w:rsidRDefault="00416D48" w:rsidP="00416D48">
      <w:r>
        <w:rPr>
          <w:rFonts w:ascii="Consolas" w:eastAsia="Consolas" w:hAnsi="Consolas" w:cs="Consolas"/>
          <w:color w:val="333333"/>
          <w:sz w:val="16"/>
          <w:szCs w:val="16"/>
        </w:rPr>
        <w:t xml:space="preserve">      "acceptedAnswer": { "@type": "Answer", "text": "통항 척수가 유지돼도 운임 상승 압력이 생기는 이유는 최대 약 -14%의 실질 적재능력 감소와 선사들의 저수위 할증료(Surcharge) 부과 때문입니다. 컨테이너선은 사전 슬롯 예약으로 일평균 약 4척의 통항을 유지했으나, 운영비 증가가 할증료 형태로 화주에게 전가됐습니다." } },</w:t>
      </w:r>
    </w:p>
    <w:p w14:paraId="1F61BF10" w14:textId="77777777" w:rsidR="00416D48" w:rsidRDefault="00416D48" w:rsidP="00416D48">
      <w:r>
        <w:rPr>
          <w:rFonts w:ascii="Consolas" w:eastAsia="Consolas" w:hAnsi="Consolas" w:cs="Consolas"/>
          <w:color w:val="333333"/>
          <w:sz w:val="16"/>
          <w:szCs w:val="16"/>
        </w:rPr>
        <w:t xml:space="preserve">    { "@type": "Question", "name": "파나마 운하 통항량이 지금 늘었는데도 통항 제한에 대비해야 하나요?",</w:t>
      </w:r>
    </w:p>
    <w:p w14:paraId="03EB7F70" w14:textId="77777777" w:rsidR="00416D48" w:rsidRDefault="00416D48" w:rsidP="00416D48">
      <w:r>
        <w:rPr>
          <w:rFonts w:ascii="Consolas" w:eastAsia="Consolas" w:hAnsi="Consolas" w:cs="Consolas"/>
          <w:color w:val="333333"/>
          <w:sz w:val="16"/>
          <w:szCs w:val="16"/>
        </w:rPr>
        <w:t xml:space="preserve">      "acceptedAnswer": { "@type": "Answer", "text": "네, 대비가 필요합니다. 현재 통항량 증가는 호르무즈 해협 봉쇄에 따른 미주발 에너지 수요 증가가 주요 원인일 뿐, 엘니뇨 리스크가 해소된 것은 아닙니다. 파나마 운하청은 연내 일 38척 통항 유지 방침이나, 강한 슈퍼 엘니뇨 발생 시 운영 제한이 재발할 가능성이 있습니다." } },</w:t>
      </w:r>
    </w:p>
    <w:p w14:paraId="7C84AF1F" w14:textId="77777777" w:rsidR="00416D48" w:rsidRDefault="00416D48" w:rsidP="00416D48">
      <w:r>
        <w:rPr>
          <w:rFonts w:ascii="Consolas" w:eastAsia="Consolas" w:hAnsi="Consolas" w:cs="Consolas"/>
          <w:color w:val="333333"/>
          <w:sz w:val="16"/>
          <w:szCs w:val="16"/>
        </w:rPr>
        <w:t xml:space="preserve">    { "@type": "Question", "name": "파나마 운하 통항 리스크 대응, Cello Square는 어떻게 지원하나요?",</w:t>
      </w:r>
    </w:p>
    <w:p w14:paraId="093F2463" w14:textId="77777777" w:rsidR="00416D48" w:rsidRDefault="00416D48" w:rsidP="00416D48">
      <w:r>
        <w:rPr>
          <w:rFonts w:ascii="Consolas" w:eastAsia="Consolas" w:hAnsi="Consolas" w:cs="Consolas"/>
          <w:color w:val="333333"/>
          <w:sz w:val="16"/>
          <w:szCs w:val="16"/>
        </w:rPr>
        <w:t xml:space="preserve">      "acceptedAnswer": { "@type": "Answer", "text": "Cello Square는 삼성SDS가 운영하는 디지털 통합 물류 플랫폼으로, 항로별 총비용 비교와 실시간 견적을 통해 운하 제한·할증료 변동에 따른 최적 경로 의사결정을 지원합니다." } }</w:t>
      </w:r>
    </w:p>
    <w:p w14:paraId="5663A1A3" w14:textId="77777777" w:rsidR="00416D48" w:rsidRDefault="00416D48" w:rsidP="00416D48">
      <w:r>
        <w:rPr>
          <w:rFonts w:ascii="Consolas" w:eastAsia="Consolas" w:hAnsi="Consolas" w:cs="Consolas"/>
          <w:color w:val="333333"/>
          <w:sz w:val="16"/>
          <w:szCs w:val="16"/>
        </w:rPr>
        <w:t xml:space="preserve">  ]</w:t>
      </w:r>
    </w:p>
    <w:p w14:paraId="473CC27B" w14:textId="77777777" w:rsidR="00416D48" w:rsidRDefault="00416D48" w:rsidP="00416D48">
      <w:r>
        <w:rPr>
          <w:rFonts w:ascii="Consolas" w:eastAsia="Consolas" w:hAnsi="Consolas" w:cs="Consolas"/>
          <w:color w:val="333333"/>
          <w:sz w:val="16"/>
          <w:szCs w:val="16"/>
        </w:rPr>
        <w:t>}</w:t>
      </w:r>
    </w:p>
    <w:p w14:paraId="00FDC17A" w14:textId="77777777" w:rsidR="00416D48" w:rsidRDefault="00416D48" w:rsidP="00416D48">
      <w:r>
        <w:rPr>
          <w:rFonts w:ascii="Consolas" w:eastAsia="Consolas" w:hAnsi="Consolas" w:cs="Consolas"/>
          <w:color w:val="333333"/>
          <w:sz w:val="16"/>
          <w:szCs w:val="16"/>
        </w:rPr>
        <w:t>}</w:t>
      </w:r>
    </w:p>
    <w:p w14:paraId="35F84462" w14:textId="77777777" w:rsidR="00416D48" w:rsidRDefault="00416D48"/>
    <w:sectPr w:rsidR="00416D48">
      <w:pgSz w:w="11906" w:h="16838"/>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SDS" w:date="2026-06-01T15:40:00Z" w:initials="S">
    <w:p w14:paraId="159BF766" w14:textId="77777777" w:rsidR="00661FA2" w:rsidRDefault="00661FA2">
      <w:pPr>
        <w:pStyle w:val="ab"/>
      </w:pPr>
      <w:r>
        <w:rPr>
          <w:rStyle w:val="aa"/>
        </w:rPr>
        <w:annotationRef/>
      </w:r>
      <w:r>
        <w:rPr>
          <w:rFonts w:hint="eastAsia"/>
        </w:rPr>
        <w:t>행 위치 변경</w:t>
      </w:r>
    </w:p>
  </w:comment>
  <w:comment w:id="1" w:author="SDS" w:date="2026-06-01T15:43:00Z" w:initials="S">
    <w:p w14:paraId="1B6EBF7A" w14:textId="77777777" w:rsidR="00661FA2" w:rsidRDefault="00661FA2">
      <w:pPr>
        <w:pStyle w:val="ab"/>
      </w:pPr>
      <w:r>
        <w:rPr>
          <w:rStyle w:val="aa"/>
        </w:rPr>
        <w:annotationRef/>
      </w:r>
      <w:r>
        <w:rPr>
          <w:rFonts w:hint="eastAsia"/>
        </w:rPr>
        <w:t>우측 정렬</w:t>
      </w:r>
    </w:p>
  </w:comment>
  <w:comment w:id="2" w:author="SDS" w:date="2026-06-01T15:43:00Z" w:initials="S">
    <w:p w14:paraId="07B42BBA" w14:textId="77777777" w:rsidR="00416D48" w:rsidRDefault="00416D48" w:rsidP="00416D48">
      <w:pPr>
        <w:pStyle w:val="ab"/>
      </w:pPr>
      <w:r>
        <w:rPr>
          <w:rStyle w:val="aa"/>
        </w:rPr>
        <w:annotationRef/>
      </w:r>
      <w:r>
        <w:rPr>
          <w:rFonts w:hint="eastAsia"/>
        </w:rPr>
        <w:t>우측 정렬</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159BF766" w15:done="0"/>
  <w15:commentEx w15:paraId="1B6EBF7A" w15:done="0"/>
  <w15:commentEx w15:paraId="07B42BBA"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1FA55E9" w14:textId="77777777" w:rsidR="00AB5011" w:rsidRDefault="00AB5011"/>
  </w:endnote>
  <w:endnote w:type="continuationSeparator" w:id="0">
    <w:p w14:paraId="1D77855B" w14:textId="77777777" w:rsidR="00AB5011" w:rsidRDefault="00AB501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0569407" w14:textId="77777777" w:rsidR="00AB5011" w:rsidRDefault="00AB5011"/>
  </w:footnote>
  <w:footnote w:type="continuationSeparator" w:id="0">
    <w:p w14:paraId="1035E1F8" w14:textId="77777777" w:rsidR="00AB5011" w:rsidRDefault="00AB5011"/>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CD11DE"/>
    <w:multiLevelType w:val="hybridMultilevel"/>
    <w:tmpl w:val="4DA66660"/>
    <w:lvl w:ilvl="0" w:tplc="ECE2510A">
      <w:start w:val="2026"/>
      <w:numFmt w:val="bullet"/>
      <w:lvlText w:val="-"/>
      <w:lvlJc w:val="left"/>
      <w:pPr>
        <w:ind w:left="1080" w:hanging="360"/>
      </w:pPr>
      <w:rPr>
        <w:rFonts w:ascii="맑은 고딕" w:eastAsia="맑은 고딕" w:hAnsi="맑은 고딕" w:cs="맑은 고딕" w:hint="eastAsia"/>
      </w:rPr>
    </w:lvl>
    <w:lvl w:ilvl="1" w:tplc="04090003" w:tentative="1">
      <w:start w:val="1"/>
      <w:numFmt w:val="bullet"/>
      <w:lvlText w:val=""/>
      <w:lvlJc w:val="left"/>
      <w:pPr>
        <w:ind w:left="1520" w:hanging="400"/>
      </w:pPr>
      <w:rPr>
        <w:rFonts w:ascii="Wingdings" w:hAnsi="Wingdings" w:hint="default"/>
      </w:rPr>
    </w:lvl>
    <w:lvl w:ilvl="2" w:tplc="04090005" w:tentative="1">
      <w:start w:val="1"/>
      <w:numFmt w:val="bullet"/>
      <w:lvlText w:val=""/>
      <w:lvlJc w:val="left"/>
      <w:pPr>
        <w:ind w:left="1920" w:hanging="400"/>
      </w:pPr>
      <w:rPr>
        <w:rFonts w:ascii="Wingdings" w:hAnsi="Wingdings" w:hint="default"/>
      </w:rPr>
    </w:lvl>
    <w:lvl w:ilvl="3" w:tplc="04090001" w:tentative="1">
      <w:start w:val="1"/>
      <w:numFmt w:val="bullet"/>
      <w:lvlText w:val=""/>
      <w:lvlJc w:val="left"/>
      <w:pPr>
        <w:ind w:left="2320" w:hanging="400"/>
      </w:pPr>
      <w:rPr>
        <w:rFonts w:ascii="Wingdings" w:hAnsi="Wingdings" w:hint="default"/>
      </w:rPr>
    </w:lvl>
    <w:lvl w:ilvl="4" w:tplc="04090003" w:tentative="1">
      <w:start w:val="1"/>
      <w:numFmt w:val="bullet"/>
      <w:lvlText w:val=""/>
      <w:lvlJc w:val="left"/>
      <w:pPr>
        <w:ind w:left="2720" w:hanging="400"/>
      </w:pPr>
      <w:rPr>
        <w:rFonts w:ascii="Wingdings" w:hAnsi="Wingdings" w:hint="default"/>
      </w:rPr>
    </w:lvl>
    <w:lvl w:ilvl="5" w:tplc="04090005" w:tentative="1">
      <w:start w:val="1"/>
      <w:numFmt w:val="bullet"/>
      <w:lvlText w:val=""/>
      <w:lvlJc w:val="left"/>
      <w:pPr>
        <w:ind w:left="3120" w:hanging="400"/>
      </w:pPr>
      <w:rPr>
        <w:rFonts w:ascii="Wingdings" w:hAnsi="Wingdings" w:hint="default"/>
      </w:rPr>
    </w:lvl>
    <w:lvl w:ilvl="6" w:tplc="04090001" w:tentative="1">
      <w:start w:val="1"/>
      <w:numFmt w:val="bullet"/>
      <w:lvlText w:val=""/>
      <w:lvlJc w:val="left"/>
      <w:pPr>
        <w:ind w:left="3520" w:hanging="400"/>
      </w:pPr>
      <w:rPr>
        <w:rFonts w:ascii="Wingdings" w:hAnsi="Wingdings" w:hint="default"/>
      </w:rPr>
    </w:lvl>
    <w:lvl w:ilvl="7" w:tplc="04090003" w:tentative="1">
      <w:start w:val="1"/>
      <w:numFmt w:val="bullet"/>
      <w:lvlText w:val=""/>
      <w:lvlJc w:val="left"/>
      <w:pPr>
        <w:ind w:left="3920" w:hanging="400"/>
      </w:pPr>
      <w:rPr>
        <w:rFonts w:ascii="Wingdings" w:hAnsi="Wingdings" w:hint="default"/>
      </w:rPr>
    </w:lvl>
    <w:lvl w:ilvl="8" w:tplc="04090005" w:tentative="1">
      <w:start w:val="1"/>
      <w:numFmt w:val="bullet"/>
      <w:lvlText w:val=""/>
      <w:lvlJc w:val="left"/>
      <w:pPr>
        <w:ind w:left="4320" w:hanging="400"/>
      </w:pPr>
      <w:rPr>
        <w:rFonts w:ascii="Wingdings" w:hAnsi="Wingdings" w:hint="default"/>
      </w:rPr>
    </w:lvl>
  </w:abstractNum>
  <w:abstractNum w:abstractNumId="1" w15:restartNumberingAfterBreak="0">
    <w:nsid w:val="35E71C07"/>
    <w:multiLevelType w:val="hybridMultilevel"/>
    <w:tmpl w:val="009CDBAA"/>
    <w:lvl w:ilvl="0" w:tplc="9A96DA08">
      <w:start w:val="1"/>
      <w:numFmt w:val="bullet"/>
      <w:lvlText w:val="•"/>
      <w:lvlJc w:val="left"/>
      <w:pPr>
        <w:ind w:left="460" w:hanging="260"/>
      </w:pPr>
    </w:lvl>
    <w:lvl w:ilvl="1" w:tplc="F2240AA8">
      <w:numFmt w:val="decimal"/>
      <w:lvlText w:val=""/>
      <w:lvlJc w:val="left"/>
    </w:lvl>
    <w:lvl w:ilvl="2" w:tplc="4EBCF7DE">
      <w:numFmt w:val="decimal"/>
      <w:lvlText w:val=""/>
      <w:lvlJc w:val="left"/>
    </w:lvl>
    <w:lvl w:ilvl="3" w:tplc="AF32BBDC">
      <w:numFmt w:val="decimal"/>
      <w:lvlText w:val=""/>
      <w:lvlJc w:val="left"/>
    </w:lvl>
    <w:lvl w:ilvl="4" w:tplc="74B6F75E">
      <w:numFmt w:val="decimal"/>
      <w:lvlText w:val=""/>
      <w:lvlJc w:val="left"/>
    </w:lvl>
    <w:lvl w:ilvl="5" w:tplc="9D4CDCFC">
      <w:numFmt w:val="decimal"/>
      <w:lvlText w:val=""/>
      <w:lvlJc w:val="left"/>
    </w:lvl>
    <w:lvl w:ilvl="6" w:tplc="55C49458">
      <w:numFmt w:val="decimal"/>
      <w:lvlText w:val=""/>
      <w:lvlJc w:val="left"/>
    </w:lvl>
    <w:lvl w:ilvl="7" w:tplc="8E18AAB0">
      <w:numFmt w:val="decimal"/>
      <w:lvlText w:val=""/>
      <w:lvlJc w:val="left"/>
    </w:lvl>
    <w:lvl w:ilvl="8" w:tplc="916C8516">
      <w:numFmt w:val="decimal"/>
      <w:lvlText w:val=""/>
      <w:lvlJc w:val="left"/>
    </w:lvl>
  </w:abstractNum>
  <w:abstractNum w:abstractNumId="2" w15:restartNumberingAfterBreak="0">
    <w:nsid w:val="42B561E6"/>
    <w:multiLevelType w:val="hybridMultilevel"/>
    <w:tmpl w:val="04ACA58E"/>
    <w:lvl w:ilvl="0" w:tplc="ABAEB474">
      <w:start w:val="1"/>
      <w:numFmt w:val="bullet"/>
      <w:lvlText w:val="•"/>
      <w:lvlJc w:val="left"/>
      <w:pPr>
        <w:ind w:left="460" w:hanging="260"/>
      </w:pPr>
    </w:lvl>
    <w:lvl w:ilvl="1" w:tplc="3744B6EE">
      <w:numFmt w:val="decimal"/>
      <w:lvlText w:val=""/>
      <w:lvlJc w:val="left"/>
    </w:lvl>
    <w:lvl w:ilvl="2" w:tplc="628ACE4E">
      <w:numFmt w:val="decimal"/>
      <w:lvlText w:val=""/>
      <w:lvlJc w:val="left"/>
    </w:lvl>
    <w:lvl w:ilvl="3" w:tplc="2F789EC4">
      <w:numFmt w:val="decimal"/>
      <w:lvlText w:val=""/>
      <w:lvlJc w:val="left"/>
    </w:lvl>
    <w:lvl w:ilvl="4" w:tplc="4A72509C">
      <w:numFmt w:val="decimal"/>
      <w:lvlText w:val=""/>
      <w:lvlJc w:val="left"/>
    </w:lvl>
    <w:lvl w:ilvl="5" w:tplc="05F6184C">
      <w:numFmt w:val="decimal"/>
      <w:lvlText w:val=""/>
      <w:lvlJc w:val="left"/>
    </w:lvl>
    <w:lvl w:ilvl="6" w:tplc="71EE27E0">
      <w:numFmt w:val="decimal"/>
      <w:lvlText w:val=""/>
      <w:lvlJc w:val="left"/>
    </w:lvl>
    <w:lvl w:ilvl="7" w:tplc="2348F6A6">
      <w:numFmt w:val="decimal"/>
      <w:lvlText w:val=""/>
      <w:lvlJc w:val="left"/>
    </w:lvl>
    <w:lvl w:ilvl="8" w:tplc="E8F0C32E">
      <w:numFmt w:val="decimal"/>
      <w:lvlText w:val=""/>
      <w:lvlJc w:val="left"/>
    </w:lvl>
  </w:abstractNum>
  <w:abstractNum w:abstractNumId="3" w15:restartNumberingAfterBreak="0">
    <w:nsid w:val="45BF76A7"/>
    <w:multiLevelType w:val="hybridMultilevel"/>
    <w:tmpl w:val="821021B8"/>
    <w:lvl w:ilvl="0" w:tplc="0A56CDE4">
      <w:start w:val="1"/>
      <w:numFmt w:val="bullet"/>
      <w:lvlText w:val="●"/>
      <w:lvlJc w:val="left"/>
      <w:pPr>
        <w:ind w:left="720" w:hanging="360"/>
      </w:pPr>
    </w:lvl>
    <w:lvl w:ilvl="1" w:tplc="23641EEE">
      <w:start w:val="1"/>
      <w:numFmt w:val="bullet"/>
      <w:lvlText w:val="○"/>
      <w:lvlJc w:val="left"/>
      <w:pPr>
        <w:ind w:left="1440" w:hanging="360"/>
      </w:pPr>
    </w:lvl>
    <w:lvl w:ilvl="2" w:tplc="00203794">
      <w:start w:val="1"/>
      <w:numFmt w:val="bullet"/>
      <w:lvlText w:val="■"/>
      <w:lvlJc w:val="left"/>
      <w:pPr>
        <w:ind w:left="2160" w:hanging="360"/>
      </w:pPr>
    </w:lvl>
    <w:lvl w:ilvl="3" w:tplc="A35CAC60">
      <w:start w:val="1"/>
      <w:numFmt w:val="bullet"/>
      <w:lvlText w:val="●"/>
      <w:lvlJc w:val="left"/>
      <w:pPr>
        <w:ind w:left="2880" w:hanging="360"/>
      </w:pPr>
    </w:lvl>
    <w:lvl w:ilvl="4" w:tplc="8EE0A8C0">
      <w:start w:val="1"/>
      <w:numFmt w:val="bullet"/>
      <w:lvlText w:val="○"/>
      <w:lvlJc w:val="left"/>
      <w:pPr>
        <w:ind w:left="3600" w:hanging="360"/>
      </w:pPr>
    </w:lvl>
    <w:lvl w:ilvl="5" w:tplc="7DCA5042">
      <w:start w:val="1"/>
      <w:numFmt w:val="bullet"/>
      <w:lvlText w:val="■"/>
      <w:lvlJc w:val="left"/>
      <w:pPr>
        <w:ind w:left="4320" w:hanging="360"/>
      </w:pPr>
    </w:lvl>
    <w:lvl w:ilvl="6" w:tplc="75246E2C">
      <w:start w:val="1"/>
      <w:numFmt w:val="bullet"/>
      <w:lvlText w:val="●"/>
      <w:lvlJc w:val="left"/>
      <w:pPr>
        <w:ind w:left="5040" w:hanging="360"/>
      </w:pPr>
    </w:lvl>
    <w:lvl w:ilvl="7" w:tplc="264E077C">
      <w:start w:val="1"/>
      <w:numFmt w:val="bullet"/>
      <w:lvlText w:val="●"/>
      <w:lvlJc w:val="left"/>
      <w:pPr>
        <w:ind w:left="5760" w:hanging="360"/>
      </w:pPr>
    </w:lvl>
    <w:lvl w:ilvl="8" w:tplc="62280920">
      <w:start w:val="1"/>
      <w:numFmt w:val="bullet"/>
      <w:lvlText w:val="●"/>
      <w:lvlJc w:val="left"/>
      <w:pPr>
        <w:ind w:left="6480" w:hanging="360"/>
      </w:pPr>
    </w:lvl>
  </w:abstractNum>
  <w:abstractNum w:abstractNumId="4" w15:restartNumberingAfterBreak="0">
    <w:nsid w:val="757C68C1"/>
    <w:multiLevelType w:val="multilevel"/>
    <w:tmpl w:val="DEF87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883A82"/>
    <w:multiLevelType w:val="multilevel"/>
    <w:tmpl w:val="7DB89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A15605"/>
    <w:multiLevelType w:val="multilevel"/>
    <w:tmpl w:val="94642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6A2551"/>
    <w:multiLevelType w:val="multilevel"/>
    <w:tmpl w:val="8CDC4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lvlOverride w:ilvl="0">
      <w:startOverride w:val="1"/>
    </w:lvlOverride>
  </w:num>
  <w:num w:numId="2">
    <w:abstractNumId w:val="2"/>
    <w:lvlOverride w:ilvl="0">
      <w:startOverride w:val="1"/>
    </w:lvlOverride>
  </w:num>
  <w:num w:numId="3">
    <w:abstractNumId w:val="1"/>
    <w:lvlOverride w:ilvl="0">
      <w:startOverride w:val="1"/>
    </w:lvlOverride>
  </w:num>
  <w:num w:numId="4">
    <w:abstractNumId w:val="7"/>
  </w:num>
  <w:num w:numId="5">
    <w:abstractNumId w:val="0"/>
  </w:num>
  <w:num w:numId="6">
    <w:abstractNumId w:val="4"/>
  </w:num>
  <w:num w:numId="7">
    <w:abstractNumId w:val="5"/>
  </w:num>
  <w:num w:numId="8">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SDS">
    <w15:presenceInfo w15:providerId="None" w15:userId="SD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isplayBackgroundShape/>
  <w:bordersDoNotSurroundHeader/>
  <w:bordersDoNotSurroundFooter/>
  <w:defaultTabStop w:val="80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0E9B"/>
    <w:rsid w:val="00166EC2"/>
    <w:rsid w:val="00264426"/>
    <w:rsid w:val="00416D48"/>
    <w:rsid w:val="005E0E9B"/>
    <w:rsid w:val="00661FA2"/>
    <w:rsid w:val="006E22E9"/>
    <w:rsid w:val="006F2469"/>
    <w:rsid w:val="009D50D6"/>
    <w:rsid w:val="00AB501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A02D081"/>
  <w15:docId w15:val="{E7D3AEE6-1BB6-4DB0-A0DC-351AD5B89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맑은 고딕" w:eastAsia="맑은 고딕" w:hAnsi="맑은 고딕" w:cs="맑은 고딕"/>
        <w:sz w:val="21"/>
        <w:szCs w:val="21"/>
        <w:lang w:val="en-US" w:eastAsia="ko-KR"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paragraph" w:styleId="1">
    <w:name w:val="heading 1"/>
    <w:qFormat/>
    <w:pPr>
      <w:pBdr>
        <w:bottom w:val="single" w:sz="6" w:space="4" w:color="2E75B6"/>
      </w:pBdr>
      <w:spacing w:before="320" w:after="160"/>
      <w:outlineLvl w:val="0"/>
    </w:pPr>
    <w:rPr>
      <w:b/>
      <w:bCs/>
      <w:color w:val="1F3864"/>
      <w:sz w:val="28"/>
      <w:szCs w:val="28"/>
    </w:rPr>
  </w:style>
  <w:style w:type="paragraph" w:styleId="2">
    <w:name w:val="heading 2"/>
    <w:qFormat/>
    <w:pPr>
      <w:spacing w:before="220" w:after="110"/>
      <w:outlineLvl w:val="1"/>
    </w:pPr>
    <w:rPr>
      <w:b/>
      <w:bCs/>
      <w:color w:val="333333"/>
      <w:sz w:val="23"/>
      <w:szCs w:val="23"/>
    </w:rPr>
  </w:style>
  <w:style w:type="paragraph" w:styleId="3">
    <w:name w:val="heading 3"/>
    <w:qFormat/>
    <w:pPr>
      <w:outlineLvl w:val="2"/>
    </w:pPr>
    <w:rPr>
      <w:color w:val="1F4D78"/>
      <w:sz w:val="24"/>
      <w:szCs w:val="24"/>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 w:type="character" w:styleId="aa">
    <w:name w:val="annotation reference"/>
    <w:basedOn w:val="a0"/>
    <w:uiPriority w:val="99"/>
    <w:semiHidden/>
    <w:unhideWhenUsed/>
    <w:rsid w:val="00661FA2"/>
    <w:rPr>
      <w:sz w:val="18"/>
      <w:szCs w:val="18"/>
    </w:rPr>
  </w:style>
  <w:style w:type="paragraph" w:styleId="ab">
    <w:name w:val="annotation text"/>
    <w:basedOn w:val="a"/>
    <w:link w:val="Char1"/>
    <w:uiPriority w:val="99"/>
    <w:semiHidden/>
    <w:unhideWhenUsed/>
    <w:rsid w:val="00661FA2"/>
  </w:style>
  <w:style w:type="character" w:customStyle="1" w:styleId="Char1">
    <w:name w:val="메모 텍스트 Char"/>
    <w:basedOn w:val="a0"/>
    <w:link w:val="ab"/>
    <w:uiPriority w:val="99"/>
    <w:semiHidden/>
    <w:rsid w:val="00661FA2"/>
  </w:style>
  <w:style w:type="paragraph" w:styleId="ac">
    <w:name w:val="annotation subject"/>
    <w:basedOn w:val="ab"/>
    <w:next w:val="ab"/>
    <w:link w:val="Char2"/>
    <w:uiPriority w:val="99"/>
    <w:semiHidden/>
    <w:unhideWhenUsed/>
    <w:rsid w:val="00661FA2"/>
    <w:rPr>
      <w:b/>
      <w:bCs/>
    </w:rPr>
  </w:style>
  <w:style w:type="character" w:customStyle="1" w:styleId="Char2">
    <w:name w:val="메모 주제 Char"/>
    <w:basedOn w:val="Char1"/>
    <w:link w:val="ac"/>
    <w:uiPriority w:val="99"/>
    <w:semiHidden/>
    <w:rsid w:val="00661FA2"/>
    <w:rPr>
      <w:b/>
      <w:bCs/>
    </w:rPr>
  </w:style>
  <w:style w:type="paragraph" w:styleId="ad">
    <w:name w:val="Balloon Text"/>
    <w:basedOn w:val="a"/>
    <w:link w:val="Char3"/>
    <w:uiPriority w:val="99"/>
    <w:semiHidden/>
    <w:unhideWhenUsed/>
    <w:rsid w:val="00661FA2"/>
    <w:rPr>
      <w:rFonts w:asciiTheme="majorHAnsi" w:eastAsiaTheme="majorEastAsia" w:hAnsiTheme="majorHAnsi" w:cstheme="majorBidi"/>
      <w:sz w:val="18"/>
      <w:szCs w:val="18"/>
    </w:rPr>
  </w:style>
  <w:style w:type="character" w:customStyle="1" w:styleId="Char3">
    <w:name w:val="풍선 도움말 텍스트 Char"/>
    <w:basedOn w:val="a0"/>
    <w:link w:val="ad"/>
    <w:uiPriority w:val="99"/>
    <w:semiHidden/>
    <w:rsid w:val="00661FA2"/>
    <w:rPr>
      <w:rFonts w:asciiTheme="majorHAnsi" w:eastAsiaTheme="majorEastAsia" w:hAnsiTheme="majorHAnsi" w:cstheme="majorBidi"/>
      <w:sz w:val="18"/>
      <w:szCs w:val="18"/>
    </w:rPr>
  </w:style>
  <w:style w:type="character" w:styleId="ae">
    <w:name w:val="Strong"/>
    <w:basedOn w:val="a0"/>
    <w:uiPriority w:val="22"/>
    <w:qFormat/>
    <w:rsid w:val="00416D48"/>
    <w:rPr>
      <w:b/>
      <w:bCs/>
    </w:rPr>
  </w:style>
  <w:style w:type="character" w:customStyle="1" w:styleId="whitespace-normal">
    <w:name w:val="whitespace-normal"/>
    <w:basedOn w:val="a0"/>
    <w:rsid w:val="00416D48"/>
  </w:style>
  <w:style w:type="paragraph" w:styleId="af">
    <w:name w:val="Normal (Web)"/>
    <w:basedOn w:val="a"/>
    <w:uiPriority w:val="99"/>
    <w:unhideWhenUsed/>
    <w:rsid w:val="00416D48"/>
    <w:pPr>
      <w:widowControl/>
      <w:wordWrap/>
      <w:autoSpaceDE/>
      <w:autoSpaceDN/>
      <w:spacing w:before="100" w:beforeAutospacing="1" w:after="100" w:afterAutospacing="1"/>
    </w:pPr>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5871569">
      <w:bodyDiv w:val="1"/>
      <w:marLeft w:val="0"/>
      <w:marRight w:val="0"/>
      <w:marTop w:val="0"/>
      <w:marBottom w:val="0"/>
      <w:divBdr>
        <w:top w:val="none" w:sz="0" w:space="0" w:color="auto"/>
        <w:left w:val="none" w:sz="0" w:space="0" w:color="auto"/>
        <w:bottom w:val="none" w:sz="0" w:space="0" w:color="auto"/>
        <w:right w:val="none" w:sz="0" w:space="0" w:color="auto"/>
      </w:divBdr>
    </w:div>
    <w:div w:id="261648610">
      <w:bodyDiv w:val="1"/>
      <w:marLeft w:val="0"/>
      <w:marRight w:val="0"/>
      <w:marTop w:val="0"/>
      <w:marBottom w:val="0"/>
      <w:divBdr>
        <w:top w:val="none" w:sz="0" w:space="0" w:color="auto"/>
        <w:left w:val="none" w:sz="0" w:space="0" w:color="auto"/>
        <w:bottom w:val="none" w:sz="0" w:space="0" w:color="auto"/>
        <w:right w:val="none" w:sz="0" w:space="0" w:color="auto"/>
      </w:divBdr>
    </w:div>
    <w:div w:id="495876996">
      <w:bodyDiv w:val="1"/>
      <w:marLeft w:val="0"/>
      <w:marRight w:val="0"/>
      <w:marTop w:val="0"/>
      <w:marBottom w:val="0"/>
      <w:divBdr>
        <w:top w:val="none" w:sz="0" w:space="0" w:color="auto"/>
        <w:left w:val="none" w:sz="0" w:space="0" w:color="auto"/>
        <w:bottom w:val="none" w:sz="0" w:space="0" w:color="auto"/>
        <w:right w:val="none" w:sz="0" w:space="0" w:color="auto"/>
      </w:divBdr>
    </w:div>
    <w:div w:id="499201205">
      <w:bodyDiv w:val="1"/>
      <w:marLeft w:val="0"/>
      <w:marRight w:val="0"/>
      <w:marTop w:val="0"/>
      <w:marBottom w:val="0"/>
      <w:divBdr>
        <w:top w:val="none" w:sz="0" w:space="0" w:color="auto"/>
        <w:left w:val="none" w:sz="0" w:space="0" w:color="auto"/>
        <w:bottom w:val="none" w:sz="0" w:space="0" w:color="auto"/>
        <w:right w:val="none" w:sz="0" w:space="0" w:color="auto"/>
      </w:divBdr>
    </w:div>
    <w:div w:id="539321555">
      <w:bodyDiv w:val="1"/>
      <w:marLeft w:val="0"/>
      <w:marRight w:val="0"/>
      <w:marTop w:val="0"/>
      <w:marBottom w:val="0"/>
      <w:divBdr>
        <w:top w:val="none" w:sz="0" w:space="0" w:color="auto"/>
        <w:left w:val="none" w:sz="0" w:space="0" w:color="auto"/>
        <w:bottom w:val="none" w:sz="0" w:space="0" w:color="auto"/>
        <w:right w:val="none" w:sz="0" w:space="0" w:color="auto"/>
      </w:divBdr>
    </w:div>
    <w:div w:id="622346711">
      <w:bodyDiv w:val="1"/>
      <w:marLeft w:val="0"/>
      <w:marRight w:val="0"/>
      <w:marTop w:val="0"/>
      <w:marBottom w:val="0"/>
      <w:divBdr>
        <w:top w:val="none" w:sz="0" w:space="0" w:color="auto"/>
        <w:left w:val="none" w:sz="0" w:space="0" w:color="auto"/>
        <w:bottom w:val="none" w:sz="0" w:space="0" w:color="auto"/>
        <w:right w:val="none" w:sz="0" w:space="0" w:color="auto"/>
      </w:divBdr>
    </w:div>
    <w:div w:id="628052803">
      <w:bodyDiv w:val="1"/>
      <w:marLeft w:val="0"/>
      <w:marRight w:val="0"/>
      <w:marTop w:val="0"/>
      <w:marBottom w:val="0"/>
      <w:divBdr>
        <w:top w:val="none" w:sz="0" w:space="0" w:color="auto"/>
        <w:left w:val="none" w:sz="0" w:space="0" w:color="auto"/>
        <w:bottom w:val="none" w:sz="0" w:space="0" w:color="auto"/>
        <w:right w:val="none" w:sz="0" w:space="0" w:color="auto"/>
      </w:divBdr>
    </w:div>
    <w:div w:id="698505290">
      <w:bodyDiv w:val="1"/>
      <w:marLeft w:val="0"/>
      <w:marRight w:val="0"/>
      <w:marTop w:val="0"/>
      <w:marBottom w:val="0"/>
      <w:divBdr>
        <w:top w:val="none" w:sz="0" w:space="0" w:color="auto"/>
        <w:left w:val="none" w:sz="0" w:space="0" w:color="auto"/>
        <w:bottom w:val="none" w:sz="0" w:space="0" w:color="auto"/>
        <w:right w:val="none" w:sz="0" w:space="0" w:color="auto"/>
      </w:divBdr>
    </w:div>
    <w:div w:id="720323055">
      <w:bodyDiv w:val="1"/>
      <w:marLeft w:val="0"/>
      <w:marRight w:val="0"/>
      <w:marTop w:val="0"/>
      <w:marBottom w:val="0"/>
      <w:divBdr>
        <w:top w:val="none" w:sz="0" w:space="0" w:color="auto"/>
        <w:left w:val="none" w:sz="0" w:space="0" w:color="auto"/>
        <w:bottom w:val="none" w:sz="0" w:space="0" w:color="auto"/>
        <w:right w:val="none" w:sz="0" w:space="0" w:color="auto"/>
      </w:divBdr>
    </w:div>
    <w:div w:id="962999528">
      <w:bodyDiv w:val="1"/>
      <w:marLeft w:val="0"/>
      <w:marRight w:val="0"/>
      <w:marTop w:val="0"/>
      <w:marBottom w:val="0"/>
      <w:divBdr>
        <w:top w:val="none" w:sz="0" w:space="0" w:color="auto"/>
        <w:left w:val="none" w:sz="0" w:space="0" w:color="auto"/>
        <w:bottom w:val="none" w:sz="0" w:space="0" w:color="auto"/>
        <w:right w:val="none" w:sz="0" w:space="0" w:color="auto"/>
      </w:divBdr>
    </w:div>
    <w:div w:id="994913930">
      <w:bodyDiv w:val="1"/>
      <w:marLeft w:val="0"/>
      <w:marRight w:val="0"/>
      <w:marTop w:val="0"/>
      <w:marBottom w:val="0"/>
      <w:divBdr>
        <w:top w:val="none" w:sz="0" w:space="0" w:color="auto"/>
        <w:left w:val="none" w:sz="0" w:space="0" w:color="auto"/>
        <w:bottom w:val="none" w:sz="0" w:space="0" w:color="auto"/>
        <w:right w:val="none" w:sz="0" w:space="0" w:color="auto"/>
      </w:divBdr>
      <w:divsChild>
        <w:div w:id="1816099867">
          <w:marLeft w:val="0"/>
          <w:marRight w:val="0"/>
          <w:marTop w:val="0"/>
          <w:marBottom w:val="0"/>
          <w:divBdr>
            <w:top w:val="none" w:sz="0" w:space="0" w:color="auto"/>
            <w:left w:val="none" w:sz="0" w:space="0" w:color="auto"/>
            <w:bottom w:val="none" w:sz="0" w:space="0" w:color="auto"/>
            <w:right w:val="none" w:sz="0" w:space="0" w:color="auto"/>
          </w:divBdr>
          <w:divsChild>
            <w:div w:id="2124226001">
              <w:marLeft w:val="0"/>
              <w:marRight w:val="0"/>
              <w:marTop w:val="0"/>
              <w:marBottom w:val="0"/>
              <w:divBdr>
                <w:top w:val="none" w:sz="0" w:space="0" w:color="auto"/>
                <w:left w:val="none" w:sz="0" w:space="0" w:color="auto"/>
                <w:bottom w:val="none" w:sz="0" w:space="0" w:color="auto"/>
                <w:right w:val="none" w:sz="0" w:space="0" w:color="auto"/>
              </w:divBdr>
              <w:divsChild>
                <w:div w:id="790168803">
                  <w:marLeft w:val="0"/>
                  <w:marRight w:val="0"/>
                  <w:marTop w:val="0"/>
                  <w:marBottom w:val="0"/>
                  <w:divBdr>
                    <w:top w:val="none" w:sz="0" w:space="0" w:color="auto"/>
                    <w:left w:val="none" w:sz="0" w:space="0" w:color="auto"/>
                    <w:bottom w:val="none" w:sz="0" w:space="0" w:color="auto"/>
                    <w:right w:val="none" w:sz="0" w:space="0" w:color="auto"/>
                  </w:divBdr>
                  <w:divsChild>
                    <w:div w:id="1851603196">
                      <w:marLeft w:val="0"/>
                      <w:marRight w:val="0"/>
                      <w:marTop w:val="0"/>
                      <w:marBottom w:val="0"/>
                      <w:divBdr>
                        <w:top w:val="none" w:sz="0" w:space="0" w:color="auto"/>
                        <w:left w:val="none" w:sz="0" w:space="0" w:color="auto"/>
                        <w:bottom w:val="none" w:sz="0" w:space="0" w:color="auto"/>
                        <w:right w:val="none" w:sz="0" w:space="0" w:color="auto"/>
                      </w:divBdr>
                      <w:divsChild>
                        <w:div w:id="1978340279">
                          <w:marLeft w:val="0"/>
                          <w:marRight w:val="0"/>
                          <w:marTop w:val="0"/>
                          <w:marBottom w:val="0"/>
                          <w:divBdr>
                            <w:top w:val="none" w:sz="0" w:space="0" w:color="auto"/>
                            <w:left w:val="none" w:sz="0" w:space="0" w:color="auto"/>
                            <w:bottom w:val="none" w:sz="0" w:space="0" w:color="auto"/>
                            <w:right w:val="none" w:sz="0" w:space="0" w:color="auto"/>
                          </w:divBdr>
                          <w:divsChild>
                            <w:div w:id="202134143">
                              <w:marLeft w:val="0"/>
                              <w:marRight w:val="0"/>
                              <w:marTop w:val="0"/>
                              <w:marBottom w:val="0"/>
                              <w:divBdr>
                                <w:top w:val="none" w:sz="0" w:space="0" w:color="auto"/>
                                <w:left w:val="none" w:sz="0" w:space="0" w:color="auto"/>
                                <w:bottom w:val="none" w:sz="0" w:space="0" w:color="auto"/>
                                <w:right w:val="none" w:sz="0" w:space="0" w:color="auto"/>
                              </w:divBdr>
                              <w:divsChild>
                                <w:div w:id="150215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4186471">
      <w:bodyDiv w:val="1"/>
      <w:marLeft w:val="0"/>
      <w:marRight w:val="0"/>
      <w:marTop w:val="0"/>
      <w:marBottom w:val="0"/>
      <w:divBdr>
        <w:top w:val="none" w:sz="0" w:space="0" w:color="auto"/>
        <w:left w:val="none" w:sz="0" w:space="0" w:color="auto"/>
        <w:bottom w:val="none" w:sz="0" w:space="0" w:color="auto"/>
        <w:right w:val="none" w:sz="0" w:space="0" w:color="auto"/>
      </w:divBdr>
    </w:div>
    <w:div w:id="1179003374">
      <w:bodyDiv w:val="1"/>
      <w:marLeft w:val="0"/>
      <w:marRight w:val="0"/>
      <w:marTop w:val="0"/>
      <w:marBottom w:val="0"/>
      <w:divBdr>
        <w:top w:val="none" w:sz="0" w:space="0" w:color="auto"/>
        <w:left w:val="none" w:sz="0" w:space="0" w:color="auto"/>
        <w:bottom w:val="none" w:sz="0" w:space="0" w:color="auto"/>
        <w:right w:val="none" w:sz="0" w:space="0" w:color="auto"/>
      </w:divBdr>
    </w:div>
    <w:div w:id="1198396755">
      <w:bodyDiv w:val="1"/>
      <w:marLeft w:val="0"/>
      <w:marRight w:val="0"/>
      <w:marTop w:val="0"/>
      <w:marBottom w:val="0"/>
      <w:divBdr>
        <w:top w:val="none" w:sz="0" w:space="0" w:color="auto"/>
        <w:left w:val="none" w:sz="0" w:space="0" w:color="auto"/>
        <w:bottom w:val="none" w:sz="0" w:space="0" w:color="auto"/>
        <w:right w:val="none" w:sz="0" w:space="0" w:color="auto"/>
      </w:divBdr>
    </w:div>
    <w:div w:id="1355962112">
      <w:bodyDiv w:val="1"/>
      <w:marLeft w:val="0"/>
      <w:marRight w:val="0"/>
      <w:marTop w:val="0"/>
      <w:marBottom w:val="0"/>
      <w:divBdr>
        <w:top w:val="none" w:sz="0" w:space="0" w:color="auto"/>
        <w:left w:val="none" w:sz="0" w:space="0" w:color="auto"/>
        <w:bottom w:val="none" w:sz="0" w:space="0" w:color="auto"/>
        <w:right w:val="none" w:sz="0" w:space="0" w:color="auto"/>
      </w:divBdr>
    </w:div>
    <w:div w:id="1363819998">
      <w:bodyDiv w:val="1"/>
      <w:marLeft w:val="0"/>
      <w:marRight w:val="0"/>
      <w:marTop w:val="0"/>
      <w:marBottom w:val="0"/>
      <w:divBdr>
        <w:top w:val="none" w:sz="0" w:space="0" w:color="auto"/>
        <w:left w:val="none" w:sz="0" w:space="0" w:color="auto"/>
        <w:bottom w:val="none" w:sz="0" w:space="0" w:color="auto"/>
        <w:right w:val="none" w:sz="0" w:space="0" w:color="auto"/>
      </w:divBdr>
    </w:div>
    <w:div w:id="1446119608">
      <w:bodyDiv w:val="1"/>
      <w:marLeft w:val="0"/>
      <w:marRight w:val="0"/>
      <w:marTop w:val="0"/>
      <w:marBottom w:val="0"/>
      <w:divBdr>
        <w:top w:val="none" w:sz="0" w:space="0" w:color="auto"/>
        <w:left w:val="none" w:sz="0" w:space="0" w:color="auto"/>
        <w:bottom w:val="none" w:sz="0" w:space="0" w:color="auto"/>
        <w:right w:val="none" w:sz="0" w:space="0" w:color="auto"/>
      </w:divBdr>
    </w:div>
    <w:div w:id="1466460181">
      <w:bodyDiv w:val="1"/>
      <w:marLeft w:val="0"/>
      <w:marRight w:val="0"/>
      <w:marTop w:val="0"/>
      <w:marBottom w:val="0"/>
      <w:divBdr>
        <w:top w:val="none" w:sz="0" w:space="0" w:color="auto"/>
        <w:left w:val="none" w:sz="0" w:space="0" w:color="auto"/>
        <w:bottom w:val="none" w:sz="0" w:space="0" w:color="auto"/>
        <w:right w:val="none" w:sz="0" w:space="0" w:color="auto"/>
      </w:divBdr>
    </w:div>
    <w:div w:id="1507132420">
      <w:bodyDiv w:val="1"/>
      <w:marLeft w:val="0"/>
      <w:marRight w:val="0"/>
      <w:marTop w:val="0"/>
      <w:marBottom w:val="0"/>
      <w:divBdr>
        <w:top w:val="none" w:sz="0" w:space="0" w:color="auto"/>
        <w:left w:val="none" w:sz="0" w:space="0" w:color="auto"/>
        <w:bottom w:val="none" w:sz="0" w:space="0" w:color="auto"/>
        <w:right w:val="none" w:sz="0" w:space="0" w:color="auto"/>
      </w:divBdr>
    </w:div>
    <w:div w:id="1550605144">
      <w:bodyDiv w:val="1"/>
      <w:marLeft w:val="0"/>
      <w:marRight w:val="0"/>
      <w:marTop w:val="0"/>
      <w:marBottom w:val="0"/>
      <w:divBdr>
        <w:top w:val="none" w:sz="0" w:space="0" w:color="auto"/>
        <w:left w:val="none" w:sz="0" w:space="0" w:color="auto"/>
        <w:bottom w:val="none" w:sz="0" w:space="0" w:color="auto"/>
        <w:right w:val="none" w:sz="0" w:space="0" w:color="auto"/>
      </w:divBdr>
    </w:div>
    <w:div w:id="1683891766">
      <w:bodyDiv w:val="1"/>
      <w:marLeft w:val="0"/>
      <w:marRight w:val="0"/>
      <w:marTop w:val="0"/>
      <w:marBottom w:val="0"/>
      <w:divBdr>
        <w:top w:val="none" w:sz="0" w:space="0" w:color="auto"/>
        <w:left w:val="none" w:sz="0" w:space="0" w:color="auto"/>
        <w:bottom w:val="none" w:sz="0" w:space="0" w:color="auto"/>
        <w:right w:val="none" w:sz="0" w:space="0" w:color="auto"/>
      </w:divBdr>
    </w:div>
    <w:div w:id="1800295040">
      <w:bodyDiv w:val="1"/>
      <w:marLeft w:val="0"/>
      <w:marRight w:val="0"/>
      <w:marTop w:val="0"/>
      <w:marBottom w:val="0"/>
      <w:divBdr>
        <w:top w:val="none" w:sz="0" w:space="0" w:color="auto"/>
        <w:left w:val="none" w:sz="0" w:space="0" w:color="auto"/>
        <w:bottom w:val="none" w:sz="0" w:space="0" w:color="auto"/>
        <w:right w:val="none" w:sz="0" w:space="0" w:color="auto"/>
      </w:divBdr>
    </w:div>
    <w:div w:id="1859853449">
      <w:bodyDiv w:val="1"/>
      <w:marLeft w:val="0"/>
      <w:marRight w:val="0"/>
      <w:marTop w:val="0"/>
      <w:marBottom w:val="0"/>
      <w:divBdr>
        <w:top w:val="none" w:sz="0" w:space="0" w:color="auto"/>
        <w:left w:val="none" w:sz="0" w:space="0" w:color="auto"/>
        <w:bottom w:val="none" w:sz="0" w:space="0" w:color="auto"/>
        <w:right w:val="none" w:sz="0" w:space="0" w:color="auto"/>
      </w:divBdr>
    </w:div>
    <w:div w:id="1868518977">
      <w:bodyDiv w:val="1"/>
      <w:marLeft w:val="0"/>
      <w:marRight w:val="0"/>
      <w:marTop w:val="0"/>
      <w:marBottom w:val="0"/>
      <w:divBdr>
        <w:top w:val="none" w:sz="0" w:space="0" w:color="auto"/>
        <w:left w:val="none" w:sz="0" w:space="0" w:color="auto"/>
        <w:bottom w:val="none" w:sz="0" w:space="0" w:color="auto"/>
        <w:right w:val="none" w:sz="0" w:space="0" w:color="auto"/>
      </w:divBdr>
    </w:div>
    <w:div w:id="1871995681">
      <w:bodyDiv w:val="1"/>
      <w:marLeft w:val="0"/>
      <w:marRight w:val="0"/>
      <w:marTop w:val="0"/>
      <w:marBottom w:val="0"/>
      <w:divBdr>
        <w:top w:val="none" w:sz="0" w:space="0" w:color="auto"/>
        <w:left w:val="none" w:sz="0" w:space="0" w:color="auto"/>
        <w:bottom w:val="none" w:sz="0" w:space="0" w:color="auto"/>
        <w:right w:val="none" w:sz="0" w:space="0" w:color="auto"/>
      </w:divBdr>
    </w:div>
    <w:div w:id="1933395036">
      <w:bodyDiv w:val="1"/>
      <w:marLeft w:val="0"/>
      <w:marRight w:val="0"/>
      <w:marTop w:val="0"/>
      <w:marBottom w:val="0"/>
      <w:divBdr>
        <w:top w:val="none" w:sz="0" w:space="0" w:color="auto"/>
        <w:left w:val="none" w:sz="0" w:space="0" w:color="auto"/>
        <w:bottom w:val="none" w:sz="0" w:space="0" w:color="auto"/>
        <w:right w:val="none" w:sz="0" w:space="0" w:color="auto"/>
      </w:divBdr>
    </w:div>
    <w:div w:id="2010518528">
      <w:bodyDiv w:val="1"/>
      <w:marLeft w:val="0"/>
      <w:marRight w:val="0"/>
      <w:marTop w:val="0"/>
      <w:marBottom w:val="0"/>
      <w:divBdr>
        <w:top w:val="none" w:sz="0" w:space="0" w:color="auto"/>
        <w:left w:val="none" w:sz="0" w:space="0" w:color="auto"/>
        <w:bottom w:val="none" w:sz="0" w:space="0" w:color="auto"/>
        <w:right w:val="none" w:sz="0" w:space="0" w:color="auto"/>
      </w:divBdr>
    </w:div>
    <w:div w:id="20163763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chart" Target="charts/chart4.xml"/><Relationship Id="rId18" Type="http://schemas.openxmlformats.org/officeDocument/2006/relationships/hyperlink" Target="https://www.maersk.com?utm_source=chatgpt.com"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coscoshipping.com?utm_source=chatgpt.com" TargetMode="External"/><Relationship Id="rId7" Type="http://schemas.openxmlformats.org/officeDocument/2006/relationships/comments" Target="comments.xml"/><Relationship Id="rId12" Type="http://schemas.openxmlformats.org/officeDocument/2006/relationships/image" Target="media/image1.png"/><Relationship Id="rId17" Type="http://schemas.openxmlformats.org/officeDocument/2006/relationships/hyperlink" Target="https://www.samsungsds.com?utm_source=chatgpt.com" TargetMode="External"/><Relationship Id="rId25" Type="http://schemas.microsoft.com/office/2011/relationships/people" Target="people.xml"/><Relationship Id="rId2" Type="http://schemas.openxmlformats.org/officeDocument/2006/relationships/styles" Target="styles.xml"/><Relationship Id="rId16" Type="http://schemas.openxmlformats.org/officeDocument/2006/relationships/hyperlink" Target="https://www.cellosquare.com?utm_source=chatgpt.com" TargetMode="External"/><Relationship Id="rId20" Type="http://schemas.openxmlformats.org/officeDocument/2006/relationships/hyperlink" Target="https://www.hapag-lloyd.com?utm_source=chatgpt.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hart" Target="charts/chart3.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hart" Target="charts/chart6.xml"/><Relationship Id="rId23" Type="http://schemas.openxmlformats.org/officeDocument/2006/relationships/hyperlink" Target="https://www.samsungsds.com?utm_source=chatgpt.com" TargetMode="External"/><Relationship Id="rId10" Type="http://schemas.openxmlformats.org/officeDocument/2006/relationships/chart" Target="charts/chart2.xml"/><Relationship Id="rId19" Type="http://schemas.openxmlformats.org/officeDocument/2006/relationships/hyperlink" Target="https://www.cmacgm-group.com?utm_source=chatgpt.com" TargetMode="External"/><Relationship Id="rId4" Type="http://schemas.openxmlformats.org/officeDocument/2006/relationships/webSettings" Target="webSettings.xml"/><Relationship Id="rId9" Type="http://schemas.openxmlformats.org/officeDocument/2006/relationships/chart" Target="charts/chart1.xml"/><Relationship Id="rId14" Type="http://schemas.openxmlformats.org/officeDocument/2006/relationships/chart" Target="charts/chart5.xml"/><Relationship Id="rId22" Type="http://schemas.openxmlformats.org/officeDocument/2006/relationships/hyperlink" Target="https://www.cellosquare.com?utm_source=chatgpt.com"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____.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____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____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____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____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____5.xlsx"/><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50" b="0" i="0" u="none" strike="noStrike" kern="1200" spc="0" baseline="0">
                <a:solidFill>
                  <a:schemeClr val="tx1">
                    <a:lumMod val="65000"/>
                    <a:lumOff val="35000"/>
                  </a:schemeClr>
                </a:solidFill>
                <a:latin typeface="+mn-lt"/>
                <a:ea typeface="+mn-ea"/>
                <a:cs typeface="+mn-cs"/>
              </a:defRPr>
            </a:pPr>
            <a:r>
              <a:rPr lang="ko-KR" altLang="en-US" sz="1050" b="1" baseline="0">
                <a:latin typeface="바탕체" panose="02030609000101010101" pitchFamily="17" charset="-127"/>
                <a:ea typeface="바탕체" panose="02030609000101010101" pitchFamily="17" charset="-127"/>
              </a:rPr>
              <a:t>가툰호수 수위와 최대흘수 변화</a:t>
            </a:r>
            <a:endParaRPr lang="ko-KR" altLang="en-US" sz="1050" b="1">
              <a:latin typeface="바탕체" panose="02030609000101010101" pitchFamily="17" charset="-127"/>
              <a:ea typeface="바탕체" panose="02030609000101010101" pitchFamily="17" charset="-127"/>
            </a:endParaRPr>
          </a:p>
        </c:rich>
      </c:tx>
      <c:layout>
        <c:manualLayout>
          <c:xMode val="edge"/>
          <c:yMode val="edge"/>
          <c:x val="0.14522613065326631"/>
          <c:y val="0"/>
        </c:manualLayout>
      </c:layout>
      <c:overlay val="0"/>
      <c:spPr>
        <a:noFill/>
        <a:ln>
          <a:noFill/>
        </a:ln>
        <a:effectLst/>
      </c:spPr>
      <c:txPr>
        <a:bodyPr rot="0" spcFirstLastPara="1" vertOverflow="ellipsis" vert="horz" wrap="square" anchor="ctr" anchorCtr="1"/>
        <a:lstStyle/>
        <a:p>
          <a:pPr>
            <a:defRPr sz="1050" b="0" i="0" u="none" strike="noStrike" kern="1200" spc="0" baseline="0">
              <a:solidFill>
                <a:schemeClr val="tx1">
                  <a:lumMod val="65000"/>
                  <a:lumOff val="35000"/>
                </a:schemeClr>
              </a:solidFill>
              <a:latin typeface="+mn-lt"/>
              <a:ea typeface="+mn-ea"/>
              <a:cs typeface="+mn-cs"/>
            </a:defRPr>
          </a:pPr>
          <a:endParaRPr lang="ko-KR"/>
        </a:p>
      </c:txPr>
    </c:title>
    <c:autoTitleDeleted val="0"/>
    <c:plotArea>
      <c:layout>
        <c:manualLayout>
          <c:layoutTarget val="inner"/>
          <c:xMode val="edge"/>
          <c:yMode val="edge"/>
          <c:x val="5.6469998541848934E-2"/>
          <c:y val="0.12158164197351597"/>
          <c:w val="0.91806703849518811"/>
          <c:h val="0.77342180085906875"/>
        </c:manualLayout>
      </c:layout>
      <c:barChart>
        <c:barDir val="col"/>
        <c:grouping val="clustered"/>
        <c:varyColors val="0"/>
        <c:dLbls>
          <c:showLegendKey val="0"/>
          <c:showVal val="0"/>
          <c:showCatName val="0"/>
          <c:showSerName val="0"/>
          <c:showPercent val="0"/>
          <c:showBubbleSize val="0"/>
        </c:dLbls>
        <c:gapWidth val="150"/>
        <c:axId val="1154349599"/>
        <c:axId val="1879652607"/>
        <c:extLst>
          <c:ext xmlns:c15="http://schemas.microsoft.com/office/drawing/2012/chart" uri="{02D57815-91ED-43cb-92C2-25804820EDAC}">
            <c15:filteredBarSeries>
              <c15:ser>
                <c:idx val="0"/>
                <c:order val="0"/>
                <c:tx>
                  <c:strRef>
                    <c:extLst>
                      <c:ext uri="{02D57815-91ED-43cb-92C2-25804820EDAC}">
                        <c15:formulaRef>
                          <c15:sqref>Sheet1!$B$1</c15:sqref>
                        </c15:formulaRef>
                      </c:ext>
                    </c:extLst>
                    <c:strCache>
                      <c:ptCount val="1"/>
                      <c:pt idx="0">
                        <c:v>ONI</c:v>
                      </c:pt>
                    </c:strCache>
                  </c:strRef>
                </c:tx>
                <c:spPr>
                  <a:solidFill>
                    <a:schemeClr val="accent1"/>
                  </a:solidFill>
                  <a:ln>
                    <a:solidFill>
                      <a:schemeClr val="bg1">
                        <a:lumMod val="75000"/>
                      </a:schemeClr>
                    </a:solidFill>
                  </a:ln>
                  <a:effectLst/>
                </c:spPr>
                <c:invertIfNegative val="0"/>
                <c:cat>
                  <c:numRef>
                    <c:extLst>
                      <c:ext uri="{02D57815-91ED-43cb-92C2-25804820EDAC}">
                        <c15:formulaRef>
                          <c15:sqref>Sheet1!$A$2:$A$25</c15:sqref>
                        </c15:formulaRef>
                      </c:ext>
                    </c:extLst>
                    <c:numCache>
                      <c:formatCode>m/d/yyyy</c:formatCode>
                      <c:ptCount val="24"/>
                      <c:pt idx="0">
                        <c:v>44927</c:v>
                      </c:pt>
                      <c:pt idx="1">
                        <c:v>44958</c:v>
                      </c:pt>
                      <c:pt idx="2">
                        <c:v>44986</c:v>
                      </c:pt>
                      <c:pt idx="3">
                        <c:v>45017</c:v>
                      </c:pt>
                      <c:pt idx="4">
                        <c:v>45047</c:v>
                      </c:pt>
                      <c:pt idx="5">
                        <c:v>45078</c:v>
                      </c:pt>
                      <c:pt idx="6">
                        <c:v>45108</c:v>
                      </c:pt>
                      <c:pt idx="7">
                        <c:v>45139</c:v>
                      </c:pt>
                      <c:pt idx="8">
                        <c:v>45170</c:v>
                      </c:pt>
                      <c:pt idx="9">
                        <c:v>45200</c:v>
                      </c:pt>
                      <c:pt idx="10">
                        <c:v>45231</c:v>
                      </c:pt>
                      <c:pt idx="11">
                        <c:v>45261</c:v>
                      </c:pt>
                      <c:pt idx="12">
                        <c:v>45292</c:v>
                      </c:pt>
                      <c:pt idx="13">
                        <c:v>45323</c:v>
                      </c:pt>
                      <c:pt idx="14">
                        <c:v>45352</c:v>
                      </c:pt>
                      <c:pt idx="15">
                        <c:v>45383</c:v>
                      </c:pt>
                      <c:pt idx="16">
                        <c:v>45413</c:v>
                      </c:pt>
                      <c:pt idx="17">
                        <c:v>45444</c:v>
                      </c:pt>
                      <c:pt idx="18">
                        <c:v>45474</c:v>
                      </c:pt>
                      <c:pt idx="19">
                        <c:v>45505</c:v>
                      </c:pt>
                      <c:pt idx="20">
                        <c:v>45536</c:v>
                      </c:pt>
                      <c:pt idx="21">
                        <c:v>45566</c:v>
                      </c:pt>
                      <c:pt idx="22">
                        <c:v>45597</c:v>
                      </c:pt>
                      <c:pt idx="23">
                        <c:v>45627</c:v>
                      </c:pt>
                    </c:numCache>
                  </c:numRef>
                </c:cat>
                <c:val>
                  <c:numRef>
                    <c:extLst>
                      <c:ext uri="{02D57815-91ED-43cb-92C2-25804820EDAC}">
                        <c15:formulaRef>
                          <c15:sqref>Sheet1!$B$2:$B$25</c15:sqref>
                        </c15:formulaRef>
                      </c:ext>
                    </c:extLst>
                    <c:numCache>
                      <c:formatCode>General</c:formatCode>
                      <c:ptCount val="24"/>
                      <c:pt idx="0">
                        <c:v>-0.5</c:v>
                      </c:pt>
                      <c:pt idx="1">
                        <c:v>-0.3</c:v>
                      </c:pt>
                      <c:pt idx="2">
                        <c:v>0</c:v>
                      </c:pt>
                      <c:pt idx="3">
                        <c:v>0.3</c:v>
                      </c:pt>
                      <c:pt idx="4">
                        <c:v>0.6</c:v>
                      </c:pt>
                      <c:pt idx="5">
                        <c:v>0.8</c:v>
                      </c:pt>
                      <c:pt idx="6">
                        <c:v>1.1000000000000001</c:v>
                      </c:pt>
                      <c:pt idx="7">
                        <c:v>1.4</c:v>
                      </c:pt>
                      <c:pt idx="8">
                        <c:v>1.6</c:v>
                      </c:pt>
                      <c:pt idx="9">
                        <c:v>1.8</c:v>
                      </c:pt>
                      <c:pt idx="10">
                        <c:v>2</c:v>
                      </c:pt>
                      <c:pt idx="11">
                        <c:v>2.1</c:v>
                      </c:pt>
                      <c:pt idx="12">
                        <c:v>1.9</c:v>
                      </c:pt>
                      <c:pt idx="13">
                        <c:v>1.6</c:v>
                      </c:pt>
                      <c:pt idx="14">
                        <c:v>1.3</c:v>
                      </c:pt>
                      <c:pt idx="15">
                        <c:v>0.8</c:v>
                      </c:pt>
                      <c:pt idx="16">
                        <c:v>0.5</c:v>
                      </c:pt>
                      <c:pt idx="17">
                        <c:v>0.2</c:v>
                      </c:pt>
                      <c:pt idx="18">
                        <c:v>0.1</c:v>
                      </c:pt>
                      <c:pt idx="19">
                        <c:v>-0.1</c:v>
                      </c:pt>
                      <c:pt idx="20">
                        <c:v>-0.2</c:v>
                      </c:pt>
                      <c:pt idx="21">
                        <c:v>-0.2</c:v>
                      </c:pt>
                      <c:pt idx="22">
                        <c:v>-0.3</c:v>
                      </c:pt>
                      <c:pt idx="23">
                        <c:v>-0.4</c:v>
                      </c:pt>
                    </c:numCache>
                  </c:numRef>
                </c:val>
                <c:extLst>
                  <c:ext xmlns:c16="http://schemas.microsoft.com/office/drawing/2014/chart" uri="{C3380CC4-5D6E-409C-BE32-E72D297353CC}">
                    <c16:uniqueId val="{00000006-9F9D-4EC6-952E-B2EEC68F8224}"/>
                  </c:ext>
                </c:extLst>
              </c15:ser>
            </c15:filteredBarSeries>
          </c:ext>
        </c:extLst>
      </c:barChart>
      <c:lineChart>
        <c:grouping val="standard"/>
        <c:varyColors val="0"/>
        <c:ser>
          <c:idx val="1"/>
          <c:order val="1"/>
          <c:tx>
            <c:strRef>
              <c:f>Sheet1!$C$1</c:f>
              <c:strCache>
                <c:ptCount val="1"/>
                <c:pt idx="0">
                  <c:v>가툰호수 수위</c:v>
                </c:pt>
              </c:strCache>
            </c:strRef>
          </c:tx>
          <c:spPr>
            <a:ln w="28575" cap="rnd">
              <a:solidFill>
                <a:schemeClr val="accent1">
                  <a:lumMod val="40000"/>
                  <a:lumOff val="60000"/>
                </a:schemeClr>
              </a:solidFill>
              <a:round/>
            </a:ln>
            <a:effectLst/>
          </c:spPr>
          <c:marker>
            <c:symbol val="none"/>
          </c:marker>
          <c:cat>
            <c:numRef>
              <c:f>Sheet1!$A$2:$A$25</c:f>
              <c:numCache>
                <c:formatCode>m/d/yyyy</c:formatCode>
                <c:ptCount val="24"/>
                <c:pt idx="0">
                  <c:v>44927</c:v>
                </c:pt>
                <c:pt idx="1">
                  <c:v>44958</c:v>
                </c:pt>
                <c:pt idx="2">
                  <c:v>44986</c:v>
                </c:pt>
                <c:pt idx="3">
                  <c:v>45017</c:v>
                </c:pt>
                <c:pt idx="4">
                  <c:v>45047</c:v>
                </c:pt>
                <c:pt idx="5">
                  <c:v>45078</c:v>
                </c:pt>
                <c:pt idx="6">
                  <c:v>45108</c:v>
                </c:pt>
                <c:pt idx="7">
                  <c:v>45139</c:v>
                </c:pt>
                <c:pt idx="8">
                  <c:v>45170</c:v>
                </c:pt>
                <c:pt idx="9">
                  <c:v>45200</c:v>
                </c:pt>
                <c:pt idx="10">
                  <c:v>45231</c:v>
                </c:pt>
                <c:pt idx="11">
                  <c:v>45261</c:v>
                </c:pt>
                <c:pt idx="12">
                  <c:v>45292</c:v>
                </c:pt>
                <c:pt idx="13">
                  <c:v>45323</c:v>
                </c:pt>
                <c:pt idx="14">
                  <c:v>45352</c:v>
                </c:pt>
                <c:pt idx="15">
                  <c:v>45383</c:v>
                </c:pt>
                <c:pt idx="16">
                  <c:v>45413</c:v>
                </c:pt>
                <c:pt idx="17">
                  <c:v>45444</c:v>
                </c:pt>
                <c:pt idx="18">
                  <c:v>45474</c:v>
                </c:pt>
                <c:pt idx="19">
                  <c:v>45505</c:v>
                </c:pt>
                <c:pt idx="20">
                  <c:v>45536</c:v>
                </c:pt>
                <c:pt idx="21">
                  <c:v>45566</c:v>
                </c:pt>
                <c:pt idx="22">
                  <c:v>45597</c:v>
                </c:pt>
                <c:pt idx="23">
                  <c:v>45627</c:v>
                </c:pt>
              </c:numCache>
            </c:numRef>
          </c:cat>
          <c:val>
            <c:numRef>
              <c:f>Sheet1!$C$2:$C$25</c:f>
              <c:numCache>
                <c:formatCode>#,##0.0_ </c:formatCode>
                <c:ptCount val="24"/>
                <c:pt idx="0">
                  <c:v>87.082258064516125</c:v>
                </c:pt>
                <c:pt idx="1">
                  <c:v>85.617857142857147</c:v>
                </c:pt>
                <c:pt idx="2">
                  <c:v>84.467741935483872</c:v>
                </c:pt>
                <c:pt idx="3">
                  <c:v>83.007666666666665</c:v>
                </c:pt>
                <c:pt idx="4">
                  <c:v>80.931612903225798</c:v>
                </c:pt>
                <c:pt idx="5">
                  <c:v>79.785333333333341</c:v>
                </c:pt>
                <c:pt idx="6">
                  <c:v>79.536451612903221</c:v>
                </c:pt>
                <c:pt idx="7">
                  <c:v>79.603225806451604</c:v>
                </c:pt>
                <c:pt idx="8">
                  <c:v>79.75366666666666</c:v>
                </c:pt>
                <c:pt idx="9">
                  <c:v>79.764516129032273</c:v>
                </c:pt>
                <c:pt idx="10">
                  <c:v>80.995333333333349</c:v>
                </c:pt>
                <c:pt idx="11">
                  <c:v>81.566774193548383</c:v>
                </c:pt>
                <c:pt idx="12">
                  <c:v>81.437741935483842</c:v>
                </c:pt>
                <c:pt idx="13">
                  <c:v>80.986206896551707</c:v>
                </c:pt>
                <c:pt idx="14">
                  <c:v>80.517741935483883</c:v>
                </c:pt>
                <c:pt idx="15">
                  <c:v>80.301999999999978</c:v>
                </c:pt>
                <c:pt idx="16">
                  <c:v>80.71709677419355</c:v>
                </c:pt>
                <c:pt idx="17">
                  <c:v>82.121666666666684</c:v>
                </c:pt>
                <c:pt idx="18">
                  <c:v>83.862580645161316</c:v>
                </c:pt>
                <c:pt idx="19">
                  <c:v>85.405161290322596</c:v>
                </c:pt>
                <c:pt idx="20">
                  <c:v>86.131666666666646</c:v>
                </c:pt>
                <c:pt idx="21">
                  <c:v>86.799677419354836</c:v>
                </c:pt>
                <c:pt idx="22">
                  <c:v>87.701999999999998</c:v>
                </c:pt>
                <c:pt idx="23">
                  <c:v>88.656451612903226</c:v>
                </c:pt>
              </c:numCache>
            </c:numRef>
          </c:val>
          <c:smooth val="1"/>
          <c:extLst>
            <c:ext xmlns:c16="http://schemas.microsoft.com/office/drawing/2014/chart" uri="{C3380CC4-5D6E-409C-BE32-E72D297353CC}">
              <c16:uniqueId val="{00000000-9F9D-4EC6-952E-B2EEC68F8224}"/>
            </c:ext>
          </c:extLst>
        </c:ser>
        <c:ser>
          <c:idx val="2"/>
          <c:order val="2"/>
          <c:tx>
            <c:strRef>
              <c:f>Sheet1!$D$1</c:f>
              <c:strCache>
                <c:ptCount val="1"/>
                <c:pt idx="0">
                  <c:v>가툰호수 수위(엘니뇨)</c:v>
                </c:pt>
              </c:strCache>
            </c:strRef>
          </c:tx>
          <c:spPr>
            <a:ln w="28575" cap="rnd">
              <a:solidFill>
                <a:schemeClr val="accent1"/>
              </a:solidFill>
              <a:round/>
            </a:ln>
            <a:effectLst/>
          </c:spPr>
          <c:marker>
            <c:symbol val="none"/>
          </c:marker>
          <c:cat>
            <c:numRef>
              <c:f>Sheet1!$A$2:$A$25</c:f>
              <c:numCache>
                <c:formatCode>m/d/yyyy</c:formatCode>
                <c:ptCount val="24"/>
                <c:pt idx="0">
                  <c:v>44927</c:v>
                </c:pt>
                <c:pt idx="1">
                  <c:v>44958</c:v>
                </c:pt>
                <c:pt idx="2">
                  <c:v>44986</c:v>
                </c:pt>
                <c:pt idx="3">
                  <c:v>45017</c:v>
                </c:pt>
                <c:pt idx="4">
                  <c:v>45047</c:v>
                </c:pt>
                <c:pt idx="5">
                  <c:v>45078</c:v>
                </c:pt>
                <c:pt idx="6">
                  <c:v>45108</c:v>
                </c:pt>
                <c:pt idx="7">
                  <c:v>45139</c:v>
                </c:pt>
                <c:pt idx="8">
                  <c:v>45170</c:v>
                </c:pt>
                <c:pt idx="9">
                  <c:v>45200</c:v>
                </c:pt>
                <c:pt idx="10">
                  <c:v>45231</c:v>
                </c:pt>
                <c:pt idx="11">
                  <c:v>45261</c:v>
                </c:pt>
                <c:pt idx="12">
                  <c:v>45292</c:v>
                </c:pt>
                <c:pt idx="13">
                  <c:v>45323</c:v>
                </c:pt>
                <c:pt idx="14">
                  <c:v>45352</c:v>
                </c:pt>
                <c:pt idx="15">
                  <c:v>45383</c:v>
                </c:pt>
                <c:pt idx="16">
                  <c:v>45413</c:v>
                </c:pt>
                <c:pt idx="17">
                  <c:v>45444</c:v>
                </c:pt>
                <c:pt idx="18">
                  <c:v>45474</c:v>
                </c:pt>
                <c:pt idx="19">
                  <c:v>45505</c:v>
                </c:pt>
                <c:pt idx="20">
                  <c:v>45536</c:v>
                </c:pt>
                <c:pt idx="21">
                  <c:v>45566</c:v>
                </c:pt>
                <c:pt idx="22">
                  <c:v>45597</c:v>
                </c:pt>
                <c:pt idx="23">
                  <c:v>45627</c:v>
                </c:pt>
              </c:numCache>
            </c:numRef>
          </c:cat>
          <c:val>
            <c:numRef>
              <c:f>Sheet1!$D$2:$D$25</c:f>
              <c:numCache>
                <c:formatCode>General</c:formatCode>
                <c:ptCount val="24"/>
                <c:pt idx="4" formatCode="#,##0.0_ ">
                  <c:v>80.931612903225798</c:v>
                </c:pt>
                <c:pt idx="5" formatCode="#,##0.0_ ">
                  <c:v>79.785333333333341</c:v>
                </c:pt>
                <c:pt idx="6" formatCode="#,##0.0_ ">
                  <c:v>79.536451612903221</c:v>
                </c:pt>
                <c:pt idx="7" formatCode="#,##0.0_ ">
                  <c:v>79.603225806451604</c:v>
                </c:pt>
                <c:pt idx="8" formatCode="#,##0.0_ ">
                  <c:v>79.75366666666666</c:v>
                </c:pt>
                <c:pt idx="9" formatCode="#,##0.0_ ">
                  <c:v>79.764516129032273</c:v>
                </c:pt>
                <c:pt idx="10" formatCode="#,##0.0_ ">
                  <c:v>80.995333333333349</c:v>
                </c:pt>
                <c:pt idx="11" formatCode="#,##0.0_ ">
                  <c:v>81.566774193548383</c:v>
                </c:pt>
                <c:pt idx="12" formatCode="#,##0.0_ ">
                  <c:v>81.437741935483842</c:v>
                </c:pt>
                <c:pt idx="13" formatCode="#,##0.0_ ">
                  <c:v>80.986206896551707</c:v>
                </c:pt>
                <c:pt idx="14" formatCode="#,##0.0_ ">
                  <c:v>80.517741935483883</c:v>
                </c:pt>
                <c:pt idx="15" formatCode="#,##0.0_ ">
                  <c:v>80.301999999999978</c:v>
                </c:pt>
                <c:pt idx="16" formatCode="#,##0.0_ ">
                  <c:v>80.71709677419355</c:v>
                </c:pt>
              </c:numCache>
            </c:numRef>
          </c:val>
          <c:smooth val="1"/>
          <c:extLst>
            <c:ext xmlns:c16="http://schemas.microsoft.com/office/drawing/2014/chart" uri="{C3380CC4-5D6E-409C-BE32-E72D297353CC}">
              <c16:uniqueId val="{00000001-9F9D-4EC6-952E-B2EEC68F8224}"/>
            </c:ext>
          </c:extLst>
        </c:ser>
        <c:ser>
          <c:idx val="5"/>
          <c:order val="5"/>
          <c:tx>
            <c:strRef>
              <c:f>Sheet1!$G$1</c:f>
              <c:strCache>
                <c:ptCount val="1"/>
                <c:pt idx="0">
                  <c:v>과거 월평균 수위</c:v>
                </c:pt>
              </c:strCache>
            </c:strRef>
          </c:tx>
          <c:spPr>
            <a:ln w="28575" cap="rnd">
              <a:solidFill>
                <a:schemeClr val="bg1">
                  <a:lumMod val="85000"/>
                </a:schemeClr>
              </a:solidFill>
              <a:round/>
            </a:ln>
            <a:effectLst/>
          </c:spPr>
          <c:marker>
            <c:symbol val="none"/>
          </c:marker>
          <c:cat>
            <c:numRef>
              <c:f>Sheet1!$A$2:$A$25</c:f>
              <c:numCache>
                <c:formatCode>m/d/yyyy</c:formatCode>
                <c:ptCount val="24"/>
                <c:pt idx="0">
                  <c:v>44927</c:v>
                </c:pt>
                <c:pt idx="1">
                  <c:v>44958</c:v>
                </c:pt>
                <c:pt idx="2">
                  <c:v>44986</c:v>
                </c:pt>
                <c:pt idx="3">
                  <c:v>45017</c:v>
                </c:pt>
                <c:pt idx="4">
                  <c:v>45047</c:v>
                </c:pt>
                <c:pt idx="5">
                  <c:v>45078</c:v>
                </c:pt>
                <c:pt idx="6">
                  <c:v>45108</c:v>
                </c:pt>
                <c:pt idx="7">
                  <c:v>45139</c:v>
                </c:pt>
                <c:pt idx="8">
                  <c:v>45170</c:v>
                </c:pt>
                <c:pt idx="9">
                  <c:v>45200</c:v>
                </c:pt>
                <c:pt idx="10">
                  <c:v>45231</c:v>
                </c:pt>
                <c:pt idx="11">
                  <c:v>45261</c:v>
                </c:pt>
                <c:pt idx="12">
                  <c:v>45292</c:v>
                </c:pt>
                <c:pt idx="13">
                  <c:v>45323</c:v>
                </c:pt>
                <c:pt idx="14">
                  <c:v>45352</c:v>
                </c:pt>
                <c:pt idx="15">
                  <c:v>45383</c:v>
                </c:pt>
                <c:pt idx="16">
                  <c:v>45413</c:v>
                </c:pt>
                <c:pt idx="17">
                  <c:v>45444</c:v>
                </c:pt>
                <c:pt idx="18">
                  <c:v>45474</c:v>
                </c:pt>
                <c:pt idx="19">
                  <c:v>45505</c:v>
                </c:pt>
                <c:pt idx="20">
                  <c:v>45536</c:v>
                </c:pt>
                <c:pt idx="21">
                  <c:v>45566</c:v>
                </c:pt>
                <c:pt idx="22">
                  <c:v>45597</c:v>
                </c:pt>
                <c:pt idx="23">
                  <c:v>45627</c:v>
                </c:pt>
              </c:numCache>
            </c:numRef>
          </c:cat>
          <c:val>
            <c:numRef>
              <c:f>Sheet1!$G$2:$G$25</c:f>
              <c:numCache>
                <c:formatCode>0.0_ </c:formatCode>
                <c:ptCount val="24"/>
                <c:pt idx="0">
                  <c:v>86.772308998302222</c:v>
                </c:pt>
                <c:pt idx="1">
                  <c:v>85.789454239045881</c:v>
                </c:pt>
                <c:pt idx="2">
                  <c:v>84.731714770797979</c:v>
                </c:pt>
                <c:pt idx="3">
                  <c:v>83.823684210526295</c:v>
                </c:pt>
                <c:pt idx="4">
                  <c:v>83.534940577249586</c:v>
                </c:pt>
                <c:pt idx="5">
                  <c:v>83.936438596491229</c:v>
                </c:pt>
                <c:pt idx="6">
                  <c:v>84.334533106960976</c:v>
                </c:pt>
                <c:pt idx="7">
                  <c:v>84.752122241086596</c:v>
                </c:pt>
                <c:pt idx="8">
                  <c:v>85.059614035087733</c:v>
                </c:pt>
                <c:pt idx="9">
                  <c:v>85.651901528013582</c:v>
                </c:pt>
                <c:pt idx="10">
                  <c:v>86.605035087719315</c:v>
                </c:pt>
                <c:pt idx="11">
                  <c:v>86.881901528013586</c:v>
                </c:pt>
                <c:pt idx="12">
                  <c:v>86.772308998302222</c:v>
                </c:pt>
                <c:pt idx="13">
                  <c:v>85.789454239045881</c:v>
                </c:pt>
                <c:pt idx="14">
                  <c:v>84.731714770797979</c:v>
                </c:pt>
                <c:pt idx="15">
                  <c:v>83.823684210526295</c:v>
                </c:pt>
                <c:pt idx="16">
                  <c:v>83.534940577249586</c:v>
                </c:pt>
                <c:pt idx="17">
                  <c:v>83.936438596491229</c:v>
                </c:pt>
                <c:pt idx="18">
                  <c:v>84.334533106960976</c:v>
                </c:pt>
                <c:pt idx="19">
                  <c:v>84.752122241086596</c:v>
                </c:pt>
                <c:pt idx="20">
                  <c:v>85.059614035087733</c:v>
                </c:pt>
                <c:pt idx="21">
                  <c:v>85.651901528013582</c:v>
                </c:pt>
                <c:pt idx="22">
                  <c:v>86.605035087719315</c:v>
                </c:pt>
                <c:pt idx="23">
                  <c:v>86.881901528013586</c:v>
                </c:pt>
              </c:numCache>
            </c:numRef>
          </c:val>
          <c:smooth val="0"/>
          <c:extLst>
            <c:ext xmlns:c16="http://schemas.microsoft.com/office/drawing/2014/chart" uri="{C3380CC4-5D6E-409C-BE32-E72D297353CC}">
              <c16:uniqueId val="{00000002-9F9D-4EC6-952E-B2EEC68F8224}"/>
            </c:ext>
          </c:extLst>
        </c:ser>
        <c:ser>
          <c:idx val="6"/>
          <c:order val="6"/>
          <c:tx>
            <c:strRef>
              <c:f>Sheet1!$H$1</c:f>
              <c:strCache>
                <c:ptCount val="1"/>
                <c:pt idx="0">
                  <c:v>과거 월평균 수위(엘니뇨)</c:v>
                </c:pt>
              </c:strCache>
            </c:strRef>
          </c:tx>
          <c:spPr>
            <a:ln w="28575" cap="rnd">
              <a:solidFill>
                <a:schemeClr val="bg1">
                  <a:lumMod val="65000"/>
                </a:schemeClr>
              </a:solidFill>
              <a:round/>
            </a:ln>
            <a:effectLst/>
          </c:spPr>
          <c:marker>
            <c:symbol val="none"/>
          </c:marker>
          <c:cat>
            <c:numRef>
              <c:f>Sheet1!$A$2:$A$25</c:f>
              <c:numCache>
                <c:formatCode>m/d/yyyy</c:formatCode>
                <c:ptCount val="24"/>
                <c:pt idx="0">
                  <c:v>44927</c:v>
                </c:pt>
                <c:pt idx="1">
                  <c:v>44958</c:v>
                </c:pt>
                <c:pt idx="2">
                  <c:v>44986</c:v>
                </c:pt>
                <c:pt idx="3">
                  <c:v>45017</c:v>
                </c:pt>
                <c:pt idx="4">
                  <c:v>45047</c:v>
                </c:pt>
                <c:pt idx="5">
                  <c:v>45078</c:v>
                </c:pt>
                <c:pt idx="6">
                  <c:v>45108</c:v>
                </c:pt>
                <c:pt idx="7">
                  <c:v>45139</c:v>
                </c:pt>
                <c:pt idx="8">
                  <c:v>45170</c:v>
                </c:pt>
                <c:pt idx="9">
                  <c:v>45200</c:v>
                </c:pt>
                <c:pt idx="10">
                  <c:v>45231</c:v>
                </c:pt>
                <c:pt idx="11">
                  <c:v>45261</c:v>
                </c:pt>
                <c:pt idx="12">
                  <c:v>45292</c:v>
                </c:pt>
                <c:pt idx="13">
                  <c:v>45323</c:v>
                </c:pt>
                <c:pt idx="14">
                  <c:v>45352</c:v>
                </c:pt>
                <c:pt idx="15">
                  <c:v>45383</c:v>
                </c:pt>
                <c:pt idx="16">
                  <c:v>45413</c:v>
                </c:pt>
                <c:pt idx="17">
                  <c:v>45444</c:v>
                </c:pt>
                <c:pt idx="18">
                  <c:v>45474</c:v>
                </c:pt>
                <c:pt idx="19">
                  <c:v>45505</c:v>
                </c:pt>
                <c:pt idx="20">
                  <c:v>45536</c:v>
                </c:pt>
                <c:pt idx="21">
                  <c:v>45566</c:v>
                </c:pt>
                <c:pt idx="22">
                  <c:v>45597</c:v>
                </c:pt>
                <c:pt idx="23">
                  <c:v>45627</c:v>
                </c:pt>
              </c:numCache>
            </c:numRef>
          </c:cat>
          <c:val>
            <c:numRef>
              <c:f>Sheet1!$H$2:$H$25</c:f>
              <c:numCache>
                <c:formatCode>General</c:formatCode>
                <c:ptCount val="24"/>
                <c:pt idx="4" formatCode="0.0_ ">
                  <c:v>83.534940577249586</c:v>
                </c:pt>
                <c:pt idx="5" formatCode="0.0_ ">
                  <c:v>83.936438596491229</c:v>
                </c:pt>
                <c:pt idx="6" formatCode="0.0_ ">
                  <c:v>84.334533106960976</c:v>
                </c:pt>
                <c:pt idx="7" formatCode="0.0_ ">
                  <c:v>84.752122241086596</c:v>
                </c:pt>
                <c:pt idx="8" formatCode="0.0_ ">
                  <c:v>85.059614035087733</c:v>
                </c:pt>
                <c:pt idx="9" formatCode="0.0_ ">
                  <c:v>85.651901528013582</c:v>
                </c:pt>
                <c:pt idx="10" formatCode="0.0_ ">
                  <c:v>86.605035087719315</c:v>
                </c:pt>
                <c:pt idx="11" formatCode="0.0_ ">
                  <c:v>86.881901528013586</c:v>
                </c:pt>
                <c:pt idx="12" formatCode="0.0_ ">
                  <c:v>86.772308998302222</c:v>
                </c:pt>
                <c:pt idx="13" formatCode="0.0_ ">
                  <c:v>85.789454239045881</c:v>
                </c:pt>
                <c:pt idx="14" formatCode="0.0_ ">
                  <c:v>84.731714770797979</c:v>
                </c:pt>
                <c:pt idx="15" formatCode="0.0_ ">
                  <c:v>83.823684210526295</c:v>
                </c:pt>
                <c:pt idx="16" formatCode="0.0_ ">
                  <c:v>83.534940577249586</c:v>
                </c:pt>
              </c:numCache>
            </c:numRef>
          </c:val>
          <c:smooth val="0"/>
          <c:extLst>
            <c:ext xmlns:c16="http://schemas.microsoft.com/office/drawing/2014/chart" uri="{C3380CC4-5D6E-409C-BE32-E72D297353CC}">
              <c16:uniqueId val="{00000003-9F9D-4EC6-952E-B2EEC68F8224}"/>
            </c:ext>
          </c:extLst>
        </c:ser>
        <c:dLbls>
          <c:showLegendKey val="0"/>
          <c:showVal val="0"/>
          <c:showCatName val="0"/>
          <c:showSerName val="0"/>
          <c:showPercent val="0"/>
          <c:showBubbleSize val="0"/>
        </c:dLbls>
        <c:marker val="1"/>
        <c:smooth val="0"/>
        <c:axId val="1154349599"/>
        <c:axId val="1879652607"/>
      </c:lineChart>
      <c:lineChart>
        <c:grouping val="standard"/>
        <c:varyColors val="0"/>
        <c:ser>
          <c:idx val="3"/>
          <c:order val="3"/>
          <c:tx>
            <c:strRef>
              <c:f>Sheet1!$E$1</c:f>
              <c:strCache>
                <c:ptCount val="1"/>
                <c:pt idx="0">
                  <c:v>최대흘수(우)</c:v>
                </c:pt>
              </c:strCache>
            </c:strRef>
          </c:tx>
          <c:spPr>
            <a:ln w="28575" cap="rnd">
              <a:solidFill>
                <a:schemeClr val="accent2">
                  <a:lumMod val="40000"/>
                  <a:lumOff val="60000"/>
                </a:schemeClr>
              </a:solidFill>
              <a:round/>
            </a:ln>
            <a:effectLst/>
          </c:spPr>
          <c:marker>
            <c:symbol val="none"/>
          </c:marker>
          <c:cat>
            <c:numRef>
              <c:f>Sheet1!$A$2:$A$25</c:f>
              <c:numCache>
                <c:formatCode>m/d/yyyy</c:formatCode>
                <c:ptCount val="24"/>
                <c:pt idx="0">
                  <c:v>44927</c:v>
                </c:pt>
                <c:pt idx="1">
                  <c:v>44958</c:v>
                </c:pt>
                <c:pt idx="2">
                  <c:v>44986</c:v>
                </c:pt>
                <c:pt idx="3">
                  <c:v>45017</c:v>
                </c:pt>
                <c:pt idx="4">
                  <c:v>45047</c:v>
                </c:pt>
                <c:pt idx="5">
                  <c:v>45078</c:v>
                </c:pt>
                <c:pt idx="6">
                  <c:v>45108</c:v>
                </c:pt>
                <c:pt idx="7">
                  <c:v>45139</c:v>
                </c:pt>
                <c:pt idx="8">
                  <c:v>45170</c:v>
                </c:pt>
                <c:pt idx="9">
                  <c:v>45200</c:v>
                </c:pt>
                <c:pt idx="10">
                  <c:v>45231</c:v>
                </c:pt>
                <c:pt idx="11">
                  <c:v>45261</c:v>
                </c:pt>
                <c:pt idx="12">
                  <c:v>45292</c:v>
                </c:pt>
                <c:pt idx="13">
                  <c:v>45323</c:v>
                </c:pt>
                <c:pt idx="14">
                  <c:v>45352</c:v>
                </c:pt>
                <c:pt idx="15">
                  <c:v>45383</c:v>
                </c:pt>
                <c:pt idx="16">
                  <c:v>45413</c:v>
                </c:pt>
                <c:pt idx="17">
                  <c:v>45444</c:v>
                </c:pt>
                <c:pt idx="18">
                  <c:v>45474</c:v>
                </c:pt>
                <c:pt idx="19">
                  <c:v>45505</c:v>
                </c:pt>
                <c:pt idx="20">
                  <c:v>45536</c:v>
                </c:pt>
                <c:pt idx="21">
                  <c:v>45566</c:v>
                </c:pt>
                <c:pt idx="22">
                  <c:v>45597</c:v>
                </c:pt>
                <c:pt idx="23">
                  <c:v>45627</c:v>
                </c:pt>
              </c:numCache>
            </c:numRef>
          </c:cat>
          <c:val>
            <c:numRef>
              <c:f>Sheet1!$E$2:$E$25</c:f>
              <c:numCache>
                <c:formatCode>General</c:formatCode>
                <c:ptCount val="24"/>
                <c:pt idx="0">
                  <c:v>50</c:v>
                </c:pt>
                <c:pt idx="1">
                  <c:v>50</c:v>
                </c:pt>
                <c:pt idx="2">
                  <c:v>50</c:v>
                </c:pt>
                <c:pt idx="3">
                  <c:v>47</c:v>
                </c:pt>
                <c:pt idx="4">
                  <c:v>46</c:v>
                </c:pt>
                <c:pt idx="5">
                  <c:v>44</c:v>
                </c:pt>
                <c:pt idx="6">
                  <c:v>44</c:v>
                </c:pt>
                <c:pt idx="7">
                  <c:v>44</c:v>
                </c:pt>
                <c:pt idx="8">
                  <c:v>44</c:v>
                </c:pt>
                <c:pt idx="9">
                  <c:v>44</c:v>
                </c:pt>
                <c:pt idx="10">
                  <c:v>44</c:v>
                </c:pt>
                <c:pt idx="11">
                  <c:v>44</c:v>
                </c:pt>
                <c:pt idx="12">
                  <c:v>44</c:v>
                </c:pt>
                <c:pt idx="13">
                  <c:v>44</c:v>
                </c:pt>
                <c:pt idx="14">
                  <c:v>44</c:v>
                </c:pt>
                <c:pt idx="15">
                  <c:v>44</c:v>
                </c:pt>
                <c:pt idx="16">
                  <c:v>44</c:v>
                </c:pt>
                <c:pt idx="17">
                  <c:v>45</c:v>
                </c:pt>
                <c:pt idx="18">
                  <c:v>48</c:v>
                </c:pt>
                <c:pt idx="19">
                  <c:v>49</c:v>
                </c:pt>
                <c:pt idx="20">
                  <c:v>50</c:v>
                </c:pt>
                <c:pt idx="21">
                  <c:v>50</c:v>
                </c:pt>
                <c:pt idx="22">
                  <c:v>50</c:v>
                </c:pt>
                <c:pt idx="23">
                  <c:v>50</c:v>
                </c:pt>
              </c:numCache>
            </c:numRef>
          </c:val>
          <c:smooth val="0"/>
          <c:extLst>
            <c:ext xmlns:c16="http://schemas.microsoft.com/office/drawing/2014/chart" uri="{C3380CC4-5D6E-409C-BE32-E72D297353CC}">
              <c16:uniqueId val="{00000004-9F9D-4EC6-952E-B2EEC68F8224}"/>
            </c:ext>
          </c:extLst>
        </c:ser>
        <c:ser>
          <c:idx val="4"/>
          <c:order val="4"/>
          <c:tx>
            <c:strRef>
              <c:f>Sheet1!$F$1</c:f>
              <c:strCache>
                <c:ptCount val="1"/>
                <c:pt idx="0">
                  <c:v>최대흘수(엘니뇨)</c:v>
                </c:pt>
              </c:strCache>
            </c:strRef>
          </c:tx>
          <c:spPr>
            <a:ln w="28575" cap="rnd">
              <a:solidFill>
                <a:schemeClr val="accent2"/>
              </a:solidFill>
              <a:round/>
            </a:ln>
            <a:effectLst/>
          </c:spPr>
          <c:marker>
            <c:symbol val="none"/>
          </c:marker>
          <c:cat>
            <c:numRef>
              <c:f>Sheet1!$A$2:$A$25</c:f>
              <c:numCache>
                <c:formatCode>m/d/yyyy</c:formatCode>
                <c:ptCount val="24"/>
                <c:pt idx="0">
                  <c:v>44927</c:v>
                </c:pt>
                <c:pt idx="1">
                  <c:v>44958</c:v>
                </c:pt>
                <c:pt idx="2">
                  <c:v>44986</c:v>
                </c:pt>
                <c:pt idx="3">
                  <c:v>45017</c:v>
                </c:pt>
                <c:pt idx="4">
                  <c:v>45047</c:v>
                </c:pt>
                <c:pt idx="5">
                  <c:v>45078</c:v>
                </c:pt>
                <c:pt idx="6">
                  <c:v>45108</c:v>
                </c:pt>
                <c:pt idx="7">
                  <c:v>45139</c:v>
                </c:pt>
                <c:pt idx="8">
                  <c:v>45170</c:v>
                </c:pt>
                <c:pt idx="9">
                  <c:v>45200</c:v>
                </c:pt>
                <c:pt idx="10">
                  <c:v>45231</c:v>
                </c:pt>
                <c:pt idx="11">
                  <c:v>45261</c:v>
                </c:pt>
                <c:pt idx="12">
                  <c:v>45292</c:v>
                </c:pt>
                <c:pt idx="13">
                  <c:v>45323</c:v>
                </c:pt>
                <c:pt idx="14">
                  <c:v>45352</c:v>
                </c:pt>
                <c:pt idx="15">
                  <c:v>45383</c:v>
                </c:pt>
                <c:pt idx="16">
                  <c:v>45413</c:v>
                </c:pt>
                <c:pt idx="17">
                  <c:v>45444</c:v>
                </c:pt>
                <c:pt idx="18">
                  <c:v>45474</c:v>
                </c:pt>
                <c:pt idx="19">
                  <c:v>45505</c:v>
                </c:pt>
                <c:pt idx="20">
                  <c:v>45536</c:v>
                </c:pt>
                <c:pt idx="21">
                  <c:v>45566</c:v>
                </c:pt>
                <c:pt idx="22">
                  <c:v>45597</c:v>
                </c:pt>
                <c:pt idx="23">
                  <c:v>45627</c:v>
                </c:pt>
              </c:numCache>
            </c:numRef>
          </c:cat>
          <c:val>
            <c:numRef>
              <c:f>Sheet1!$F$2:$F$25</c:f>
              <c:numCache>
                <c:formatCode>General</c:formatCode>
                <c:ptCount val="24"/>
                <c:pt idx="4">
                  <c:v>46</c:v>
                </c:pt>
                <c:pt idx="5">
                  <c:v>44</c:v>
                </c:pt>
                <c:pt idx="6">
                  <c:v>44</c:v>
                </c:pt>
                <c:pt idx="7">
                  <c:v>44</c:v>
                </c:pt>
                <c:pt idx="8">
                  <c:v>44</c:v>
                </c:pt>
                <c:pt idx="9">
                  <c:v>44</c:v>
                </c:pt>
                <c:pt idx="10">
                  <c:v>44</c:v>
                </c:pt>
                <c:pt idx="11">
                  <c:v>44</c:v>
                </c:pt>
                <c:pt idx="12">
                  <c:v>44</c:v>
                </c:pt>
                <c:pt idx="13">
                  <c:v>44</c:v>
                </c:pt>
                <c:pt idx="14">
                  <c:v>44</c:v>
                </c:pt>
                <c:pt idx="15">
                  <c:v>44</c:v>
                </c:pt>
                <c:pt idx="16">
                  <c:v>44</c:v>
                </c:pt>
              </c:numCache>
            </c:numRef>
          </c:val>
          <c:smooth val="0"/>
          <c:extLst>
            <c:ext xmlns:c16="http://schemas.microsoft.com/office/drawing/2014/chart" uri="{C3380CC4-5D6E-409C-BE32-E72D297353CC}">
              <c16:uniqueId val="{00000005-9F9D-4EC6-952E-B2EEC68F8224}"/>
            </c:ext>
          </c:extLst>
        </c:ser>
        <c:dLbls>
          <c:showLegendKey val="0"/>
          <c:showVal val="0"/>
          <c:showCatName val="0"/>
          <c:showSerName val="0"/>
          <c:showPercent val="0"/>
          <c:showBubbleSize val="0"/>
        </c:dLbls>
        <c:marker val="1"/>
        <c:smooth val="0"/>
        <c:axId val="853669360"/>
        <c:axId val="307846720"/>
      </c:lineChart>
      <c:dateAx>
        <c:axId val="1154349599"/>
        <c:scaling>
          <c:orientation val="minMax"/>
          <c:max val="45627"/>
          <c:min val="44927"/>
        </c:scaling>
        <c:delete val="0"/>
        <c:axPos val="b"/>
        <c:majorGridlines>
          <c:spPr>
            <a:ln w="6350" cap="flat" cmpd="sng" algn="ctr">
              <a:solidFill>
                <a:schemeClr val="tx1">
                  <a:lumMod val="15000"/>
                  <a:lumOff val="85000"/>
                </a:schemeClr>
              </a:solidFill>
              <a:prstDash val="sysDot"/>
              <a:round/>
            </a:ln>
            <a:effectLst/>
          </c:spPr>
        </c:majorGridlines>
        <c:numFmt formatCode="[$-409]mmm&quot;-&quot;yy;@" sourceLinked="0"/>
        <c:majorTickMark val="none"/>
        <c:minorTickMark val="none"/>
        <c:tickLblPos val="low"/>
        <c:spPr>
          <a:noFill/>
          <a:ln w="9525" cap="flat" cmpd="sng" algn="ctr">
            <a:solidFill>
              <a:schemeClr val="tx1">
                <a:lumMod val="15000"/>
                <a:lumOff val="85000"/>
              </a:schemeClr>
            </a:solidFill>
            <a:round/>
          </a:ln>
          <a:effectLst/>
        </c:spPr>
        <c:txPr>
          <a:bodyPr rot="-5400000" spcFirstLastPara="1" vertOverflow="ellipsis" wrap="square" anchor="ctr" anchorCtr="1"/>
          <a:lstStyle/>
          <a:p>
            <a:pPr>
              <a:defRPr sz="9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endParaRPr lang="ko-KR"/>
          </a:p>
        </c:txPr>
        <c:crossAx val="1879652607"/>
        <c:crosses val="autoZero"/>
        <c:auto val="1"/>
        <c:lblOffset val="100"/>
        <c:baseTimeUnit val="months"/>
        <c:majorUnit val="3"/>
        <c:majorTimeUnit val="months"/>
      </c:dateAx>
      <c:valAx>
        <c:axId val="1879652607"/>
        <c:scaling>
          <c:orientation val="minMax"/>
          <c:max val="95"/>
          <c:min val="75"/>
        </c:scaling>
        <c:delete val="0"/>
        <c:axPos val="l"/>
        <c:majorGridlines>
          <c:spPr>
            <a:ln w="6350" cap="flat" cmpd="sng" algn="ctr">
              <a:solidFill>
                <a:schemeClr val="tx1">
                  <a:lumMod val="15000"/>
                  <a:lumOff val="85000"/>
                </a:schemeClr>
              </a:solidFill>
              <a:prstDash val="sysDot"/>
              <a:round/>
            </a:ln>
            <a:effectLst/>
          </c:spPr>
        </c:majorGridlines>
        <c:title>
          <c:tx>
            <c:rich>
              <a:bodyPr rot="0" spcFirstLastPara="1" vertOverflow="ellipsis" wrap="square" anchor="ctr" anchorCtr="1"/>
              <a:lstStyle/>
              <a:p>
                <a:pPr>
                  <a:defRPr sz="8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r>
                  <a:rPr lang="en-US" altLang="ko-KR" sz="800">
                    <a:latin typeface="바탕체" panose="02030609000101010101" pitchFamily="17" charset="-127"/>
                    <a:ea typeface="바탕체" panose="02030609000101010101" pitchFamily="17" charset="-127"/>
                  </a:rPr>
                  <a:t>(ft)</a:t>
                </a:r>
                <a:endParaRPr lang="ko-KR" altLang="en-US" sz="800">
                  <a:latin typeface="바탕체" panose="02030609000101010101" pitchFamily="17" charset="-127"/>
                  <a:ea typeface="바탕체" panose="02030609000101010101" pitchFamily="17" charset="-127"/>
                </a:endParaRPr>
              </a:p>
            </c:rich>
          </c:tx>
          <c:layout>
            <c:manualLayout>
              <c:xMode val="edge"/>
              <c:yMode val="edge"/>
              <c:x val="0"/>
              <c:y val="1.6591642582452323E-2"/>
            </c:manualLayout>
          </c:layout>
          <c:overlay val="0"/>
          <c:spPr>
            <a:noFill/>
            <a:ln>
              <a:noFill/>
            </a:ln>
            <a:effectLst/>
          </c:spPr>
          <c:txPr>
            <a:bodyPr rot="0" spcFirstLastPara="1" vertOverflow="ellipsis" wrap="square" anchor="ctr" anchorCtr="1"/>
            <a:lstStyle/>
            <a:p>
              <a:pPr>
                <a:defRPr sz="8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endParaRPr lang="ko-KR"/>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endParaRPr lang="ko-KR"/>
          </a:p>
        </c:txPr>
        <c:crossAx val="1154349599"/>
        <c:crosses val="autoZero"/>
        <c:crossBetween val="between"/>
      </c:valAx>
      <c:valAx>
        <c:axId val="307846720"/>
        <c:scaling>
          <c:orientation val="minMax"/>
          <c:max val="60"/>
          <c:min val="40"/>
        </c:scaling>
        <c:delete val="0"/>
        <c:axPos val="r"/>
        <c:title>
          <c:tx>
            <c:rich>
              <a:bodyPr rot="0" spcFirstLastPara="1" vertOverflow="ellipsis" wrap="square" anchor="ctr" anchorCtr="1"/>
              <a:lstStyle/>
              <a:p>
                <a:pPr>
                  <a:defRPr sz="8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r>
                  <a:rPr lang="en-US" altLang="ko-KR" sz="800">
                    <a:latin typeface="바탕체" panose="02030609000101010101" pitchFamily="17" charset="-127"/>
                    <a:ea typeface="바탕체" panose="02030609000101010101" pitchFamily="17" charset="-127"/>
                  </a:rPr>
                  <a:t>(ft)</a:t>
                </a:r>
                <a:endParaRPr lang="ko-KR" altLang="en-US" sz="800">
                  <a:latin typeface="바탕체" panose="02030609000101010101" pitchFamily="17" charset="-127"/>
                  <a:ea typeface="바탕체" panose="02030609000101010101" pitchFamily="17" charset="-127"/>
                </a:endParaRPr>
              </a:p>
            </c:rich>
          </c:tx>
          <c:layout>
            <c:manualLayout>
              <c:xMode val="edge"/>
              <c:yMode val="edge"/>
              <c:x val="0.89949748743718594"/>
              <c:y val="2.2540482558656996E-2"/>
            </c:manualLayout>
          </c:layout>
          <c:overlay val="0"/>
          <c:spPr>
            <a:noFill/>
            <a:ln>
              <a:noFill/>
            </a:ln>
            <a:effectLst/>
          </c:spPr>
          <c:txPr>
            <a:bodyPr rot="0" spcFirstLastPara="1" vertOverflow="ellipsis" wrap="square" anchor="ctr" anchorCtr="1"/>
            <a:lstStyle/>
            <a:p>
              <a:pPr>
                <a:defRPr sz="8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endParaRPr lang="ko-KR"/>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endParaRPr lang="ko-KR"/>
          </a:p>
        </c:txPr>
        <c:crossAx val="853669360"/>
        <c:crosses val="max"/>
        <c:crossBetween val="between"/>
      </c:valAx>
      <c:dateAx>
        <c:axId val="853669360"/>
        <c:scaling>
          <c:orientation val="minMax"/>
        </c:scaling>
        <c:delete val="1"/>
        <c:axPos val="b"/>
        <c:numFmt formatCode="m/d/yyyy" sourceLinked="1"/>
        <c:majorTickMark val="out"/>
        <c:minorTickMark val="none"/>
        <c:tickLblPos val="nextTo"/>
        <c:crossAx val="307846720"/>
        <c:crosses val="autoZero"/>
        <c:auto val="1"/>
        <c:lblOffset val="100"/>
        <c:baseTimeUnit val="months"/>
        <c:majorUnit val="1"/>
        <c:minorUnit val="1"/>
      </c:dateAx>
      <c:spPr>
        <a:noFill/>
        <a:ln>
          <a:noFill/>
        </a:ln>
        <a:effectLst/>
      </c:spPr>
    </c:plotArea>
    <c:legend>
      <c:legendPos val="t"/>
      <c:legendEntry>
        <c:idx val="1"/>
        <c:delete val="1"/>
      </c:legendEntry>
      <c:legendEntry>
        <c:idx val="3"/>
        <c:delete val="1"/>
      </c:legendEntry>
      <c:legendEntry>
        <c:idx val="5"/>
        <c:delete val="1"/>
      </c:legendEntry>
      <c:layout>
        <c:manualLayout>
          <c:xMode val="edge"/>
          <c:yMode val="edge"/>
          <c:x val="0.47796354715596595"/>
          <c:y val="0.10363769222481932"/>
          <c:w val="0.47178519656262702"/>
          <c:h val="0.16859012492563949"/>
        </c:manualLayout>
      </c:layout>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endParaRPr lang="ko-K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ko-K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50" b="1" i="0" u="none" strike="noStrike" kern="1200" spc="0" baseline="0">
                <a:solidFill>
                  <a:schemeClr val="tx1">
                    <a:lumMod val="65000"/>
                    <a:lumOff val="35000"/>
                  </a:schemeClr>
                </a:solidFill>
                <a:latin typeface="바탕체" panose="02030609000101010101" pitchFamily="17" charset="-127"/>
                <a:ea typeface="바탕체" panose="02030609000101010101" pitchFamily="17" charset="-127"/>
                <a:cs typeface="+mn-cs"/>
              </a:defRPr>
            </a:pPr>
            <a:r>
              <a:rPr lang="ko-KR" sz="1050" b="1"/>
              <a:t>일일 통항 선박 수 변화</a:t>
            </a:r>
          </a:p>
        </c:rich>
      </c:tx>
      <c:layout>
        <c:manualLayout>
          <c:xMode val="edge"/>
          <c:yMode val="edge"/>
          <c:x val="0.20836031965496626"/>
          <c:y val="1.195814648729447E-2"/>
        </c:manualLayout>
      </c:layout>
      <c:overlay val="0"/>
      <c:spPr>
        <a:noFill/>
        <a:ln>
          <a:noFill/>
        </a:ln>
        <a:effectLst/>
      </c:spPr>
      <c:txPr>
        <a:bodyPr rot="0" spcFirstLastPara="1" vertOverflow="ellipsis" vert="horz" wrap="square" anchor="ctr" anchorCtr="1"/>
        <a:lstStyle/>
        <a:p>
          <a:pPr>
            <a:defRPr sz="1050" b="1" i="0" u="none" strike="noStrike" kern="1200" spc="0" baseline="0">
              <a:solidFill>
                <a:schemeClr val="tx1">
                  <a:lumMod val="65000"/>
                  <a:lumOff val="35000"/>
                </a:schemeClr>
              </a:solidFill>
              <a:latin typeface="바탕체" panose="02030609000101010101" pitchFamily="17" charset="-127"/>
              <a:ea typeface="바탕체" panose="02030609000101010101" pitchFamily="17" charset="-127"/>
              <a:cs typeface="+mn-cs"/>
            </a:defRPr>
          </a:pPr>
          <a:endParaRPr lang="ko-KR"/>
        </a:p>
      </c:txPr>
    </c:title>
    <c:autoTitleDeleted val="0"/>
    <c:plotArea>
      <c:layout>
        <c:manualLayout>
          <c:layoutTarget val="inner"/>
          <c:xMode val="edge"/>
          <c:yMode val="edge"/>
          <c:x val="0.10024755289380165"/>
          <c:y val="0.12077727952167416"/>
          <c:w val="0.81789422339906626"/>
          <c:h val="0.67530195496863343"/>
        </c:manualLayout>
      </c:layout>
      <c:barChart>
        <c:barDir val="col"/>
        <c:grouping val="clustered"/>
        <c:varyColors val="0"/>
        <c:ser>
          <c:idx val="0"/>
          <c:order val="0"/>
          <c:tx>
            <c:strRef>
              <c:f>Sheet1!$B$1</c:f>
              <c:strCache>
                <c:ptCount val="1"/>
                <c:pt idx="0">
                  <c:v>일일 통항 제한</c:v>
                </c:pt>
              </c:strCache>
            </c:strRef>
          </c:tx>
          <c:spPr>
            <a:solidFill>
              <a:schemeClr val="bg1">
                <a:lumMod val="85000"/>
              </a:schemeClr>
            </a:solidFill>
            <a:ln>
              <a:noFill/>
            </a:ln>
            <a:effectLst/>
          </c:spPr>
          <c:invertIfNegative val="0"/>
          <c:cat>
            <c:numRef>
              <c:f>Sheet1!$A$2:$A$25</c:f>
              <c:numCache>
                <c:formatCode>m/d/yyyy</c:formatCode>
                <c:ptCount val="24"/>
                <c:pt idx="0">
                  <c:v>44927</c:v>
                </c:pt>
                <c:pt idx="1">
                  <c:v>44958</c:v>
                </c:pt>
                <c:pt idx="2">
                  <c:v>44986</c:v>
                </c:pt>
                <c:pt idx="3">
                  <c:v>45017</c:v>
                </c:pt>
                <c:pt idx="4">
                  <c:v>45047</c:v>
                </c:pt>
                <c:pt idx="5">
                  <c:v>45078</c:v>
                </c:pt>
                <c:pt idx="6">
                  <c:v>45108</c:v>
                </c:pt>
                <c:pt idx="7">
                  <c:v>45139</c:v>
                </c:pt>
                <c:pt idx="8">
                  <c:v>45170</c:v>
                </c:pt>
                <c:pt idx="9">
                  <c:v>45200</c:v>
                </c:pt>
                <c:pt idx="10">
                  <c:v>45231</c:v>
                </c:pt>
                <c:pt idx="11">
                  <c:v>45261</c:v>
                </c:pt>
                <c:pt idx="12">
                  <c:v>45292</c:v>
                </c:pt>
                <c:pt idx="13">
                  <c:v>45323</c:v>
                </c:pt>
                <c:pt idx="14">
                  <c:v>45352</c:v>
                </c:pt>
                <c:pt idx="15">
                  <c:v>45383</c:v>
                </c:pt>
                <c:pt idx="16">
                  <c:v>45413</c:v>
                </c:pt>
                <c:pt idx="17">
                  <c:v>45444</c:v>
                </c:pt>
                <c:pt idx="18">
                  <c:v>45474</c:v>
                </c:pt>
                <c:pt idx="19">
                  <c:v>45505</c:v>
                </c:pt>
                <c:pt idx="20">
                  <c:v>45536</c:v>
                </c:pt>
                <c:pt idx="21">
                  <c:v>45566</c:v>
                </c:pt>
                <c:pt idx="22">
                  <c:v>45597</c:v>
                </c:pt>
                <c:pt idx="23">
                  <c:v>45627</c:v>
                </c:pt>
              </c:numCache>
            </c:numRef>
          </c:cat>
          <c:val>
            <c:numRef>
              <c:f>Sheet1!$B$2:$B$25</c:f>
              <c:numCache>
                <c:formatCode>General</c:formatCode>
                <c:ptCount val="24"/>
                <c:pt idx="0">
                  <c:v>36</c:v>
                </c:pt>
                <c:pt idx="1">
                  <c:v>36</c:v>
                </c:pt>
                <c:pt idx="2">
                  <c:v>36</c:v>
                </c:pt>
                <c:pt idx="3">
                  <c:v>36</c:v>
                </c:pt>
                <c:pt idx="17">
                  <c:v>32</c:v>
                </c:pt>
                <c:pt idx="18">
                  <c:v>33</c:v>
                </c:pt>
                <c:pt idx="19">
                  <c:v>35</c:v>
                </c:pt>
                <c:pt idx="20">
                  <c:v>36</c:v>
                </c:pt>
                <c:pt idx="21">
                  <c:v>36</c:v>
                </c:pt>
                <c:pt idx="22">
                  <c:v>36</c:v>
                </c:pt>
                <c:pt idx="23">
                  <c:v>36</c:v>
                </c:pt>
              </c:numCache>
            </c:numRef>
          </c:val>
          <c:extLst>
            <c:ext xmlns:c16="http://schemas.microsoft.com/office/drawing/2014/chart" uri="{C3380CC4-5D6E-409C-BE32-E72D297353CC}">
              <c16:uniqueId val="{00000000-0C68-4E96-B17C-D87DE90F5BAB}"/>
            </c:ext>
          </c:extLst>
        </c:ser>
        <c:ser>
          <c:idx val="1"/>
          <c:order val="1"/>
          <c:tx>
            <c:strRef>
              <c:f>Sheet1!$C$1</c:f>
              <c:strCache>
                <c:ptCount val="1"/>
                <c:pt idx="0">
                  <c:v>일일 통항 제한(엘니뇨)</c:v>
                </c:pt>
              </c:strCache>
            </c:strRef>
          </c:tx>
          <c:spPr>
            <a:solidFill>
              <a:schemeClr val="bg1">
                <a:lumMod val="65000"/>
              </a:schemeClr>
            </a:solidFill>
            <a:ln>
              <a:noFill/>
            </a:ln>
            <a:effectLst/>
          </c:spPr>
          <c:invertIfNegative val="0"/>
          <c:cat>
            <c:numRef>
              <c:f>Sheet1!$A$2:$A$25</c:f>
              <c:numCache>
                <c:formatCode>m/d/yyyy</c:formatCode>
                <c:ptCount val="24"/>
                <c:pt idx="0">
                  <c:v>44927</c:v>
                </c:pt>
                <c:pt idx="1">
                  <c:v>44958</c:v>
                </c:pt>
                <c:pt idx="2">
                  <c:v>44986</c:v>
                </c:pt>
                <c:pt idx="3">
                  <c:v>45017</c:v>
                </c:pt>
                <c:pt idx="4">
                  <c:v>45047</c:v>
                </c:pt>
                <c:pt idx="5">
                  <c:v>45078</c:v>
                </c:pt>
                <c:pt idx="6">
                  <c:v>45108</c:v>
                </c:pt>
                <c:pt idx="7">
                  <c:v>45139</c:v>
                </c:pt>
                <c:pt idx="8">
                  <c:v>45170</c:v>
                </c:pt>
                <c:pt idx="9">
                  <c:v>45200</c:v>
                </c:pt>
                <c:pt idx="10">
                  <c:v>45231</c:v>
                </c:pt>
                <c:pt idx="11">
                  <c:v>45261</c:v>
                </c:pt>
                <c:pt idx="12">
                  <c:v>45292</c:v>
                </c:pt>
                <c:pt idx="13">
                  <c:v>45323</c:v>
                </c:pt>
                <c:pt idx="14">
                  <c:v>45352</c:v>
                </c:pt>
                <c:pt idx="15">
                  <c:v>45383</c:v>
                </c:pt>
                <c:pt idx="16">
                  <c:v>45413</c:v>
                </c:pt>
                <c:pt idx="17">
                  <c:v>45444</c:v>
                </c:pt>
                <c:pt idx="18">
                  <c:v>45474</c:v>
                </c:pt>
                <c:pt idx="19">
                  <c:v>45505</c:v>
                </c:pt>
                <c:pt idx="20">
                  <c:v>45536</c:v>
                </c:pt>
                <c:pt idx="21">
                  <c:v>45566</c:v>
                </c:pt>
                <c:pt idx="22">
                  <c:v>45597</c:v>
                </c:pt>
                <c:pt idx="23">
                  <c:v>45627</c:v>
                </c:pt>
              </c:numCache>
            </c:numRef>
          </c:cat>
          <c:val>
            <c:numRef>
              <c:f>Sheet1!$C$2:$C$25</c:f>
              <c:numCache>
                <c:formatCode>General</c:formatCode>
                <c:ptCount val="24"/>
                <c:pt idx="4">
                  <c:v>36</c:v>
                </c:pt>
                <c:pt idx="5">
                  <c:v>36</c:v>
                </c:pt>
                <c:pt idx="6">
                  <c:v>32</c:v>
                </c:pt>
                <c:pt idx="7">
                  <c:v>32</c:v>
                </c:pt>
                <c:pt idx="8">
                  <c:v>32</c:v>
                </c:pt>
                <c:pt idx="9">
                  <c:v>32</c:v>
                </c:pt>
                <c:pt idx="10">
                  <c:v>24</c:v>
                </c:pt>
                <c:pt idx="11">
                  <c:v>22</c:v>
                </c:pt>
                <c:pt idx="12">
                  <c:v>24</c:v>
                </c:pt>
                <c:pt idx="13">
                  <c:v>24</c:v>
                </c:pt>
                <c:pt idx="14">
                  <c:v>24</c:v>
                </c:pt>
                <c:pt idx="15">
                  <c:v>27</c:v>
                </c:pt>
                <c:pt idx="16">
                  <c:v>27</c:v>
                </c:pt>
              </c:numCache>
            </c:numRef>
          </c:val>
          <c:extLst>
            <c:ext xmlns:c16="http://schemas.microsoft.com/office/drawing/2014/chart" uri="{C3380CC4-5D6E-409C-BE32-E72D297353CC}">
              <c16:uniqueId val="{00000001-0C68-4E96-B17C-D87DE90F5BAB}"/>
            </c:ext>
          </c:extLst>
        </c:ser>
        <c:dLbls>
          <c:showLegendKey val="0"/>
          <c:showVal val="0"/>
          <c:showCatName val="0"/>
          <c:showSerName val="0"/>
          <c:showPercent val="0"/>
          <c:showBubbleSize val="0"/>
        </c:dLbls>
        <c:gapWidth val="146"/>
        <c:overlap val="100"/>
        <c:axId val="242158832"/>
        <c:axId val="242164656"/>
      </c:barChart>
      <c:lineChart>
        <c:grouping val="standard"/>
        <c:varyColors val="0"/>
        <c:ser>
          <c:idx val="2"/>
          <c:order val="2"/>
          <c:tx>
            <c:strRef>
              <c:f>Sheet1!$D$1</c:f>
              <c:strCache>
                <c:ptCount val="1"/>
                <c:pt idx="0">
                  <c:v>최대흘수(우)</c:v>
                </c:pt>
              </c:strCache>
            </c:strRef>
          </c:tx>
          <c:spPr>
            <a:ln w="28575" cap="rnd">
              <a:solidFill>
                <a:schemeClr val="accent2">
                  <a:lumMod val="40000"/>
                  <a:lumOff val="60000"/>
                </a:schemeClr>
              </a:solidFill>
              <a:round/>
            </a:ln>
            <a:effectLst/>
          </c:spPr>
          <c:marker>
            <c:symbol val="none"/>
          </c:marker>
          <c:cat>
            <c:numRef>
              <c:f>Sheet1!$A$2:$A$25</c:f>
              <c:numCache>
                <c:formatCode>m/d/yyyy</c:formatCode>
                <c:ptCount val="24"/>
                <c:pt idx="0">
                  <c:v>44927</c:v>
                </c:pt>
                <c:pt idx="1">
                  <c:v>44958</c:v>
                </c:pt>
                <c:pt idx="2">
                  <c:v>44986</c:v>
                </c:pt>
                <c:pt idx="3">
                  <c:v>45017</c:v>
                </c:pt>
                <c:pt idx="4">
                  <c:v>45047</c:v>
                </c:pt>
                <c:pt idx="5">
                  <c:v>45078</c:v>
                </c:pt>
                <c:pt idx="6">
                  <c:v>45108</c:v>
                </c:pt>
                <c:pt idx="7">
                  <c:v>45139</c:v>
                </c:pt>
                <c:pt idx="8">
                  <c:v>45170</c:v>
                </c:pt>
                <c:pt idx="9">
                  <c:v>45200</c:v>
                </c:pt>
                <c:pt idx="10">
                  <c:v>45231</c:v>
                </c:pt>
                <c:pt idx="11">
                  <c:v>45261</c:v>
                </c:pt>
                <c:pt idx="12">
                  <c:v>45292</c:v>
                </c:pt>
                <c:pt idx="13">
                  <c:v>45323</c:v>
                </c:pt>
                <c:pt idx="14">
                  <c:v>45352</c:v>
                </c:pt>
                <c:pt idx="15">
                  <c:v>45383</c:v>
                </c:pt>
                <c:pt idx="16">
                  <c:v>45413</c:v>
                </c:pt>
                <c:pt idx="17">
                  <c:v>45444</c:v>
                </c:pt>
                <c:pt idx="18">
                  <c:v>45474</c:v>
                </c:pt>
                <c:pt idx="19">
                  <c:v>45505</c:v>
                </c:pt>
                <c:pt idx="20">
                  <c:v>45536</c:v>
                </c:pt>
                <c:pt idx="21">
                  <c:v>45566</c:v>
                </c:pt>
                <c:pt idx="22">
                  <c:v>45597</c:v>
                </c:pt>
                <c:pt idx="23">
                  <c:v>45627</c:v>
                </c:pt>
              </c:numCache>
            </c:numRef>
          </c:cat>
          <c:val>
            <c:numRef>
              <c:f>Sheet1!$D$2:$D$25</c:f>
              <c:numCache>
                <c:formatCode>General</c:formatCode>
                <c:ptCount val="24"/>
                <c:pt idx="0">
                  <c:v>50</c:v>
                </c:pt>
                <c:pt idx="1">
                  <c:v>50</c:v>
                </c:pt>
                <c:pt idx="2">
                  <c:v>50</c:v>
                </c:pt>
                <c:pt idx="3">
                  <c:v>47</c:v>
                </c:pt>
                <c:pt idx="4">
                  <c:v>46</c:v>
                </c:pt>
                <c:pt idx="5">
                  <c:v>44</c:v>
                </c:pt>
                <c:pt idx="6">
                  <c:v>44</c:v>
                </c:pt>
                <c:pt idx="7">
                  <c:v>44</c:v>
                </c:pt>
                <c:pt idx="8">
                  <c:v>44</c:v>
                </c:pt>
                <c:pt idx="9">
                  <c:v>44</c:v>
                </c:pt>
                <c:pt idx="10">
                  <c:v>44</c:v>
                </c:pt>
                <c:pt idx="11">
                  <c:v>44</c:v>
                </c:pt>
                <c:pt idx="12">
                  <c:v>44</c:v>
                </c:pt>
                <c:pt idx="13">
                  <c:v>44</c:v>
                </c:pt>
                <c:pt idx="14">
                  <c:v>44</c:v>
                </c:pt>
                <c:pt idx="15">
                  <c:v>44</c:v>
                </c:pt>
                <c:pt idx="16">
                  <c:v>44</c:v>
                </c:pt>
                <c:pt idx="17">
                  <c:v>45</c:v>
                </c:pt>
                <c:pt idx="18">
                  <c:v>48</c:v>
                </c:pt>
                <c:pt idx="19">
                  <c:v>49</c:v>
                </c:pt>
                <c:pt idx="20">
                  <c:v>50</c:v>
                </c:pt>
                <c:pt idx="21">
                  <c:v>50</c:v>
                </c:pt>
                <c:pt idx="22">
                  <c:v>50</c:v>
                </c:pt>
                <c:pt idx="23">
                  <c:v>50</c:v>
                </c:pt>
              </c:numCache>
            </c:numRef>
          </c:val>
          <c:smooth val="0"/>
          <c:extLst>
            <c:ext xmlns:c16="http://schemas.microsoft.com/office/drawing/2014/chart" uri="{C3380CC4-5D6E-409C-BE32-E72D297353CC}">
              <c16:uniqueId val="{00000002-0C68-4E96-B17C-D87DE90F5BAB}"/>
            </c:ext>
          </c:extLst>
        </c:ser>
        <c:ser>
          <c:idx val="3"/>
          <c:order val="3"/>
          <c:tx>
            <c:strRef>
              <c:f>Sheet1!$E$1</c:f>
              <c:strCache>
                <c:ptCount val="1"/>
                <c:pt idx="0">
                  <c:v>최대흘수(엘니뇨)</c:v>
                </c:pt>
              </c:strCache>
            </c:strRef>
          </c:tx>
          <c:spPr>
            <a:ln w="28575" cap="rnd">
              <a:solidFill>
                <a:schemeClr val="accent2"/>
              </a:solidFill>
              <a:round/>
            </a:ln>
            <a:effectLst/>
          </c:spPr>
          <c:marker>
            <c:symbol val="none"/>
          </c:marker>
          <c:cat>
            <c:numRef>
              <c:f>Sheet1!$A$2:$A$25</c:f>
              <c:numCache>
                <c:formatCode>m/d/yyyy</c:formatCode>
                <c:ptCount val="24"/>
                <c:pt idx="0">
                  <c:v>44927</c:v>
                </c:pt>
                <c:pt idx="1">
                  <c:v>44958</c:v>
                </c:pt>
                <c:pt idx="2">
                  <c:v>44986</c:v>
                </c:pt>
                <c:pt idx="3">
                  <c:v>45017</c:v>
                </c:pt>
                <c:pt idx="4">
                  <c:v>45047</c:v>
                </c:pt>
                <c:pt idx="5">
                  <c:v>45078</c:v>
                </c:pt>
                <c:pt idx="6">
                  <c:v>45108</c:v>
                </c:pt>
                <c:pt idx="7">
                  <c:v>45139</c:v>
                </c:pt>
                <c:pt idx="8">
                  <c:v>45170</c:v>
                </c:pt>
                <c:pt idx="9">
                  <c:v>45200</c:v>
                </c:pt>
                <c:pt idx="10">
                  <c:v>45231</c:v>
                </c:pt>
                <c:pt idx="11">
                  <c:v>45261</c:v>
                </c:pt>
                <c:pt idx="12">
                  <c:v>45292</c:v>
                </c:pt>
                <c:pt idx="13">
                  <c:v>45323</c:v>
                </c:pt>
                <c:pt idx="14">
                  <c:v>45352</c:v>
                </c:pt>
                <c:pt idx="15">
                  <c:v>45383</c:v>
                </c:pt>
                <c:pt idx="16">
                  <c:v>45413</c:v>
                </c:pt>
                <c:pt idx="17">
                  <c:v>45444</c:v>
                </c:pt>
                <c:pt idx="18">
                  <c:v>45474</c:v>
                </c:pt>
                <c:pt idx="19">
                  <c:v>45505</c:v>
                </c:pt>
                <c:pt idx="20">
                  <c:v>45536</c:v>
                </c:pt>
                <c:pt idx="21">
                  <c:v>45566</c:v>
                </c:pt>
                <c:pt idx="22">
                  <c:v>45597</c:v>
                </c:pt>
                <c:pt idx="23">
                  <c:v>45627</c:v>
                </c:pt>
              </c:numCache>
            </c:numRef>
          </c:cat>
          <c:val>
            <c:numRef>
              <c:f>Sheet1!$E$2:$E$25</c:f>
              <c:numCache>
                <c:formatCode>General</c:formatCode>
                <c:ptCount val="24"/>
                <c:pt idx="4">
                  <c:v>46</c:v>
                </c:pt>
                <c:pt idx="5">
                  <c:v>44</c:v>
                </c:pt>
                <c:pt idx="6">
                  <c:v>44</c:v>
                </c:pt>
                <c:pt idx="7">
                  <c:v>44</c:v>
                </c:pt>
                <c:pt idx="8">
                  <c:v>44</c:v>
                </c:pt>
                <c:pt idx="9">
                  <c:v>44</c:v>
                </c:pt>
                <c:pt idx="10">
                  <c:v>44</c:v>
                </c:pt>
                <c:pt idx="11">
                  <c:v>44</c:v>
                </c:pt>
                <c:pt idx="12">
                  <c:v>44</c:v>
                </c:pt>
                <c:pt idx="13">
                  <c:v>44</c:v>
                </c:pt>
                <c:pt idx="14">
                  <c:v>44</c:v>
                </c:pt>
                <c:pt idx="15">
                  <c:v>44</c:v>
                </c:pt>
                <c:pt idx="16">
                  <c:v>44</c:v>
                </c:pt>
              </c:numCache>
            </c:numRef>
          </c:val>
          <c:smooth val="0"/>
          <c:extLst>
            <c:ext xmlns:c16="http://schemas.microsoft.com/office/drawing/2014/chart" uri="{C3380CC4-5D6E-409C-BE32-E72D297353CC}">
              <c16:uniqueId val="{00000003-0C68-4E96-B17C-D87DE90F5BAB}"/>
            </c:ext>
          </c:extLst>
        </c:ser>
        <c:dLbls>
          <c:showLegendKey val="0"/>
          <c:showVal val="0"/>
          <c:showCatName val="0"/>
          <c:showSerName val="0"/>
          <c:showPercent val="0"/>
          <c:showBubbleSize val="0"/>
        </c:dLbls>
        <c:marker val="1"/>
        <c:smooth val="0"/>
        <c:axId val="1958900624"/>
        <c:axId val="1958900208"/>
      </c:lineChart>
      <c:dateAx>
        <c:axId val="242158832"/>
        <c:scaling>
          <c:orientation val="minMax"/>
        </c:scaling>
        <c:delete val="0"/>
        <c:axPos val="b"/>
        <c:numFmt formatCode="[$-409]mmm&quot;-&quot;yy;@" sourceLinked="0"/>
        <c:majorTickMark val="none"/>
        <c:minorTickMark val="none"/>
        <c:tickLblPos val="nextTo"/>
        <c:spPr>
          <a:noFill/>
          <a:ln w="9525" cap="flat" cmpd="sng" algn="ctr">
            <a:solidFill>
              <a:schemeClr val="tx1">
                <a:lumMod val="15000"/>
                <a:lumOff val="85000"/>
              </a:schemeClr>
            </a:solidFill>
            <a:round/>
          </a:ln>
          <a:effectLst/>
        </c:spPr>
        <c:txPr>
          <a:bodyPr rot="-5400000" spcFirstLastPara="1" vertOverflow="ellipsis" wrap="square" anchor="ctr" anchorCtr="1"/>
          <a:lstStyle/>
          <a:p>
            <a:pPr>
              <a:defRPr sz="9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endParaRPr lang="ko-KR"/>
          </a:p>
        </c:txPr>
        <c:crossAx val="242164656"/>
        <c:crosses val="autoZero"/>
        <c:auto val="1"/>
        <c:lblOffset val="100"/>
        <c:baseTimeUnit val="months"/>
        <c:majorUnit val="3"/>
        <c:majorTimeUnit val="months"/>
      </c:dateAx>
      <c:valAx>
        <c:axId val="242164656"/>
        <c:scaling>
          <c:orientation val="minMax"/>
          <c:max val="50"/>
          <c:min val="10"/>
        </c:scaling>
        <c:delete val="0"/>
        <c:axPos val="l"/>
        <c:majorGridlines>
          <c:spPr>
            <a:ln w="6350" cap="flat" cmpd="sng" algn="ctr">
              <a:solidFill>
                <a:schemeClr val="tx1">
                  <a:lumMod val="15000"/>
                  <a:lumOff val="85000"/>
                </a:schemeClr>
              </a:solidFill>
              <a:prstDash val="sysDot"/>
              <a:round/>
            </a:ln>
            <a:effectLst/>
          </c:spPr>
        </c:majorGridlines>
        <c:title>
          <c:tx>
            <c:rich>
              <a:bodyPr rot="0" spcFirstLastPara="1" vertOverflow="ellipsis" wrap="square" anchor="ctr" anchorCtr="1"/>
              <a:lstStyle/>
              <a:p>
                <a:pPr>
                  <a:defRPr sz="10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r>
                  <a:rPr lang="en-US" altLang="ko-KR" sz="900"/>
                  <a:t>(</a:t>
                </a:r>
                <a:r>
                  <a:rPr lang="ko-KR" altLang="en-US" sz="900"/>
                  <a:t>척</a:t>
                </a:r>
                <a:r>
                  <a:rPr lang="en-US" altLang="ko-KR" sz="900"/>
                  <a:t>)</a:t>
                </a:r>
                <a:endParaRPr lang="ko-KR" altLang="en-US" sz="900"/>
              </a:p>
            </c:rich>
          </c:tx>
          <c:layout>
            <c:manualLayout>
              <c:xMode val="edge"/>
              <c:yMode val="edge"/>
              <c:x val="0"/>
              <c:y val="4.0186904888010067E-3"/>
            </c:manualLayout>
          </c:layout>
          <c:overlay val="0"/>
          <c:spPr>
            <a:noFill/>
            <a:ln>
              <a:noFill/>
            </a:ln>
            <a:effectLst/>
          </c:spPr>
          <c:txPr>
            <a:bodyPr rot="0" spcFirstLastPara="1" vertOverflow="ellipsis" wrap="square" anchor="ctr" anchorCtr="1"/>
            <a:lstStyle/>
            <a:p>
              <a:pPr>
                <a:defRPr sz="10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endParaRPr lang="ko-KR"/>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endParaRPr lang="ko-KR"/>
          </a:p>
        </c:txPr>
        <c:crossAx val="242158832"/>
        <c:crosses val="autoZero"/>
        <c:crossBetween val="between"/>
        <c:majorUnit val="10"/>
      </c:valAx>
      <c:valAx>
        <c:axId val="1958900208"/>
        <c:scaling>
          <c:orientation val="minMax"/>
          <c:max val="60"/>
          <c:min val="40"/>
        </c:scaling>
        <c:delete val="0"/>
        <c:axPos val="r"/>
        <c:title>
          <c:tx>
            <c:rich>
              <a:bodyPr rot="0" spcFirstLastPara="1" vertOverflow="ellipsis" wrap="square" anchor="ctr" anchorCtr="1"/>
              <a:lstStyle/>
              <a:p>
                <a:pPr>
                  <a:defRPr sz="10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r>
                  <a:rPr lang="en-US" altLang="ko-KR" sz="900"/>
                  <a:t>(ft)</a:t>
                </a:r>
                <a:endParaRPr lang="ko-KR" altLang="en-US" sz="900"/>
              </a:p>
            </c:rich>
          </c:tx>
          <c:layout>
            <c:manualLayout>
              <c:xMode val="edge"/>
              <c:yMode val="edge"/>
              <c:x val="0.88821611551001378"/>
              <c:y val="2.1955910219742712E-2"/>
            </c:manualLayout>
          </c:layout>
          <c:overlay val="0"/>
          <c:spPr>
            <a:noFill/>
            <a:ln>
              <a:noFill/>
            </a:ln>
            <a:effectLst/>
          </c:spPr>
          <c:txPr>
            <a:bodyPr rot="0" spcFirstLastPara="1" vertOverflow="ellipsis" wrap="square" anchor="ctr" anchorCtr="1"/>
            <a:lstStyle/>
            <a:p>
              <a:pPr>
                <a:defRPr sz="10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endParaRPr lang="ko-KR"/>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endParaRPr lang="ko-KR"/>
          </a:p>
        </c:txPr>
        <c:crossAx val="1958900624"/>
        <c:crosses val="max"/>
        <c:crossBetween val="between"/>
      </c:valAx>
      <c:dateAx>
        <c:axId val="1958900624"/>
        <c:scaling>
          <c:orientation val="minMax"/>
        </c:scaling>
        <c:delete val="1"/>
        <c:axPos val="b"/>
        <c:numFmt formatCode="m/d/yyyy" sourceLinked="1"/>
        <c:majorTickMark val="out"/>
        <c:minorTickMark val="none"/>
        <c:tickLblPos val="nextTo"/>
        <c:crossAx val="1958900208"/>
        <c:crosses val="autoZero"/>
        <c:auto val="1"/>
        <c:lblOffset val="100"/>
        <c:baseTimeUnit val="months"/>
      </c:dateAx>
      <c:spPr>
        <a:noFill/>
        <a:ln>
          <a:noFill/>
        </a:ln>
        <a:effectLst/>
      </c:spPr>
    </c:plotArea>
    <c:legend>
      <c:legendPos val="t"/>
      <c:legendEntry>
        <c:idx val="1"/>
        <c:delete val="1"/>
      </c:legendEntry>
      <c:legendEntry>
        <c:idx val="3"/>
        <c:delete val="1"/>
      </c:legendEntry>
      <c:layout>
        <c:manualLayout>
          <c:xMode val="edge"/>
          <c:yMode val="edge"/>
          <c:x val="0.45987405975743484"/>
          <c:y val="0.1234678624813154"/>
          <c:w val="0.47149510945505357"/>
          <c:h val="0.10708520179372197"/>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endParaRPr lang="ko-K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바탕체" panose="02030609000101010101" pitchFamily="17" charset="-127"/>
          <a:ea typeface="바탕체" panose="02030609000101010101" pitchFamily="17" charset="-127"/>
        </a:defRPr>
      </a:pPr>
      <a:endParaRPr lang="ko-K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50" b="1" i="0" u="none" strike="noStrike" kern="1200" spc="0" baseline="0">
                <a:solidFill>
                  <a:schemeClr val="tx1">
                    <a:lumMod val="65000"/>
                    <a:lumOff val="35000"/>
                  </a:schemeClr>
                </a:solidFill>
                <a:latin typeface="바탕체" panose="02030609000101010101" pitchFamily="17" charset="-127"/>
                <a:ea typeface="바탕체" panose="02030609000101010101" pitchFamily="17" charset="-127"/>
                <a:cs typeface="+mn-cs"/>
              </a:defRPr>
            </a:pPr>
            <a:r>
              <a:rPr lang="ko-KR" altLang="en-US" sz="1050" b="1"/>
              <a:t>파나마 운하 항만 혼잡 추이</a:t>
            </a:r>
            <a:endParaRPr lang="ko-KR" sz="1050" b="1"/>
          </a:p>
        </c:rich>
      </c:tx>
      <c:layout>
        <c:manualLayout>
          <c:xMode val="edge"/>
          <c:yMode val="edge"/>
          <c:x val="0.33535870516185473"/>
          <c:y val="1.5717092337917484E-2"/>
        </c:manualLayout>
      </c:layout>
      <c:overlay val="0"/>
      <c:spPr>
        <a:noFill/>
        <a:ln>
          <a:noFill/>
        </a:ln>
        <a:effectLst/>
      </c:spPr>
      <c:txPr>
        <a:bodyPr rot="0" spcFirstLastPara="1" vertOverflow="ellipsis" vert="horz" wrap="square" anchor="ctr" anchorCtr="1"/>
        <a:lstStyle/>
        <a:p>
          <a:pPr>
            <a:defRPr sz="1050" b="1" i="0" u="none" strike="noStrike" kern="1200" spc="0" baseline="0">
              <a:solidFill>
                <a:schemeClr val="tx1">
                  <a:lumMod val="65000"/>
                  <a:lumOff val="35000"/>
                </a:schemeClr>
              </a:solidFill>
              <a:latin typeface="바탕체" panose="02030609000101010101" pitchFamily="17" charset="-127"/>
              <a:ea typeface="바탕체" panose="02030609000101010101" pitchFamily="17" charset="-127"/>
              <a:cs typeface="+mn-cs"/>
            </a:defRPr>
          </a:pPr>
          <a:endParaRPr lang="ko-KR"/>
        </a:p>
      </c:txPr>
    </c:title>
    <c:autoTitleDeleted val="0"/>
    <c:plotArea>
      <c:layout>
        <c:manualLayout>
          <c:layoutTarget val="inner"/>
          <c:xMode val="edge"/>
          <c:yMode val="edge"/>
          <c:x val="5.2256853310002918E-2"/>
          <c:y val="0.17013752455795678"/>
          <c:w val="0.87465296004666082"/>
          <c:h val="0.52613028479495072"/>
        </c:manualLayout>
      </c:layout>
      <c:barChart>
        <c:barDir val="col"/>
        <c:grouping val="clustered"/>
        <c:varyColors val="0"/>
        <c:ser>
          <c:idx val="0"/>
          <c:order val="0"/>
          <c:tx>
            <c:strRef>
              <c:f>Sheet1!$B$1</c:f>
              <c:strCache>
                <c:ptCount val="1"/>
                <c:pt idx="0">
                  <c:v>대기 선박 수</c:v>
                </c:pt>
              </c:strCache>
            </c:strRef>
          </c:tx>
          <c:spPr>
            <a:solidFill>
              <a:schemeClr val="bg1">
                <a:lumMod val="85000"/>
              </a:schemeClr>
            </a:solidFill>
            <a:ln>
              <a:noFill/>
            </a:ln>
            <a:effectLst/>
          </c:spPr>
          <c:invertIfNegative val="0"/>
          <c:cat>
            <c:numRef>
              <c:f>Sheet1!$A$2:$A$25</c:f>
              <c:numCache>
                <c:formatCode>mmm\-yyyy</c:formatCode>
                <c:ptCount val="24"/>
                <c:pt idx="0">
                  <c:v>44927</c:v>
                </c:pt>
                <c:pt idx="1">
                  <c:v>44958</c:v>
                </c:pt>
                <c:pt idx="2">
                  <c:v>44986</c:v>
                </c:pt>
                <c:pt idx="3">
                  <c:v>45017</c:v>
                </c:pt>
                <c:pt idx="4">
                  <c:v>45047</c:v>
                </c:pt>
                <c:pt idx="5">
                  <c:v>45078</c:v>
                </c:pt>
                <c:pt idx="6">
                  <c:v>45108</c:v>
                </c:pt>
                <c:pt idx="7">
                  <c:v>45139</c:v>
                </c:pt>
                <c:pt idx="8">
                  <c:v>45170</c:v>
                </c:pt>
                <c:pt idx="9">
                  <c:v>45200</c:v>
                </c:pt>
                <c:pt idx="10">
                  <c:v>45231</c:v>
                </c:pt>
                <c:pt idx="11">
                  <c:v>45261</c:v>
                </c:pt>
                <c:pt idx="12">
                  <c:v>45292</c:v>
                </c:pt>
                <c:pt idx="13">
                  <c:v>45323</c:v>
                </c:pt>
                <c:pt idx="14">
                  <c:v>45352</c:v>
                </c:pt>
                <c:pt idx="15">
                  <c:v>45383</c:v>
                </c:pt>
                <c:pt idx="16">
                  <c:v>45413</c:v>
                </c:pt>
                <c:pt idx="17">
                  <c:v>45444</c:v>
                </c:pt>
                <c:pt idx="18">
                  <c:v>45474</c:v>
                </c:pt>
                <c:pt idx="19">
                  <c:v>45505</c:v>
                </c:pt>
                <c:pt idx="20">
                  <c:v>45536</c:v>
                </c:pt>
                <c:pt idx="21">
                  <c:v>45566</c:v>
                </c:pt>
                <c:pt idx="22">
                  <c:v>45597</c:v>
                </c:pt>
                <c:pt idx="23">
                  <c:v>45627</c:v>
                </c:pt>
              </c:numCache>
            </c:numRef>
          </c:cat>
          <c:val>
            <c:numRef>
              <c:f>Sheet1!$B$2:$B$25</c:f>
              <c:numCache>
                <c:formatCode>#,##0</c:formatCode>
                <c:ptCount val="24"/>
                <c:pt idx="0">
                  <c:v>13.12903</c:v>
                </c:pt>
                <c:pt idx="1">
                  <c:v>13.821429999999999</c:v>
                </c:pt>
                <c:pt idx="2">
                  <c:v>13.211980000000001</c:v>
                </c:pt>
                <c:pt idx="3">
                  <c:v>13.142860000000001</c:v>
                </c:pt>
                <c:pt idx="17">
                  <c:v>22.07619</c:v>
                </c:pt>
                <c:pt idx="18">
                  <c:v>20.834099999999999</c:v>
                </c:pt>
                <c:pt idx="19">
                  <c:v>26.073730000000001</c:v>
                </c:pt>
                <c:pt idx="20">
                  <c:v>28.0381</c:v>
                </c:pt>
                <c:pt idx="21">
                  <c:v>20.930879999999998</c:v>
                </c:pt>
                <c:pt idx="22">
                  <c:v>20.238099999999999</c:v>
                </c:pt>
                <c:pt idx="23">
                  <c:v>19.08756</c:v>
                </c:pt>
              </c:numCache>
            </c:numRef>
          </c:val>
          <c:extLst>
            <c:ext xmlns:c16="http://schemas.microsoft.com/office/drawing/2014/chart" uri="{C3380CC4-5D6E-409C-BE32-E72D297353CC}">
              <c16:uniqueId val="{00000000-F50A-4E44-BF1D-9DB213C45601}"/>
            </c:ext>
          </c:extLst>
        </c:ser>
        <c:ser>
          <c:idx val="2"/>
          <c:order val="2"/>
          <c:tx>
            <c:strRef>
              <c:f>Sheet1!$D$1</c:f>
              <c:strCache>
                <c:ptCount val="1"/>
                <c:pt idx="0">
                  <c:v>대기선박 수-엘니뇨</c:v>
                </c:pt>
              </c:strCache>
            </c:strRef>
          </c:tx>
          <c:spPr>
            <a:solidFill>
              <a:schemeClr val="accent3"/>
            </a:solidFill>
            <a:ln>
              <a:noFill/>
            </a:ln>
            <a:effectLst/>
          </c:spPr>
          <c:invertIfNegative val="0"/>
          <c:cat>
            <c:numRef>
              <c:f>Sheet1!$A$2:$A$25</c:f>
              <c:numCache>
                <c:formatCode>mmm\-yyyy</c:formatCode>
                <c:ptCount val="24"/>
                <c:pt idx="0">
                  <c:v>44927</c:v>
                </c:pt>
                <c:pt idx="1">
                  <c:v>44958</c:v>
                </c:pt>
                <c:pt idx="2">
                  <c:v>44986</c:v>
                </c:pt>
                <c:pt idx="3">
                  <c:v>45017</c:v>
                </c:pt>
                <c:pt idx="4">
                  <c:v>45047</c:v>
                </c:pt>
                <c:pt idx="5">
                  <c:v>45078</c:v>
                </c:pt>
                <c:pt idx="6">
                  <c:v>45108</c:v>
                </c:pt>
                <c:pt idx="7">
                  <c:v>45139</c:v>
                </c:pt>
                <c:pt idx="8">
                  <c:v>45170</c:v>
                </c:pt>
                <c:pt idx="9">
                  <c:v>45200</c:v>
                </c:pt>
                <c:pt idx="10">
                  <c:v>45231</c:v>
                </c:pt>
                <c:pt idx="11">
                  <c:v>45261</c:v>
                </c:pt>
                <c:pt idx="12">
                  <c:v>45292</c:v>
                </c:pt>
                <c:pt idx="13">
                  <c:v>45323</c:v>
                </c:pt>
                <c:pt idx="14">
                  <c:v>45352</c:v>
                </c:pt>
                <c:pt idx="15">
                  <c:v>45383</c:v>
                </c:pt>
                <c:pt idx="16">
                  <c:v>45413</c:v>
                </c:pt>
                <c:pt idx="17">
                  <c:v>45444</c:v>
                </c:pt>
                <c:pt idx="18">
                  <c:v>45474</c:v>
                </c:pt>
                <c:pt idx="19">
                  <c:v>45505</c:v>
                </c:pt>
                <c:pt idx="20">
                  <c:v>45536</c:v>
                </c:pt>
                <c:pt idx="21">
                  <c:v>45566</c:v>
                </c:pt>
                <c:pt idx="22">
                  <c:v>45597</c:v>
                </c:pt>
                <c:pt idx="23">
                  <c:v>45627</c:v>
                </c:pt>
              </c:numCache>
            </c:numRef>
          </c:cat>
          <c:val>
            <c:numRef>
              <c:f>Sheet1!$D$2:$D$25</c:f>
              <c:numCache>
                <c:formatCode>General</c:formatCode>
                <c:ptCount val="24"/>
                <c:pt idx="4" formatCode="#,##0">
                  <c:v>10.45622</c:v>
                </c:pt>
                <c:pt idx="5" formatCode="#,##0">
                  <c:v>11.57619</c:v>
                </c:pt>
                <c:pt idx="6" formatCode="#,##0">
                  <c:v>13.74193</c:v>
                </c:pt>
                <c:pt idx="7" formatCode="#,##0">
                  <c:v>14.03687</c:v>
                </c:pt>
                <c:pt idx="8" formatCode="#,##0">
                  <c:v>11.84286</c:v>
                </c:pt>
                <c:pt idx="9" formatCode="#,##0">
                  <c:v>12.811059999999999</c:v>
                </c:pt>
                <c:pt idx="10" formatCode="#,##0">
                  <c:v>17.39048</c:v>
                </c:pt>
                <c:pt idx="11" formatCode="#,##0">
                  <c:v>19.419350000000001</c:v>
                </c:pt>
                <c:pt idx="12" formatCode="#,##0">
                  <c:v>14.294930000000001</c:v>
                </c:pt>
                <c:pt idx="13" formatCode="#,##0">
                  <c:v>17.64039</c:v>
                </c:pt>
                <c:pt idx="14" formatCode="#,##0">
                  <c:v>17.64977</c:v>
                </c:pt>
                <c:pt idx="15" formatCode="#,##0">
                  <c:v>16.83333</c:v>
                </c:pt>
                <c:pt idx="16" formatCode="#,##0">
                  <c:v>25.105989999999998</c:v>
                </c:pt>
              </c:numCache>
            </c:numRef>
          </c:val>
          <c:extLst>
            <c:ext xmlns:c16="http://schemas.microsoft.com/office/drawing/2014/chart" uri="{C3380CC4-5D6E-409C-BE32-E72D297353CC}">
              <c16:uniqueId val="{00000001-F50A-4E44-BF1D-9DB213C45601}"/>
            </c:ext>
          </c:extLst>
        </c:ser>
        <c:dLbls>
          <c:showLegendKey val="0"/>
          <c:showVal val="0"/>
          <c:showCatName val="0"/>
          <c:showSerName val="0"/>
          <c:showPercent val="0"/>
          <c:showBubbleSize val="0"/>
        </c:dLbls>
        <c:gapWidth val="219"/>
        <c:overlap val="100"/>
        <c:axId val="941447776"/>
        <c:axId val="941444864"/>
      </c:barChart>
      <c:lineChart>
        <c:grouping val="standard"/>
        <c:varyColors val="0"/>
        <c:ser>
          <c:idx val="1"/>
          <c:order val="1"/>
          <c:tx>
            <c:strRef>
              <c:f>Sheet1!$C$1</c:f>
              <c:strCache>
                <c:ptCount val="1"/>
                <c:pt idx="0">
                  <c:v>대기 시간(우)</c:v>
                </c:pt>
              </c:strCache>
            </c:strRef>
          </c:tx>
          <c:spPr>
            <a:ln w="28575" cap="rnd">
              <a:solidFill>
                <a:schemeClr val="accent2">
                  <a:lumMod val="40000"/>
                  <a:lumOff val="60000"/>
                </a:schemeClr>
              </a:solidFill>
              <a:round/>
            </a:ln>
            <a:effectLst/>
          </c:spPr>
          <c:marker>
            <c:symbol val="circle"/>
            <c:size val="5"/>
            <c:spPr>
              <a:solidFill>
                <a:schemeClr val="bg1"/>
              </a:solidFill>
              <a:ln w="9525">
                <a:solidFill>
                  <a:schemeClr val="accent2">
                    <a:lumMod val="40000"/>
                    <a:lumOff val="60000"/>
                  </a:schemeClr>
                </a:solidFill>
              </a:ln>
              <a:effectLst/>
            </c:spPr>
          </c:marker>
          <c:cat>
            <c:numRef>
              <c:f>Sheet1!$A$2:$A$25</c:f>
              <c:numCache>
                <c:formatCode>mmm\-yyyy</c:formatCode>
                <c:ptCount val="24"/>
                <c:pt idx="0">
                  <c:v>44927</c:v>
                </c:pt>
                <c:pt idx="1">
                  <c:v>44958</c:v>
                </c:pt>
                <c:pt idx="2">
                  <c:v>44986</c:v>
                </c:pt>
                <c:pt idx="3">
                  <c:v>45017</c:v>
                </c:pt>
                <c:pt idx="4">
                  <c:v>45047</c:v>
                </c:pt>
                <c:pt idx="5">
                  <c:v>45078</c:v>
                </c:pt>
                <c:pt idx="6">
                  <c:v>45108</c:v>
                </c:pt>
                <c:pt idx="7">
                  <c:v>45139</c:v>
                </c:pt>
                <c:pt idx="8">
                  <c:v>45170</c:v>
                </c:pt>
                <c:pt idx="9">
                  <c:v>45200</c:v>
                </c:pt>
                <c:pt idx="10">
                  <c:v>45231</c:v>
                </c:pt>
                <c:pt idx="11">
                  <c:v>45261</c:v>
                </c:pt>
                <c:pt idx="12">
                  <c:v>45292</c:v>
                </c:pt>
                <c:pt idx="13">
                  <c:v>45323</c:v>
                </c:pt>
                <c:pt idx="14">
                  <c:v>45352</c:v>
                </c:pt>
                <c:pt idx="15">
                  <c:v>45383</c:v>
                </c:pt>
                <c:pt idx="16">
                  <c:v>45413</c:v>
                </c:pt>
                <c:pt idx="17">
                  <c:v>45444</c:v>
                </c:pt>
                <c:pt idx="18">
                  <c:v>45474</c:v>
                </c:pt>
                <c:pt idx="19">
                  <c:v>45505</c:v>
                </c:pt>
                <c:pt idx="20">
                  <c:v>45536</c:v>
                </c:pt>
                <c:pt idx="21">
                  <c:v>45566</c:v>
                </c:pt>
                <c:pt idx="22">
                  <c:v>45597</c:v>
                </c:pt>
                <c:pt idx="23">
                  <c:v>45627</c:v>
                </c:pt>
              </c:numCache>
            </c:numRef>
          </c:cat>
          <c:val>
            <c:numRef>
              <c:f>Sheet1!$C$2:$C$25</c:f>
              <c:numCache>
                <c:formatCode>#,##0.0</c:formatCode>
                <c:ptCount val="24"/>
                <c:pt idx="0">
                  <c:v>17.318480000000001</c:v>
                </c:pt>
                <c:pt idx="1">
                  <c:v>16.125640000000001</c:v>
                </c:pt>
                <c:pt idx="2">
                  <c:v>17.20082</c:v>
                </c:pt>
                <c:pt idx="3">
                  <c:v>19.435110000000002</c:v>
                </c:pt>
                <c:pt idx="4">
                  <c:v>14.754810000000001</c:v>
                </c:pt>
                <c:pt idx="16">
                  <c:v>19.076409999999999</c:v>
                </c:pt>
                <c:pt idx="17">
                  <c:v>18.517679999999999</c:v>
                </c:pt>
                <c:pt idx="18">
                  <c:v>16.854130000000001</c:v>
                </c:pt>
                <c:pt idx="19">
                  <c:v>15.166309999999999</c:v>
                </c:pt>
                <c:pt idx="20">
                  <c:v>14.66639</c:v>
                </c:pt>
                <c:pt idx="21">
                  <c:v>14.75487</c:v>
                </c:pt>
                <c:pt idx="22">
                  <c:v>15.515079999999999</c:v>
                </c:pt>
                <c:pt idx="23">
                  <c:v>15.81781</c:v>
                </c:pt>
              </c:numCache>
            </c:numRef>
          </c:val>
          <c:smooth val="1"/>
          <c:extLst>
            <c:ext xmlns:c16="http://schemas.microsoft.com/office/drawing/2014/chart" uri="{C3380CC4-5D6E-409C-BE32-E72D297353CC}">
              <c16:uniqueId val="{00000002-F50A-4E44-BF1D-9DB213C45601}"/>
            </c:ext>
          </c:extLst>
        </c:ser>
        <c:ser>
          <c:idx val="3"/>
          <c:order val="3"/>
          <c:tx>
            <c:strRef>
              <c:f>Sheet1!$E$1</c:f>
              <c:strCache>
                <c:ptCount val="1"/>
                <c:pt idx="0">
                  <c:v>대기 시간-엘니뇨</c:v>
                </c:pt>
              </c:strCache>
            </c:strRef>
          </c:tx>
          <c:spPr>
            <a:ln w="28575" cap="rnd">
              <a:solidFill>
                <a:schemeClr val="accent2"/>
              </a:solidFill>
              <a:round/>
            </a:ln>
            <a:effectLst/>
          </c:spPr>
          <c:marker>
            <c:symbol val="circle"/>
            <c:size val="5"/>
            <c:spPr>
              <a:solidFill>
                <a:schemeClr val="bg1"/>
              </a:solidFill>
              <a:ln w="9525">
                <a:solidFill>
                  <a:schemeClr val="accent2"/>
                </a:solidFill>
              </a:ln>
              <a:effectLst/>
            </c:spPr>
          </c:marker>
          <c:cat>
            <c:numRef>
              <c:f>Sheet1!$A$2:$A$25</c:f>
              <c:numCache>
                <c:formatCode>mmm\-yyyy</c:formatCode>
                <c:ptCount val="24"/>
                <c:pt idx="0">
                  <c:v>44927</c:v>
                </c:pt>
                <c:pt idx="1">
                  <c:v>44958</c:v>
                </c:pt>
                <c:pt idx="2">
                  <c:v>44986</c:v>
                </c:pt>
                <c:pt idx="3">
                  <c:v>45017</c:v>
                </c:pt>
                <c:pt idx="4">
                  <c:v>45047</c:v>
                </c:pt>
                <c:pt idx="5">
                  <c:v>45078</c:v>
                </c:pt>
                <c:pt idx="6">
                  <c:v>45108</c:v>
                </c:pt>
                <c:pt idx="7">
                  <c:v>45139</c:v>
                </c:pt>
                <c:pt idx="8">
                  <c:v>45170</c:v>
                </c:pt>
                <c:pt idx="9">
                  <c:v>45200</c:v>
                </c:pt>
                <c:pt idx="10">
                  <c:v>45231</c:v>
                </c:pt>
                <c:pt idx="11">
                  <c:v>45261</c:v>
                </c:pt>
                <c:pt idx="12">
                  <c:v>45292</c:v>
                </c:pt>
                <c:pt idx="13">
                  <c:v>45323</c:v>
                </c:pt>
                <c:pt idx="14">
                  <c:v>45352</c:v>
                </c:pt>
                <c:pt idx="15">
                  <c:v>45383</c:v>
                </c:pt>
                <c:pt idx="16">
                  <c:v>45413</c:v>
                </c:pt>
                <c:pt idx="17">
                  <c:v>45444</c:v>
                </c:pt>
                <c:pt idx="18">
                  <c:v>45474</c:v>
                </c:pt>
                <c:pt idx="19">
                  <c:v>45505</c:v>
                </c:pt>
                <c:pt idx="20">
                  <c:v>45536</c:v>
                </c:pt>
                <c:pt idx="21">
                  <c:v>45566</c:v>
                </c:pt>
                <c:pt idx="22">
                  <c:v>45597</c:v>
                </c:pt>
                <c:pt idx="23">
                  <c:v>45627</c:v>
                </c:pt>
              </c:numCache>
            </c:numRef>
          </c:cat>
          <c:val>
            <c:numRef>
              <c:f>Sheet1!$E$2:$E$25</c:f>
              <c:numCache>
                <c:formatCode>General</c:formatCode>
                <c:ptCount val="24"/>
                <c:pt idx="4" formatCode="#,##0.0">
                  <c:v>14.754810000000001</c:v>
                </c:pt>
                <c:pt idx="5" formatCode="#,##0.0">
                  <c:v>16.13147</c:v>
                </c:pt>
                <c:pt idx="6" formatCode="#,##0.0">
                  <c:v>18.49849</c:v>
                </c:pt>
                <c:pt idx="7" formatCode="#,##0.0">
                  <c:v>17.795449999999999</c:v>
                </c:pt>
                <c:pt idx="8" formatCode="#,##0.0">
                  <c:v>17.839510000000001</c:v>
                </c:pt>
                <c:pt idx="9" formatCode="#,##0.0">
                  <c:v>17.434619999999999</c:v>
                </c:pt>
                <c:pt idx="10" formatCode="#,##0.0">
                  <c:v>22.086929999999999</c:v>
                </c:pt>
                <c:pt idx="11" formatCode="#,##0.0">
                  <c:v>36.090949999999999</c:v>
                </c:pt>
                <c:pt idx="12" formatCode="#,##0.0">
                  <c:v>20.154119999999999</c:v>
                </c:pt>
                <c:pt idx="13" formatCode="#,##0.0">
                  <c:v>24.134989999999998</c:v>
                </c:pt>
                <c:pt idx="14" formatCode="#,##0.0">
                  <c:v>26.474620000000002</c:v>
                </c:pt>
                <c:pt idx="15" formatCode="#,##0.0">
                  <c:v>19.32264</c:v>
                </c:pt>
                <c:pt idx="16" formatCode="#,##0.0">
                  <c:v>19.076409999999999</c:v>
                </c:pt>
              </c:numCache>
            </c:numRef>
          </c:val>
          <c:smooth val="1"/>
          <c:extLst>
            <c:ext xmlns:c16="http://schemas.microsoft.com/office/drawing/2014/chart" uri="{C3380CC4-5D6E-409C-BE32-E72D297353CC}">
              <c16:uniqueId val="{00000003-F50A-4E44-BF1D-9DB213C45601}"/>
            </c:ext>
          </c:extLst>
        </c:ser>
        <c:dLbls>
          <c:showLegendKey val="0"/>
          <c:showVal val="0"/>
          <c:showCatName val="0"/>
          <c:showSerName val="0"/>
          <c:showPercent val="0"/>
          <c:showBubbleSize val="0"/>
        </c:dLbls>
        <c:marker val="1"/>
        <c:smooth val="0"/>
        <c:axId val="1585872576"/>
        <c:axId val="1585856768"/>
      </c:lineChart>
      <c:dateAx>
        <c:axId val="941447776"/>
        <c:scaling>
          <c:orientation val="minMax"/>
        </c:scaling>
        <c:delete val="0"/>
        <c:axPos val="b"/>
        <c:numFmt formatCode="[$-409]mmm&quot;-&quot;yy;@" sourceLinked="0"/>
        <c:majorTickMark val="none"/>
        <c:minorTickMark val="none"/>
        <c:tickLblPos val="nextTo"/>
        <c:spPr>
          <a:noFill/>
          <a:ln w="9525" cap="flat" cmpd="sng" algn="ctr">
            <a:solidFill>
              <a:schemeClr val="tx1">
                <a:lumMod val="15000"/>
                <a:lumOff val="85000"/>
              </a:schemeClr>
            </a:solidFill>
            <a:round/>
          </a:ln>
          <a:effectLst/>
        </c:spPr>
        <c:txPr>
          <a:bodyPr rot="-5400000" spcFirstLastPara="1" vertOverflow="ellipsis" wrap="square" anchor="ctr" anchorCtr="1"/>
          <a:lstStyle/>
          <a:p>
            <a:pPr>
              <a:defRPr sz="9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endParaRPr lang="ko-KR"/>
          </a:p>
        </c:txPr>
        <c:crossAx val="941444864"/>
        <c:crosses val="autoZero"/>
        <c:auto val="1"/>
        <c:lblOffset val="100"/>
        <c:baseTimeUnit val="months"/>
        <c:majorUnit val="1"/>
        <c:majorTimeUnit val="months"/>
      </c:dateAx>
      <c:valAx>
        <c:axId val="941444864"/>
        <c:scaling>
          <c:orientation val="minMax"/>
        </c:scaling>
        <c:delete val="0"/>
        <c:axPos val="l"/>
        <c:majorGridlines>
          <c:spPr>
            <a:ln w="6350" cap="flat" cmpd="sng" algn="ctr">
              <a:solidFill>
                <a:schemeClr val="tx1">
                  <a:lumMod val="15000"/>
                  <a:lumOff val="85000"/>
                </a:schemeClr>
              </a:solidFill>
              <a:prstDash val="sysDot"/>
              <a:round/>
            </a:ln>
            <a:effectLst/>
          </c:spPr>
        </c:majorGridlines>
        <c:title>
          <c:tx>
            <c:rich>
              <a:bodyPr rot="0" spcFirstLastPara="1" vertOverflow="ellipsis" wrap="square" anchor="ctr" anchorCtr="1"/>
              <a:lstStyle/>
              <a:p>
                <a:pPr>
                  <a:defRPr sz="9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r>
                  <a:rPr lang="en-US" altLang="ko-KR" sz="900"/>
                  <a:t>(</a:t>
                </a:r>
                <a:r>
                  <a:rPr lang="ko-KR" altLang="en-US" sz="900"/>
                  <a:t>척</a:t>
                </a:r>
                <a:r>
                  <a:rPr lang="en-US" altLang="ko-KR" sz="900"/>
                  <a:t>)</a:t>
                </a:r>
                <a:endParaRPr lang="ko-KR" altLang="en-US" sz="900"/>
              </a:p>
            </c:rich>
          </c:tx>
          <c:layout>
            <c:manualLayout>
              <c:xMode val="edge"/>
              <c:yMode val="edge"/>
              <c:x val="0"/>
              <c:y val="2.0628993085098156E-2"/>
            </c:manualLayout>
          </c:layout>
          <c:overlay val="0"/>
          <c:spPr>
            <a:noFill/>
            <a:ln>
              <a:noFill/>
            </a:ln>
            <a:effectLst/>
          </c:spPr>
          <c:txPr>
            <a:bodyPr rot="0" spcFirstLastPara="1" vertOverflow="ellipsis" wrap="square" anchor="ctr" anchorCtr="1"/>
            <a:lstStyle/>
            <a:p>
              <a:pPr>
                <a:defRPr sz="9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endParaRPr lang="ko-KR"/>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endParaRPr lang="ko-KR"/>
          </a:p>
        </c:txPr>
        <c:crossAx val="941447776"/>
        <c:crosses val="autoZero"/>
        <c:crossBetween val="between"/>
      </c:valAx>
      <c:valAx>
        <c:axId val="1585856768"/>
        <c:scaling>
          <c:orientation val="minMax"/>
        </c:scaling>
        <c:delete val="0"/>
        <c:axPos val="r"/>
        <c:title>
          <c:tx>
            <c:rich>
              <a:bodyPr rot="0" spcFirstLastPara="1" vertOverflow="ellipsis" wrap="square" anchor="ctr" anchorCtr="1"/>
              <a:lstStyle/>
              <a:p>
                <a:pPr>
                  <a:defRPr sz="9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r>
                  <a:rPr lang="en-US" altLang="ko-KR" sz="900"/>
                  <a:t>(hr)</a:t>
                </a:r>
                <a:endParaRPr lang="ko-KR" altLang="en-US" sz="900"/>
              </a:p>
            </c:rich>
          </c:tx>
          <c:layout>
            <c:manualLayout>
              <c:xMode val="edge"/>
              <c:yMode val="edge"/>
              <c:x val="0.93402777777777779"/>
              <c:y val="1.0019955757003851E-2"/>
            </c:manualLayout>
          </c:layout>
          <c:overlay val="0"/>
          <c:spPr>
            <a:noFill/>
            <a:ln>
              <a:noFill/>
            </a:ln>
            <a:effectLst/>
          </c:spPr>
          <c:txPr>
            <a:bodyPr rot="0" spcFirstLastPara="1" vertOverflow="ellipsis" wrap="square" anchor="ctr" anchorCtr="1"/>
            <a:lstStyle/>
            <a:p>
              <a:pPr>
                <a:defRPr sz="9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endParaRPr lang="ko-KR"/>
            </a:p>
          </c:txPr>
        </c:title>
        <c:numFmt formatCode="#,##0.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endParaRPr lang="ko-KR"/>
          </a:p>
        </c:txPr>
        <c:crossAx val="1585872576"/>
        <c:crosses val="max"/>
        <c:crossBetween val="between"/>
        <c:majorUnit val="15"/>
      </c:valAx>
      <c:dateAx>
        <c:axId val="1585872576"/>
        <c:scaling>
          <c:orientation val="minMax"/>
        </c:scaling>
        <c:delete val="1"/>
        <c:axPos val="b"/>
        <c:numFmt formatCode="mmm\-yyyy" sourceLinked="1"/>
        <c:majorTickMark val="out"/>
        <c:minorTickMark val="none"/>
        <c:tickLblPos val="nextTo"/>
        <c:crossAx val="1585856768"/>
        <c:crosses val="autoZero"/>
        <c:auto val="1"/>
        <c:lblOffset val="100"/>
        <c:baseTimeUnit val="months"/>
        <c:majorUnit val="1"/>
        <c:minorUnit val="1"/>
      </c:dateAx>
      <c:spPr>
        <a:noFill/>
        <a:ln>
          <a:noFill/>
        </a:ln>
        <a:effectLst/>
      </c:spPr>
    </c:plotArea>
    <c:legend>
      <c:legendPos val="t"/>
      <c:legendEntry>
        <c:idx val="1"/>
        <c:delete val="1"/>
      </c:legendEntry>
      <c:legendEntry>
        <c:idx val="3"/>
        <c:delete val="1"/>
      </c:legendEntry>
      <c:layout>
        <c:manualLayout>
          <c:xMode val="edge"/>
          <c:yMode val="edge"/>
          <c:x val="6.0448928258967631E-2"/>
          <c:y val="0.15614126819609239"/>
          <c:w val="0.23095381306503357"/>
          <c:h val="0.23664372012437543"/>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endParaRPr lang="ko-K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바탕체" panose="02030609000101010101" pitchFamily="17" charset="-127"/>
          <a:ea typeface="바탕체" panose="02030609000101010101" pitchFamily="17" charset="-127"/>
        </a:defRPr>
      </a:pPr>
      <a:endParaRPr lang="ko-KR"/>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00" b="1" i="0" u="none" strike="noStrike" kern="1200" spc="0" baseline="0">
                <a:solidFill>
                  <a:schemeClr val="tx1">
                    <a:lumMod val="65000"/>
                    <a:lumOff val="35000"/>
                  </a:schemeClr>
                </a:solidFill>
                <a:latin typeface="바탕체" panose="02030609000101010101" pitchFamily="17" charset="-127"/>
                <a:ea typeface="바탕체" panose="02030609000101010101" pitchFamily="17" charset="-127"/>
                <a:cs typeface="Arial" panose="020B0604020202020204" pitchFamily="34" charset="0"/>
              </a:defRPr>
            </a:pPr>
            <a:r>
              <a:rPr lang="en-US" sz="1000" b="1">
                <a:latin typeface="바탕체" panose="02030609000101010101" pitchFamily="17" charset="-127"/>
                <a:ea typeface="바탕체" panose="02030609000101010101" pitchFamily="17" charset="-127"/>
              </a:rPr>
              <a:t>Gatun Lake Water Levels and Draft</a:t>
            </a:r>
          </a:p>
        </c:rich>
      </c:tx>
      <c:layout>
        <c:manualLayout>
          <c:xMode val="edge"/>
          <c:yMode val="edge"/>
          <c:x val="0.12238465052535405"/>
          <c:y val="0"/>
        </c:manualLayout>
      </c:layout>
      <c:overlay val="0"/>
      <c:spPr>
        <a:noFill/>
        <a:ln>
          <a:noFill/>
        </a:ln>
        <a:effectLst/>
      </c:spPr>
      <c:txPr>
        <a:bodyPr rot="0" spcFirstLastPara="1" vertOverflow="ellipsis" vert="horz" wrap="square" anchor="ctr" anchorCtr="1"/>
        <a:lstStyle/>
        <a:p>
          <a:pPr>
            <a:defRPr sz="1000" b="1" i="0" u="none" strike="noStrike" kern="1200" spc="0" baseline="0">
              <a:solidFill>
                <a:schemeClr val="tx1">
                  <a:lumMod val="65000"/>
                  <a:lumOff val="35000"/>
                </a:schemeClr>
              </a:solidFill>
              <a:latin typeface="바탕체" panose="02030609000101010101" pitchFamily="17" charset="-127"/>
              <a:ea typeface="바탕체" panose="02030609000101010101" pitchFamily="17" charset="-127"/>
              <a:cs typeface="Arial" panose="020B0604020202020204" pitchFamily="34" charset="0"/>
            </a:defRPr>
          </a:pPr>
          <a:endParaRPr lang="ko-KR"/>
        </a:p>
      </c:txPr>
    </c:title>
    <c:autoTitleDeleted val="0"/>
    <c:plotArea>
      <c:layout>
        <c:manualLayout>
          <c:layoutTarget val="inner"/>
          <c:xMode val="edge"/>
          <c:yMode val="edge"/>
          <c:x val="5.6469998541848934E-2"/>
          <c:y val="0.12158164197351597"/>
          <c:w val="0.91806703849518811"/>
          <c:h val="0.77342180085906875"/>
        </c:manualLayout>
      </c:layout>
      <c:barChart>
        <c:barDir val="col"/>
        <c:grouping val="clustered"/>
        <c:varyColors val="0"/>
        <c:dLbls>
          <c:showLegendKey val="0"/>
          <c:showVal val="0"/>
          <c:showCatName val="0"/>
          <c:showSerName val="0"/>
          <c:showPercent val="0"/>
          <c:showBubbleSize val="0"/>
        </c:dLbls>
        <c:gapWidth val="150"/>
        <c:axId val="1154349599"/>
        <c:axId val="1879652607"/>
        <c:extLst>
          <c:ext xmlns:c15="http://schemas.microsoft.com/office/drawing/2012/chart" uri="{02D57815-91ED-43cb-92C2-25804820EDAC}">
            <c15:filteredBarSeries>
              <c15:ser>
                <c:idx val="0"/>
                <c:order val="0"/>
                <c:tx>
                  <c:strRef>
                    <c:extLst>
                      <c:ext uri="{02D57815-91ED-43cb-92C2-25804820EDAC}">
                        <c15:formulaRef>
                          <c15:sqref>Sheet1!$B$1</c15:sqref>
                        </c15:formulaRef>
                      </c:ext>
                    </c:extLst>
                    <c:strCache>
                      <c:ptCount val="1"/>
                      <c:pt idx="0">
                        <c:v>ONI</c:v>
                      </c:pt>
                    </c:strCache>
                  </c:strRef>
                </c:tx>
                <c:spPr>
                  <a:solidFill>
                    <a:schemeClr val="accent1"/>
                  </a:solidFill>
                  <a:ln>
                    <a:solidFill>
                      <a:schemeClr val="bg1">
                        <a:lumMod val="75000"/>
                      </a:schemeClr>
                    </a:solidFill>
                  </a:ln>
                  <a:effectLst/>
                </c:spPr>
                <c:invertIfNegative val="0"/>
                <c:cat>
                  <c:numRef>
                    <c:extLst>
                      <c:ext uri="{02D57815-91ED-43cb-92C2-25804820EDAC}">
                        <c15:formulaRef>
                          <c15:sqref>Sheet1!$A$2:$A$25</c15:sqref>
                        </c15:formulaRef>
                      </c:ext>
                    </c:extLst>
                    <c:numCache>
                      <c:formatCode>m/d/yyyy</c:formatCode>
                      <c:ptCount val="24"/>
                      <c:pt idx="0">
                        <c:v>44927</c:v>
                      </c:pt>
                      <c:pt idx="1">
                        <c:v>44958</c:v>
                      </c:pt>
                      <c:pt idx="2">
                        <c:v>44986</c:v>
                      </c:pt>
                      <c:pt idx="3">
                        <c:v>45017</c:v>
                      </c:pt>
                      <c:pt idx="4">
                        <c:v>45047</c:v>
                      </c:pt>
                      <c:pt idx="5">
                        <c:v>45078</c:v>
                      </c:pt>
                      <c:pt idx="6">
                        <c:v>45108</c:v>
                      </c:pt>
                      <c:pt idx="7">
                        <c:v>45139</c:v>
                      </c:pt>
                      <c:pt idx="8">
                        <c:v>45170</c:v>
                      </c:pt>
                      <c:pt idx="9">
                        <c:v>45200</c:v>
                      </c:pt>
                      <c:pt idx="10">
                        <c:v>45231</c:v>
                      </c:pt>
                      <c:pt idx="11">
                        <c:v>45261</c:v>
                      </c:pt>
                      <c:pt idx="12">
                        <c:v>45292</c:v>
                      </c:pt>
                      <c:pt idx="13">
                        <c:v>45323</c:v>
                      </c:pt>
                      <c:pt idx="14">
                        <c:v>45352</c:v>
                      </c:pt>
                      <c:pt idx="15">
                        <c:v>45383</c:v>
                      </c:pt>
                      <c:pt idx="16">
                        <c:v>45413</c:v>
                      </c:pt>
                      <c:pt idx="17">
                        <c:v>45444</c:v>
                      </c:pt>
                      <c:pt idx="18">
                        <c:v>45474</c:v>
                      </c:pt>
                      <c:pt idx="19">
                        <c:v>45505</c:v>
                      </c:pt>
                      <c:pt idx="20">
                        <c:v>45536</c:v>
                      </c:pt>
                      <c:pt idx="21">
                        <c:v>45566</c:v>
                      </c:pt>
                      <c:pt idx="22">
                        <c:v>45597</c:v>
                      </c:pt>
                      <c:pt idx="23">
                        <c:v>45627</c:v>
                      </c:pt>
                    </c:numCache>
                  </c:numRef>
                </c:cat>
                <c:val>
                  <c:numRef>
                    <c:extLst>
                      <c:ext uri="{02D57815-91ED-43cb-92C2-25804820EDAC}">
                        <c15:formulaRef>
                          <c15:sqref>Sheet1!$B$2:$B$25</c15:sqref>
                        </c15:formulaRef>
                      </c:ext>
                    </c:extLst>
                    <c:numCache>
                      <c:formatCode>General</c:formatCode>
                      <c:ptCount val="24"/>
                      <c:pt idx="0">
                        <c:v>-0.5</c:v>
                      </c:pt>
                      <c:pt idx="1">
                        <c:v>-0.3</c:v>
                      </c:pt>
                      <c:pt idx="2">
                        <c:v>0</c:v>
                      </c:pt>
                      <c:pt idx="3">
                        <c:v>0.3</c:v>
                      </c:pt>
                      <c:pt idx="4">
                        <c:v>0.6</c:v>
                      </c:pt>
                      <c:pt idx="5">
                        <c:v>0.8</c:v>
                      </c:pt>
                      <c:pt idx="6">
                        <c:v>1.1000000000000001</c:v>
                      </c:pt>
                      <c:pt idx="7">
                        <c:v>1.4</c:v>
                      </c:pt>
                      <c:pt idx="8">
                        <c:v>1.6</c:v>
                      </c:pt>
                      <c:pt idx="9">
                        <c:v>1.8</c:v>
                      </c:pt>
                      <c:pt idx="10">
                        <c:v>2</c:v>
                      </c:pt>
                      <c:pt idx="11">
                        <c:v>2.1</c:v>
                      </c:pt>
                      <c:pt idx="12">
                        <c:v>1.9</c:v>
                      </c:pt>
                      <c:pt idx="13">
                        <c:v>1.6</c:v>
                      </c:pt>
                      <c:pt idx="14">
                        <c:v>1.3</c:v>
                      </c:pt>
                      <c:pt idx="15">
                        <c:v>0.8</c:v>
                      </c:pt>
                      <c:pt idx="16">
                        <c:v>0.5</c:v>
                      </c:pt>
                      <c:pt idx="17">
                        <c:v>0.2</c:v>
                      </c:pt>
                      <c:pt idx="18">
                        <c:v>0.1</c:v>
                      </c:pt>
                      <c:pt idx="19">
                        <c:v>-0.1</c:v>
                      </c:pt>
                      <c:pt idx="20">
                        <c:v>-0.2</c:v>
                      </c:pt>
                      <c:pt idx="21">
                        <c:v>-0.2</c:v>
                      </c:pt>
                      <c:pt idx="22">
                        <c:v>-0.3</c:v>
                      </c:pt>
                      <c:pt idx="23">
                        <c:v>-0.4</c:v>
                      </c:pt>
                    </c:numCache>
                  </c:numRef>
                </c:val>
                <c:extLst>
                  <c:ext xmlns:c16="http://schemas.microsoft.com/office/drawing/2014/chart" uri="{C3380CC4-5D6E-409C-BE32-E72D297353CC}">
                    <c16:uniqueId val="{00000006-606D-43AD-8AC9-F402A048F2EF}"/>
                  </c:ext>
                </c:extLst>
              </c15:ser>
            </c15:filteredBarSeries>
          </c:ext>
        </c:extLst>
      </c:barChart>
      <c:lineChart>
        <c:grouping val="standard"/>
        <c:varyColors val="0"/>
        <c:ser>
          <c:idx val="1"/>
          <c:order val="1"/>
          <c:tx>
            <c:strRef>
              <c:f>Sheet1!$C$1</c:f>
              <c:strCache>
                <c:ptCount val="1"/>
                <c:pt idx="0">
                  <c:v>Gatun Lake Water Levels</c:v>
                </c:pt>
              </c:strCache>
            </c:strRef>
          </c:tx>
          <c:spPr>
            <a:ln w="28575" cap="rnd">
              <a:solidFill>
                <a:schemeClr val="accent1">
                  <a:lumMod val="40000"/>
                  <a:lumOff val="60000"/>
                </a:schemeClr>
              </a:solidFill>
              <a:round/>
            </a:ln>
            <a:effectLst/>
          </c:spPr>
          <c:marker>
            <c:symbol val="none"/>
          </c:marker>
          <c:cat>
            <c:numRef>
              <c:f>Sheet1!$A$2:$A$25</c:f>
              <c:numCache>
                <c:formatCode>m/d/yyyy</c:formatCode>
                <c:ptCount val="24"/>
                <c:pt idx="0">
                  <c:v>44927</c:v>
                </c:pt>
                <c:pt idx="1">
                  <c:v>44958</c:v>
                </c:pt>
                <c:pt idx="2">
                  <c:v>44986</c:v>
                </c:pt>
                <c:pt idx="3">
                  <c:v>45017</c:v>
                </c:pt>
                <c:pt idx="4">
                  <c:v>45047</c:v>
                </c:pt>
                <c:pt idx="5">
                  <c:v>45078</c:v>
                </c:pt>
                <c:pt idx="6">
                  <c:v>45108</c:v>
                </c:pt>
                <c:pt idx="7">
                  <c:v>45139</c:v>
                </c:pt>
                <c:pt idx="8">
                  <c:v>45170</c:v>
                </c:pt>
                <c:pt idx="9">
                  <c:v>45200</c:v>
                </c:pt>
                <c:pt idx="10">
                  <c:v>45231</c:v>
                </c:pt>
                <c:pt idx="11">
                  <c:v>45261</c:v>
                </c:pt>
                <c:pt idx="12">
                  <c:v>45292</c:v>
                </c:pt>
                <c:pt idx="13">
                  <c:v>45323</c:v>
                </c:pt>
                <c:pt idx="14">
                  <c:v>45352</c:v>
                </c:pt>
                <c:pt idx="15">
                  <c:v>45383</c:v>
                </c:pt>
                <c:pt idx="16">
                  <c:v>45413</c:v>
                </c:pt>
                <c:pt idx="17">
                  <c:v>45444</c:v>
                </c:pt>
                <c:pt idx="18">
                  <c:v>45474</c:v>
                </c:pt>
                <c:pt idx="19">
                  <c:v>45505</c:v>
                </c:pt>
                <c:pt idx="20">
                  <c:v>45536</c:v>
                </c:pt>
                <c:pt idx="21">
                  <c:v>45566</c:v>
                </c:pt>
                <c:pt idx="22">
                  <c:v>45597</c:v>
                </c:pt>
                <c:pt idx="23">
                  <c:v>45627</c:v>
                </c:pt>
              </c:numCache>
            </c:numRef>
          </c:cat>
          <c:val>
            <c:numRef>
              <c:f>Sheet1!$C$2:$C$25</c:f>
              <c:numCache>
                <c:formatCode>#,##0.0_ </c:formatCode>
                <c:ptCount val="24"/>
                <c:pt idx="0">
                  <c:v>87.082258064516125</c:v>
                </c:pt>
                <c:pt idx="1">
                  <c:v>85.617857142857147</c:v>
                </c:pt>
                <c:pt idx="2">
                  <c:v>84.467741935483872</c:v>
                </c:pt>
                <c:pt idx="3">
                  <c:v>83.007666666666665</c:v>
                </c:pt>
                <c:pt idx="4">
                  <c:v>80.931612903225798</c:v>
                </c:pt>
                <c:pt idx="5">
                  <c:v>79.785333333333341</c:v>
                </c:pt>
                <c:pt idx="6">
                  <c:v>79.536451612903221</c:v>
                </c:pt>
                <c:pt idx="7">
                  <c:v>79.603225806451604</c:v>
                </c:pt>
                <c:pt idx="8">
                  <c:v>79.75366666666666</c:v>
                </c:pt>
                <c:pt idx="9">
                  <c:v>79.764516129032273</c:v>
                </c:pt>
                <c:pt idx="10">
                  <c:v>80.995333333333349</c:v>
                </c:pt>
                <c:pt idx="11">
                  <c:v>81.566774193548383</c:v>
                </c:pt>
                <c:pt idx="12">
                  <c:v>81.437741935483842</c:v>
                </c:pt>
                <c:pt idx="13">
                  <c:v>80.986206896551707</c:v>
                </c:pt>
                <c:pt idx="14">
                  <c:v>80.517741935483883</c:v>
                </c:pt>
                <c:pt idx="15">
                  <c:v>80.301999999999978</c:v>
                </c:pt>
                <c:pt idx="16">
                  <c:v>80.71709677419355</c:v>
                </c:pt>
                <c:pt idx="17">
                  <c:v>82.121666666666684</c:v>
                </c:pt>
                <c:pt idx="18">
                  <c:v>83.862580645161316</c:v>
                </c:pt>
                <c:pt idx="19">
                  <c:v>85.405161290322596</c:v>
                </c:pt>
                <c:pt idx="20">
                  <c:v>86.131666666666646</c:v>
                </c:pt>
                <c:pt idx="21">
                  <c:v>86.799677419354836</c:v>
                </c:pt>
                <c:pt idx="22">
                  <c:v>87.701999999999998</c:v>
                </c:pt>
                <c:pt idx="23">
                  <c:v>88.656451612903226</c:v>
                </c:pt>
              </c:numCache>
            </c:numRef>
          </c:val>
          <c:smooth val="1"/>
          <c:extLst>
            <c:ext xmlns:c16="http://schemas.microsoft.com/office/drawing/2014/chart" uri="{C3380CC4-5D6E-409C-BE32-E72D297353CC}">
              <c16:uniqueId val="{00000000-606D-43AD-8AC9-F402A048F2EF}"/>
            </c:ext>
          </c:extLst>
        </c:ser>
        <c:ser>
          <c:idx val="2"/>
          <c:order val="2"/>
          <c:tx>
            <c:strRef>
              <c:f>Sheet1!$D$1</c:f>
              <c:strCache>
                <c:ptCount val="1"/>
                <c:pt idx="0">
                  <c:v>가툰호수 수위(엘니뇨)</c:v>
                </c:pt>
              </c:strCache>
            </c:strRef>
          </c:tx>
          <c:spPr>
            <a:ln w="28575" cap="rnd">
              <a:solidFill>
                <a:schemeClr val="accent1"/>
              </a:solidFill>
              <a:round/>
            </a:ln>
            <a:effectLst/>
          </c:spPr>
          <c:marker>
            <c:symbol val="none"/>
          </c:marker>
          <c:cat>
            <c:numRef>
              <c:f>Sheet1!$A$2:$A$25</c:f>
              <c:numCache>
                <c:formatCode>m/d/yyyy</c:formatCode>
                <c:ptCount val="24"/>
                <c:pt idx="0">
                  <c:v>44927</c:v>
                </c:pt>
                <c:pt idx="1">
                  <c:v>44958</c:v>
                </c:pt>
                <c:pt idx="2">
                  <c:v>44986</c:v>
                </c:pt>
                <c:pt idx="3">
                  <c:v>45017</c:v>
                </c:pt>
                <c:pt idx="4">
                  <c:v>45047</c:v>
                </c:pt>
                <c:pt idx="5">
                  <c:v>45078</c:v>
                </c:pt>
                <c:pt idx="6">
                  <c:v>45108</c:v>
                </c:pt>
                <c:pt idx="7">
                  <c:v>45139</c:v>
                </c:pt>
                <c:pt idx="8">
                  <c:v>45170</c:v>
                </c:pt>
                <c:pt idx="9">
                  <c:v>45200</c:v>
                </c:pt>
                <c:pt idx="10">
                  <c:v>45231</c:v>
                </c:pt>
                <c:pt idx="11">
                  <c:v>45261</c:v>
                </c:pt>
                <c:pt idx="12">
                  <c:v>45292</c:v>
                </c:pt>
                <c:pt idx="13">
                  <c:v>45323</c:v>
                </c:pt>
                <c:pt idx="14">
                  <c:v>45352</c:v>
                </c:pt>
                <c:pt idx="15">
                  <c:v>45383</c:v>
                </c:pt>
                <c:pt idx="16">
                  <c:v>45413</c:v>
                </c:pt>
                <c:pt idx="17">
                  <c:v>45444</c:v>
                </c:pt>
                <c:pt idx="18">
                  <c:v>45474</c:v>
                </c:pt>
                <c:pt idx="19">
                  <c:v>45505</c:v>
                </c:pt>
                <c:pt idx="20">
                  <c:v>45536</c:v>
                </c:pt>
                <c:pt idx="21">
                  <c:v>45566</c:v>
                </c:pt>
                <c:pt idx="22">
                  <c:v>45597</c:v>
                </c:pt>
                <c:pt idx="23">
                  <c:v>45627</c:v>
                </c:pt>
              </c:numCache>
            </c:numRef>
          </c:cat>
          <c:val>
            <c:numRef>
              <c:f>Sheet1!$D$2:$D$25</c:f>
              <c:numCache>
                <c:formatCode>General</c:formatCode>
                <c:ptCount val="24"/>
                <c:pt idx="4" formatCode="#,##0.0_ ">
                  <c:v>80.931612903225798</c:v>
                </c:pt>
                <c:pt idx="5" formatCode="#,##0.0_ ">
                  <c:v>79.785333333333341</c:v>
                </c:pt>
                <c:pt idx="6" formatCode="#,##0.0_ ">
                  <c:v>79.536451612903221</c:v>
                </c:pt>
                <c:pt idx="7" formatCode="#,##0.0_ ">
                  <c:v>79.603225806451604</c:v>
                </c:pt>
                <c:pt idx="8" formatCode="#,##0.0_ ">
                  <c:v>79.75366666666666</c:v>
                </c:pt>
                <c:pt idx="9" formatCode="#,##0.0_ ">
                  <c:v>79.764516129032273</c:v>
                </c:pt>
                <c:pt idx="10" formatCode="#,##0.0_ ">
                  <c:v>80.995333333333349</c:v>
                </c:pt>
                <c:pt idx="11" formatCode="#,##0.0_ ">
                  <c:v>81.566774193548383</c:v>
                </c:pt>
                <c:pt idx="12" formatCode="#,##0.0_ ">
                  <c:v>81.437741935483842</c:v>
                </c:pt>
                <c:pt idx="13" formatCode="#,##0.0_ ">
                  <c:v>80.986206896551707</c:v>
                </c:pt>
                <c:pt idx="14" formatCode="#,##0.0_ ">
                  <c:v>80.517741935483883</c:v>
                </c:pt>
                <c:pt idx="15" formatCode="#,##0.0_ ">
                  <c:v>80.301999999999978</c:v>
                </c:pt>
                <c:pt idx="16" formatCode="#,##0.0_ ">
                  <c:v>80.71709677419355</c:v>
                </c:pt>
              </c:numCache>
            </c:numRef>
          </c:val>
          <c:smooth val="1"/>
          <c:extLst>
            <c:ext xmlns:c16="http://schemas.microsoft.com/office/drawing/2014/chart" uri="{C3380CC4-5D6E-409C-BE32-E72D297353CC}">
              <c16:uniqueId val="{00000001-606D-43AD-8AC9-F402A048F2EF}"/>
            </c:ext>
          </c:extLst>
        </c:ser>
        <c:ser>
          <c:idx val="5"/>
          <c:order val="5"/>
          <c:tx>
            <c:strRef>
              <c:f>Sheet1!$G$1</c:f>
              <c:strCache>
                <c:ptCount val="1"/>
                <c:pt idx="0">
                  <c:v>Historical Monthly Avg. Water Level</c:v>
                </c:pt>
              </c:strCache>
            </c:strRef>
          </c:tx>
          <c:spPr>
            <a:ln w="28575" cap="rnd">
              <a:solidFill>
                <a:schemeClr val="bg1">
                  <a:lumMod val="85000"/>
                </a:schemeClr>
              </a:solidFill>
              <a:round/>
            </a:ln>
            <a:effectLst/>
          </c:spPr>
          <c:marker>
            <c:symbol val="none"/>
          </c:marker>
          <c:cat>
            <c:numRef>
              <c:f>Sheet1!$A$2:$A$25</c:f>
              <c:numCache>
                <c:formatCode>m/d/yyyy</c:formatCode>
                <c:ptCount val="24"/>
                <c:pt idx="0">
                  <c:v>44927</c:v>
                </c:pt>
                <c:pt idx="1">
                  <c:v>44958</c:v>
                </c:pt>
                <c:pt idx="2">
                  <c:v>44986</c:v>
                </c:pt>
                <c:pt idx="3">
                  <c:v>45017</c:v>
                </c:pt>
                <c:pt idx="4">
                  <c:v>45047</c:v>
                </c:pt>
                <c:pt idx="5">
                  <c:v>45078</c:v>
                </c:pt>
                <c:pt idx="6">
                  <c:v>45108</c:v>
                </c:pt>
                <c:pt idx="7">
                  <c:v>45139</c:v>
                </c:pt>
                <c:pt idx="8">
                  <c:v>45170</c:v>
                </c:pt>
                <c:pt idx="9">
                  <c:v>45200</c:v>
                </c:pt>
                <c:pt idx="10">
                  <c:v>45231</c:v>
                </c:pt>
                <c:pt idx="11">
                  <c:v>45261</c:v>
                </c:pt>
                <c:pt idx="12">
                  <c:v>45292</c:v>
                </c:pt>
                <c:pt idx="13">
                  <c:v>45323</c:v>
                </c:pt>
                <c:pt idx="14">
                  <c:v>45352</c:v>
                </c:pt>
                <c:pt idx="15">
                  <c:v>45383</c:v>
                </c:pt>
                <c:pt idx="16">
                  <c:v>45413</c:v>
                </c:pt>
                <c:pt idx="17">
                  <c:v>45444</c:v>
                </c:pt>
                <c:pt idx="18">
                  <c:v>45474</c:v>
                </c:pt>
                <c:pt idx="19">
                  <c:v>45505</c:v>
                </c:pt>
                <c:pt idx="20">
                  <c:v>45536</c:v>
                </c:pt>
                <c:pt idx="21">
                  <c:v>45566</c:v>
                </c:pt>
                <c:pt idx="22">
                  <c:v>45597</c:v>
                </c:pt>
                <c:pt idx="23">
                  <c:v>45627</c:v>
                </c:pt>
              </c:numCache>
            </c:numRef>
          </c:cat>
          <c:val>
            <c:numRef>
              <c:f>Sheet1!$G$2:$G$25</c:f>
              <c:numCache>
                <c:formatCode>0.0_ </c:formatCode>
                <c:ptCount val="24"/>
                <c:pt idx="0">
                  <c:v>86.772308998302222</c:v>
                </c:pt>
                <c:pt idx="1">
                  <c:v>85.789454239045881</c:v>
                </c:pt>
                <c:pt idx="2">
                  <c:v>84.731714770797979</c:v>
                </c:pt>
                <c:pt idx="3">
                  <c:v>83.823684210526295</c:v>
                </c:pt>
                <c:pt idx="4">
                  <c:v>83.534940577249586</c:v>
                </c:pt>
                <c:pt idx="5">
                  <c:v>83.936438596491229</c:v>
                </c:pt>
                <c:pt idx="6">
                  <c:v>84.334533106960976</c:v>
                </c:pt>
                <c:pt idx="7">
                  <c:v>84.752122241086596</c:v>
                </c:pt>
                <c:pt idx="8">
                  <c:v>85.059614035087733</c:v>
                </c:pt>
                <c:pt idx="9">
                  <c:v>85.651901528013582</c:v>
                </c:pt>
                <c:pt idx="10">
                  <c:v>86.605035087719315</c:v>
                </c:pt>
                <c:pt idx="11">
                  <c:v>86.881901528013586</c:v>
                </c:pt>
                <c:pt idx="12">
                  <c:v>86.772308998302222</c:v>
                </c:pt>
                <c:pt idx="13">
                  <c:v>85.789454239045881</c:v>
                </c:pt>
                <c:pt idx="14">
                  <c:v>84.731714770797979</c:v>
                </c:pt>
                <c:pt idx="15">
                  <c:v>83.823684210526295</c:v>
                </c:pt>
                <c:pt idx="16">
                  <c:v>83.534940577249586</c:v>
                </c:pt>
                <c:pt idx="17">
                  <c:v>83.936438596491229</c:v>
                </c:pt>
                <c:pt idx="18">
                  <c:v>84.334533106960976</c:v>
                </c:pt>
                <c:pt idx="19">
                  <c:v>84.752122241086596</c:v>
                </c:pt>
                <c:pt idx="20">
                  <c:v>85.059614035087733</c:v>
                </c:pt>
                <c:pt idx="21">
                  <c:v>85.651901528013582</c:v>
                </c:pt>
                <c:pt idx="22">
                  <c:v>86.605035087719315</c:v>
                </c:pt>
                <c:pt idx="23">
                  <c:v>86.881901528013586</c:v>
                </c:pt>
              </c:numCache>
            </c:numRef>
          </c:val>
          <c:smooth val="0"/>
          <c:extLst>
            <c:ext xmlns:c16="http://schemas.microsoft.com/office/drawing/2014/chart" uri="{C3380CC4-5D6E-409C-BE32-E72D297353CC}">
              <c16:uniqueId val="{00000002-606D-43AD-8AC9-F402A048F2EF}"/>
            </c:ext>
          </c:extLst>
        </c:ser>
        <c:ser>
          <c:idx val="6"/>
          <c:order val="6"/>
          <c:tx>
            <c:strRef>
              <c:f>Sheet1!$H$1</c:f>
              <c:strCache>
                <c:ptCount val="1"/>
                <c:pt idx="0">
                  <c:v>과거 월평균 수위(엘니뇨)</c:v>
                </c:pt>
              </c:strCache>
            </c:strRef>
          </c:tx>
          <c:spPr>
            <a:ln w="28575" cap="rnd">
              <a:solidFill>
                <a:schemeClr val="bg1">
                  <a:lumMod val="65000"/>
                </a:schemeClr>
              </a:solidFill>
              <a:round/>
            </a:ln>
            <a:effectLst/>
          </c:spPr>
          <c:marker>
            <c:symbol val="none"/>
          </c:marker>
          <c:cat>
            <c:numRef>
              <c:f>Sheet1!$A$2:$A$25</c:f>
              <c:numCache>
                <c:formatCode>m/d/yyyy</c:formatCode>
                <c:ptCount val="24"/>
                <c:pt idx="0">
                  <c:v>44927</c:v>
                </c:pt>
                <c:pt idx="1">
                  <c:v>44958</c:v>
                </c:pt>
                <c:pt idx="2">
                  <c:v>44986</c:v>
                </c:pt>
                <c:pt idx="3">
                  <c:v>45017</c:v>
                </c:pt>
                <c:pt idx="4">
                  <c:v>45047</c:v>
                </c:pt>
                <c:pt idx="5">
                  <c:v>45078</c:v>
                </c:pt>
                <c:pt idx="6">
                  <c:v>45108</c:v>
                </c:pt>
                <c:pt idx="7">
                  <c:v>45139</c:v>
                </c:pt>
                <c:pt idx="8">
                  <c:v>45170</c:v>
                </c:pt>
                <c:pt idx="9">
                  <c:v>45200</c:v>
                </c:pt>
                <c:pt idx="10">
                  <c:v>45231</c:v>
                </c:pt>
                <c:pt idx="11">
                  <c:v>45261</c:v>
                </c:pt>
                <c:pt idx="12">
                  <c:v>45292</c:v>
                </c:pt>
                <c:pt idx="13">
                  <c:v>45323</c:v>
                </c:pt>
                <c:pt idx="14">
                  <c:v>45352</c:v>
                </c:pt>
                <c:pt idx="15">
                  <c:v>45383</c:v>
                </c:pt>
                <c:pt idx="16">
                  <c:v>45413</c:v>
                </c:pt>
                <c:pt idx="17">
                  <c:v>45444</c:v>
                </c:pt>
                <c:pt idx="18">
                  <c:v>45474</c:v>
                </c:pt>
                <c:pt idx="19">
                  <c:v>45505</c:v>
                </c:pt>
                <c:pt idx="20">
                  <c:v>45536</c:v>
                </c:pt>
                <c:pt idx="21">
                  <c:v>45566</c:v>
                </c:pt>
                <c:pt idx="22">
                  <c:v>45597</c:v>
                </c:pt>
                <c:pt idx="23">
                  <c:v>45627</c:v>
                </c:pt>
              </c:numCache>
            </c:numRef>
          </c:cat>
          <c:val>
            <c:numRef>
              <c:f>Sheet1!$H$2:$H$25</c:f>
              <c:numCache>
                <c:formatCode>General</c:formatCode>
                <c:ptCount val="24"/>
                <c:pt idx="4" formatCode="0.0_ ">
                  <c:v>83.534940577249586</c:v>
                </c:pt>
                <c:pt idx="5" formatCode="0.0_ ">
                  <c:v>83.936438596491229</c:v>
                </c:pt>
                <c:pt idx="6" formatCode="0.0_ ">
                  <c:v>84.334533106960976</c:v>
                </c:pt>
                <c:pt idx="7" formatCode="0.0_ ">
                  <c:v>84.752122241086596</c:v>
                </c:pt>
                <c:pt idx="8" formatCode="0.0_ ">
                  <c:v>85.059614035087733</c:v>
                </c:pt>
                <c:pt idx="9" formatCode="0.0_ ">
                  <c:v>85.651901528013582</c:v>
                </c:pt>
                <c:pt idx="10" formatCode="0.0_ ">
                  <c:v>86.605035087719315</c:v>
                </c:pt>
                <c:pt idx="11" formatCode="0.0_ ">
                  <c:v>86.881901528013586</c:v>
                </c:pt>
                <c:pt idx="12" formatCode="0.0_ ">
                  <c:v>86.772308998302222</c:v>
                </c:pt>
                <c:pt idx="13" formatCode="0.0_ ">
                  <c:v>85.789454239045881</c:v>
                </c:pt>
                <c:pt idx="14" formatCode="0.0_ ">
                  <c:v>84.731714770797979</c:v>
                </c:pt>
                <c:pt idx="15" formatCode="0.0_ ">
                  <c:v>83.823684210526295</c:v>
                </c:pt>
                <c:pt idx="16" formatCode="0.0_ ">
                  <c:v>83.534940577249586</c:v>
                </c:pt>
              </c:numCache>
            </c:numRef>
          </c:val>
          <c:smooth val="0"/>
          <c:extLst>
            <c:ext xmlns:c16="http://schemas.microsoft.com/office/drawing/2014/chart" uri="{C3380CC4-5D6E-409C-BE32-E72D297353CC}">
              <c16:uniqueId val="{00000003-606D-43AD-8AC9-F402A048F2EF}"/>
            </c:ext>
          </c:extLst>
        </c:ser>
        <c:dLbls>
          <c:showLegendKey val="0"/>
          <c:showVal val="0"/>
          <c:showCatName val="0"/>
          <c:showSerName val="0"/>
          <c:showPercent val="0"/>
          <c:showBubbleSize val="0"/>
        </c:dLbls>
        <c:marker val="1"/>
        <c:smooth val="0"/>
        <c:axId val="1154349599"/>
        <c:axId val="1879652607"/>
      </c:lineChart>
      <c:lineChart>
        <c:grouping val="standard"/>
        <c:varyColors val="0"/>
        <c:ser>
          <c:idx val="3"/>
          <c:order val="3"/>
          <c:tx>
            <c:strRef>
              <c:f>Sheet1!$E$1</c:f>
              <c:strCache>
                <c:ptCount val="1"/>
                <c:pt idx="0">
                  <c:v>Maximum Draft(Right)</c:v>
                </c:pt>
              </c:strCache>
            </c:strRef>
          </c:tx>
          <c:spPr>
            <a:ln w="28575" cap="rnd">
              <a:solidFill>
                <a:schemeClr val="accent2">
                  <a:lumMod val="40000"/>
                  <a:lumOff val="60000"/>
                </a:schemeClr>
              </a:solidFill>
              <a:round/>
            </a:ln>
            <a:effectLst/>
          </c:spPr>
          <c:marker>
            <c:symbol val="none"/>
          </c:marker>
          <c:cat>
            <c:numRef>
              <c:f>Sheet1!$A$2:$A$25</c:f>
              <c:numCache>
                <c:formatCode>m/d/yyyy</c:formatCode>
                <c:ptCount val="24"/>
                <c:pt idx="0">
                  <c:v>44927</c:v>
                </c:pt>
                <c:pt idx="1">
                  <c:v>44958</c:v>
                </c:pt>
                <c:pt idx="2">
                  <c:v>44986</c:v>
                </c:pt>
                <c:pt idx="3">
                  <c:v>45017</c:v>
                </c:pt>
                <c:pt idx="4">
                  <c:v>45047</c:v>
                </c:pt>
                <c:pt idx="5">
                  <c:v>45078</c:v>
                </c:pt>
                <c:pt idx="6">
                  <c:v>45108</c:v>
                </c:pt>
                <c:pt idx="7">
                  <c:v>45139</c:v>
                </c:pt>
                <c:pt idx="8">
                  <c:v>45170</c:v>
                </c:pt>
                <c:pt idx="9">
                  <c:v>45200</c:v>
                </c:pt>
                <c:pt idx="10">
                  <c:v>45231</c:v>
                </c:pt>
                <c:pt idx="11">
                  <c:v>45261</c:v>
                </c:pt>
                <c:pt idx="12">
                  <c:v>45292</c:v>
                </c:pt>
                <c:pt idx="13">
                  <c:v>45323</c:v>
                </c:pt>
                <c:pt idx="14">
                  <c:v>45352</c:v>
                </c:pt>
                <c:pt idx="15">
                  <c:v>45383</c:v>
                </c:pt>
                <c:pt idx="16">
                  <c:v>45413</c:v>
                </c:pt>
                <c:pt idx="17">
                  <c:v>45444</c:v>
                </c:pt>
                <c:pt idx="18">
                  <c:v>45474</c:v>
                </c:pt>
                <c:pt idx="19">
                  <c:v>45505</c:v>
                </c:pt>
                <c:pt idx="20">
                  <c:v>45536</c:v>
                </c:pt>
                <c:pt idx="21">
                  <c:v>45566</c:v>
                </c:pt>
                <c:pt idx="22">
                  <c:v>45597</c:v>
                </c:pt>
                <c:pt idx="23">
                  <c:v>45627</c:v>
                </c:pt>
              </c:numCache>
            </c:numRef>
          </c:cat>
          <c:val>
            <c:numRef>
              <c:f>Sheet1!$E$2:$E$25</c:f>
              <c:numCache>
                <c:formatCode>General</c:formatCode>
                <c:ptCount val="24"/>
                <c:pt idx="0">
                  <c:v>50</c:v>
                </c:pt>
                <c:pt idx="1">
                  <c:v>50</c:v>
                </c:pt>
                <c:pt idx="2">
                  <c:v>50</c:v>
                </c:pt>
                <c:pt idx="3">
                  <c:v>47</c:v>
                </c:pt>
                <c:pt idx="4">
                  <c:v>46</c:v>
                </c:pt>
                <c:pt idx="5">
                  <c:v>44</c:v>
                </c:pt>
                <c:pt idx="6">
                  <c:v>44</c:v>
                </c:pt>
                <c:pt idx="7">
                  <c:v>44</c:v>
                </c:pt>
                <c:pt idx="8">
                  <c:v>44</c:v>
                </c:pt>
                <c:pt idx="9">
                  <c:v>44</c:v>
                </c:pt>
                <c:pt idx="10">
                  <c:v>44</c:v>
                </c:pt>
                <c:pt idx="11">
                  <c:v>44</c:v>
                </c:pt>
                <c:pt idx="12">
                  <c:v>44</c:v>
                </c:pt>
                <c:pt idx="13">
                  <c:v>44</c:v>
                </c:pt>
                <c:pt idx="14">
                  <c:v>44</c:v>
                </c:pt>
                <c:pt idx="15">
                  <c:v>44</c:v>
                </c:pt>
                <c:pt idx="16">
                  <c:v>44</c:v>
                </c:pt>
                <c:pt idx="17">
                  <c:v>45</c:v>
                </c:pt>
                <c:pt idx="18">
                  <c:v>48</c:v>
                </c:pt>
                <c:pt idx="19">
                  <c:v>49</c:v>
                </c:pt>
                <c:pt idx="20">
                  <c:v>50</c:v>
                </c:pt>
                <c:pt idx="21">
                  <c:v>50</c:v>
                </c:pt>
                <c:pt idx="22">
                  <c:v>50</c:v>
                </c:pt>
                <c:pt idx="23">
                  <c:v>50</c:v>
                </c:pt>
              </c:numCache>
            </c:numRef>
          </c:val>
          <c:smooth val="0"/>
          <c:extLst>
            <c:ext xmlns:c16="http://schemas.microsoft.com/office/drawing/2014/chart" uri="{C3380CC4-5D6E-409C-BE32-E72D297353CC}">
              <c16:uniqueId val="{00000004-606D-43AD-8AC9-F402A048F2EF}"/>
            </c:ext>
          </c:extLst>
        </c:ser>
        <c:ser>
          <c:idx val="4"/>
          <c:order val="4"/>
          <c:tx>
            <c:strRef>
              <c:f>Sheet1!$F$1</c:f>
              <c:strCache>
                <c:ptCount val="1"/>
                <c:pt idx="0">
                  <c:v>최대흘수(엘니뇨)</c:v>
                </c:pt>
              </c:strCache>
            </c:strRef>
          </c:tx>
          <c:spPr>
            <a:ln w="28575" cap="rnd">
              <a:solidFill>
                <a:schemeClr val="accent2"/>
              </a:solidFill>
              <a:round/>
            </a:ln>
            <a:effectLst/>
          </c:spPr>
          <c:marker>
            <c:symbol val="none"/>
          </c:marker>
          <c:cat>
            <c:numRef>
              <c:f>Sheet1!$A$2:$A$25</c:f>
              <c:numCache>
                <c:formatCode>m/d/yyyy</c:formatCode>
                <c:ptCount val="24"/>
                <c:pt idx="0">
                  <c:v>44927</c:v>
                </c:pt>
                <c:pt idx="1">
                  <c:v>44958</c:v>
                </c:pt>
                <c:pt idx="2">
                  <c:v>44986</c:v>
                </c:pt>
                <c:pt idx="3">
                  <c:v>45017</c:v>
                </c:pt>
                <c:pt idx="4">
                  <c:v>45047</c:v>
                </c:pt>
                <c:pt idx="5">
                  <c:v>45078</c:v>
                </c:pt>
                <c:pt idx="6">
                  <c:v>45108</c:v>
                </c:pt>
                <c:pt idx="7">
                  <c:v>45139</c:v>
                </c:pt>
                <c:pt idx="8">
                  <c:v>45170</c:v>
                </c:pt>
                <c:pt idx="9">
                  <c:v>45200</c:v>
                </c:pt>
                <c:pt idx="10">
                  <c:v>45231</c:v>
                </c:pt>
                <c:pt idx="11">
                  <c:v>45261</c:v>
                </c:pt>
                <c:pt idx="12">
                  <c:v>45292</c:v>
                </c:pt>
                <c:pt idx="13">
                  <c:v>45323</c:v>
                </c:pt>
                <c:pt idx="14">
                  <c:v>45352</c:v>
                </c:pt>
                <c:pt idx="15">
                  <c:v>45383</c:v>
                </c:pt>
                <c:pt idx="16">
                  <c:v>45413</c:v>
                </c:pt>
                <c:pt idx="17">
                  <c:v>45444</c:v>
                </c:pt>
                <c:pt idx="18">
                  <c:v>45474</c:v>
                </c:pt>
                <c:pt idx="19">
                  <c:v>45505</c:v>
                </c:pt>
                <c:pt idx="20">
                  <c:v>45536</c:v>
                </c:pt>
                <c:pt idx="21">
                  <c:v>45566</c:v>
                </c:pt>
                <c:pt idx="22">
                  <c:v>45597</c:v>
                </c:pt>
                <c:pt idx="23">
                  <c:v>45627</c:v>
                </c:pt>
              </c:numCache>
            </c:numRef>
          </c:cat>
          <c:val>
            <c:numRef>
              <c:f>Sheet1!$F$2:$F$25</c:f>
              <c:numCache>
                <c:formatCode>General</c:formatCode>
                <c:ptCount val="24"/>
                <c:pt idx="4">
                  <c:v>46</c:v>
                </c:pt>
                <c:pt idx="5">
                  <c:v>44</c:v>
                </c:pt>
                <c:pt idx="6">
                  <c:v>44</c:v>
                </c:pt>
                <c:pt idx="7">
                  <c:v>44</c:v>
                </c:pt>
                <c:pt idx="8">
                  <c:v>44</c:v>
                </c:pt>
                <c:pt idx="9">
                  <c:v>44</c:v>
                </c:pt>
                <c:pt idx="10">
                  <c:v>44</c:v>
                </c:pt>
                <c:pt idx="11">
                  <c:v>44</c:v>
                </c:pt>
                <c:pt idx="12">
                  <c:v>44</c:v>
                </c:pt>
                <c:pt idx="13">
                  <c:v>44</c:v>
                </c:pt>
                <c:pt idx="14">
                  <c:v>44</c:v>
                </c:pt>
                <c:pt idx="15">
                  <c:v>44</c:v>
                </c:pt>
                <c:pt idx="16">
                  <c:v>44</c:v>
                </c:pt>
              </c:numCache>
            </c:numRef>
          </c:val>
          <c:smooth val="0"/>
          <c:extLst>
            <c:ext xmlns:c16="http://schemas.microsoft.com/office/drawing/2014/chart" uri="{C3380CC4-5D6E-409C-BE32-E72D297353CC}">
              <c16:uniqueId val="{00000005-606D-43AD-8AC9-F402A048F2EF}"/>
            </c:ext>
          </c:extLst>
        </c:ser>
        <c:dLbls>
          <c:showLegendKey val="0"/>
          <c:showVal val="0"/>
          <c:showCatName val="0"/>
          <c:showSerName val="0"/>
          <c:showPercent val="0"/>
          <c:showBubbleSize val="0"/>
        </c:dLbls>
        <c:marker val="1"/>
        <c:smooth val="0"/>
        <c:axId val="853669360"/>
        <c:axId val="307846720"/>
      </c:lineChart>
      <c:dateAx>
        <c:axId val="1154349599"/>
        <c:scaling>
          <c:orientation val="minMax"/>
          <c:max val="45627"/>
          <c:min val="44927"/>
        </c:scaling>
        <c:delete val="0"/>
        <c:axPos val="b"/>
        <c:majorGridlines>
          <c:spPr>
            <a:ln w="6350" cap="flat" cmpd="sng" algn="ctr">
              <a:solidFill>
                <a:schemeClr val="tx1">
                  <a:lumMod val="15000"/>
                  <a:lumOff val="85000"/>
                </a:schemeClr>
              </a:solidFill>
              <a:prstDash val="sysDot"/>
              <a:round/>
            </a:ln>
            <a:effectLst/>
          </c:spPr>
        </c:majorGridlines>
        <c:numFmt formatCode="[$-409]mmm&quot;-&quot;yy;@" sourceLinked="0"/>
        <c:majorTickMark val="none"/>
        <c:minorTickMark val="none"/>
        <c:tickLblPos val="low"/>
        <c:spPr>
          <a:noFill/>
          <a:ln w="9525" cap="flat" cmpd="sng" algn="ctr">
            <a:solidFill>
              <a:schemeClr val="tx1">
                <a:lumMod val="15000"/>
                <a:lumOff val="85000"/>
              </a:schemeClr>
            </a:solidFill>
            <a:round/>
          </a:ln>
          <a:effectLst/>
        </c:spPr>
        <c:txPr>
          <a:bodyPr rot="-5400000" spcFirstLastPara="1" vertOverflow="ellipsis" wrap="square" anchor="ctr" anchorCtr="1"/>
          <a:lstStyle/>
          <a:p>
            <a:pPr>
              <a:defRPr sz="9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Arial" panose="020B0604020202020204" pitchFamily="34" charset="0"/>
              </a:defRPr>
            </a:pPr>
            <a:endParaRPr lang="ko-KR"/>
          </a:p>
        </c:txPr>
        <c:crossAx val="1879652607"/>
        <c:crosses val="autoZero"/>
        <c:auto val="1"/>
        <c:lblOffset val="100"/>
        <c:baseTimeUnit val="months"/>
        <c:majorUnit val="3"/>
        <c:majorTimeUnit val="months"/>
      </c:dateAx>
      <c:valAx>
        <c:axId val="1879652607"/>
        <c:scaling>
          <c:orientation val="minMax"/>
          <c:max val="95"/>
          <c:min val="75"/>
        </c:scaling>
        <c:delete val="0"/>
        <c:axPos val="l"/>
        <c:majorGridlines>
          <c:spPr>
            <a:ln w="6350" cap="flat" cmpd="sng" algn="ctr">
              <a:solidFill>
                <a:schemeClr val="tx1">
                  <a:lumMod val="15000"/>
                  <a:lumOff val="85000"/>
                </a:schemeClr>
              </a:solidFill>
              <a:prstDash val="sysDot"/>
              <a:round/>
            </a:ln>
            <a:effectLst/>
          </c:spPr>
        </c:majorGridlines>
        <c:title>
          <c:tx>
            <c:rich>
              <a:bodyPr rot="0" spcFirstLastPara="1" vertOverflow="ellipsis" wrap="square" anchor="ctr" anchorCtr="1"/>
              <a:lstStyle/>
              <a:p>
                <a:pPr>
                  <a:defRPr sz="10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Arial" panose="020B0604020202020204" pitchFamily="34" charset="0"/>
                  </a:defRPr>
                </a:pPr>
                <a:r>
                  <a:rPr lang="en-US">
                    <a:latin typeface="바탕체" panose="02030609000101010101" pitchFamily="17" charset="-127"/>
                    <a:ea typeface="바탕체" panose="02030609000101010101" pitchFamily="17" charset="-127"/>
                  </a:rPr>
                  <a:t>(ft)</a:t>
                </a:r>
                <a:endParaRPr lang="ko-KR">
                  <a:latin typeface="바탕체" panose="02030609000101010101" pitchFamily="17" charset="-127"/>
                  <a:ea typeface="바탕체" panose="02030609000101010101" pitchFamily="17" charset="-127"/>
                </a:endParaRPr>
              </a:p>
            </c:rich>
          </c:tx>
          <c:layout>
            <c:manualLayout>
              <c:xMode val="edge"/>
              <c:yMode val="edge"/>
              <c:x val="0"/>
              <c:y val="1.6591642582452323E-2"/>
            </c:manualLayout>
          </c:layout>
          <c:overlay val="0"/>
          <c:spPr>
            <a:noFill/>
            <a:ln>
              <a:noFill/>
            </a:ln>
            <a:effectLst/>
          </c:spPr>
          <c:txPr>
            <a:bodyPr rot="0" spcFirstLastPara="1" vertOverflow="ellipsis" wrap="square" anchor="ctr" anchorCtr="1"/>
            <a:lstStyle/>
            <a:p>
              <a:pPr>
                <a:defRPr sz="10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Arial" panose="020B0604020202020204" pitchFamily="34" charset="0"/>
                </a:defRPr>
              </a:pPr>
              <a:endParaRPr lang="ko-KR"/>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Arial" panose="020B0604020202020204" pitchFamily="34" charset="0"/>
              </a:defRPr>
            </a:pPr>
            <a:endParaRPr lang="ko-KR"/>
          </a:p>
        </c:txPr>
        <c:crossAx val="1154349599"/>
        <c:crosses val="autoZero"/>
        <c:crossBetween val="between"/>
      </c:valAx>
      <c:valAx>
        <c:axId val="307846720"/>
        <c:scaling>
          <c:orientation val="minMax"/>
          <c:max val="60"/>
          <c:min val="40"/>
        </c:scaling>
        <c:delete val="0"/>
        <c:axPos val="r"/>
        <c:title>
          <c:tx>
            <c:rich>
              <a:bodyPr rot="0" spcFirstLastPara="1" vertOverflow="ellipsis" wrap="square" anchor="ctr" anchorCtr="1"/>
              <a:lstStyle/>
              <a:p>
                <a:pPr>
                  <a:defRPr sz="10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Arial" panose="020B0604020202020204" pitchFamily="34" charset="0"/>
                  </a:defRPr>
                </a:pPr>
                <a:r>
                  <a:rPr lang="en-US">
                    <a:latin typeface="바탕체" panose="02030609000101010101" pitchFamily="17" charset="-127"/>
                    <a:ea typeface="바탕체" panose="02030609000101010101" pitchFamily="17" charset="-127"/>
                  </a:rPr>
                  <a:t>(ft)</a:t>
                </a:r>
                <a:endParaRPr lang="ko-KR">
                  <a:latin typeface="바탕체" panose="02030609000101010101" pitchFamily="17" charset="-127"/>
                  <a:ea typeface="바탕체" panose="02030609000101010101" pitchFamily="17" charset="-127"/>
                </a:endParaRPr>
              </a:p>
            </c:rich>
          </c:tx>
          <c:layout>
            <c:manualLayout>
              <c:xMode val="edge"/>
              <c:yMode val="edge"/>
              <c:x val="0.91320237551393335"/>
              <c:y val="2.2540482558656968E-2"/>
            </c:manualLayout>
          </c:layout>
          <c:overlay val="0"/>
          <c:spPr>
            <a:noFill/>
            <a:ln>
              <a:noFill/>
            </a:ln>
            <a:effectLst/>
          </c:spPr>
          <c:txPr>
            <a:bodyPr rot="0" spcFirstLastPara="1" vertOverflow="ellipsis" wrap="square" anchor="ctr" anchorCtr="1"/>
            <a:lstStyle/>
            <a:p>
              <a:pPr>
                <a:defRPr sz="10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Arial" panose="020B0604020202020204" pitchFamily="34" charset="0"/>
                </a:defRPr>
              </a:pPr>
              <a:endParaRPr lang="ko-KR"/>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Arial" panose="020B0604020202020204" pitchFamily="34" charset="0"/>
              </a:defRPr>
            </a:pPr>
            <a:endParaRPr lang="ko-KR"/>
          </a:p>
        </c:txPr>
        <c:crossAx val="853669360"/>
        <c:crosses val="max"/>
        <c:crossBetween val="between"/>
      </c:valAx>
      <c:dateAx>
        <c:axId val="853669360"/>
        <c:scaling>
          <c:orientation val="minMax"/>
        </c:scaling>
        <c:delete val="1"/>
        <c:axPos val="b"/>
        <c:numFmt formatCode="m/d/yyyy" sourceLinked="1"/>
        <c:majorTickMark val="out"/>
        <c:minorTickMark val="none"/>
        <c:tickLblPos val="nextTo"/>
        <c:crossAx val="307846720"/>
        <c:crosses val="autoZero"/>
        <c:auto val="1"/>
        <c:lblOffset val="100"/>
        <c:baseTimeUnit val="months"/>
        <c:majorUnit val="1"/>
        <c:minorUnit val="1"/>
      </c:dateAx>
      <c:spPr>
        <a:noFill/>
        <a:ln>
          <a:noFill/>
        </a:ln>
        <a:effectLst/>
      </c:spPr>
    </c:plotArea>
    <c:legend>
      <c:legendPos val="t"/>
      <c:legendEntry>
        <c:idx val="1"/>
        <c:delete val="1"/>
      </c:legendEntry>
      <c:legendEntry>
        <c:idx val="3"/>
        <c:delete val="1"/>
      </c:legendEntry>
      <c:legendEntry>
        <c:idx val="5"/>
        <c:delete val="1"/>
      </c:legendEntry>
      <c:layout>
        <c:manualLayout>
          <c:xMode val="edge"/>
          <c:yMode val="edge"/>
          <c:x val="0.1581828253651939"/>
          <c:y val="0.1333818921058425"/>
          <c:w val="0.79156591835339907"/>
          <c:h val="0.18643664485425346"/>
        </c:manualLayout>
      </c:layout>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Arial" panose="020B0604020202020204" pitchFamily="34" charset="0"/>
            </a:defRPr>
          </a:pPr>
          <a:endParaRPr lang="ko-K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Arial" panose="020B0604020202020204" pitchFamily="34" charset="0"/>
          <a:cs typeface="Arial" panose="020B0604020202020204" pitchFamily="34" charset="0"/>
        </a:defRPr>
      </a:pPr>
      <a:endParaRPr lang="ko-KR"/>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00" b="1" i="0" u="none" strike="noStrike" kern="1200" spc="0" baseline="0">
                <a:solidFill>
                  <a:schemeClr val="tx1">
                    <a:lumMod val="65000"/>
                    <a:lumOff val="35000"/>
                  </a:schemeClr>
                </a:solidFill>
                <a:latin typeface="바탕체" panose="02030609000101010101" pitchFamily="17" charset="-127"/>
                <a:ea typeface="바탕체" panose="02030609000101010101" pitchFamily="17" charset="-127"/>
                <a:cs typeface="+mn-cs"/>
              </a:defRPr>
            </a:pPr>
            <a:r>
              <a:rPr lang="en-US" altLang="ko-KR" sz="1000"/>
              <a:t>Changes in Daily Vessel Transits</a:t>
            </a:r>
          </a:p>
        </c:rich>
      </c:tx>
      <c:layout>
        <c:manualLayout>
          <c:xMode val="edge"/>
          <c:yMode val="edge"/>
          <c:x val="0.1424312994876572"/>
          <c:y val="1.195814648729447E-2"/>
        </c:manualLayout>
      </c:layout>
      <c:overlay val="0"/>
      <c:spPr>
        <a:noFill/>
        <a:ln>
          <a:noFill/>
        </a:ln>
        <a:effectLst/>
      </c:spPr>
      <c:txPr>
        <a:bodyPr rot="0" spcFirstLastPara="1" vertOverflow="ellipsis" vert="horz" wrap="square" anchor="ctr" anchorCtr="1"/>
        <a:lstStyle/>
        <a:p>
          <a:pPr>
            <a:defRPr sz="1000" b="1" i="0" u="none" strike="noStrike" kern="1200" spc="0" baseline="0">
              <a:solidFill>
                <a:schemeClr val="tx1">
                  <a:lumMod val="65000"/>
                  <a:lumOff val="35000"/>
                </a:schemeClr>
              </a:solidFill>
              <a:latin typeface="바탕체" panose="02030609000101010101" pitchFamily="17" charset="-127"/>
              <a:ea typeface="바탕체" panose="02030609000101010101" pitchFamily="17" charset="-127"/>
              <a:cs typeface="+mn-cs"/>
            </a:defRPr>
          </a:pPr>
          <a:endParaRPr lang="ko-KR"/>
        </a:p>
      </c:txPr>
    </c:title>
    <c:autoTitleDeleted val="0"/>
    <c:plotArea>
      <c:layout>
        <c:manualLayout>
          <c:layoutTarget val="inner"/>
          <c:xMode val="edge"/>
          <c:yMode val="edge"/>
          <c:x val="0.10024755289380165"/>
          <c:y val="0.12077727952167416"/>
          <c:w val="0.81789422339906626"/>
          <c:h val="0.67530195496863343"/>
        </c:manualLayout>
      </c:layout>
      <c:barChart>
        <c:barDir val="col"/>
        <c:grouping val="clustered"/>
        <c:varyColors val="0"/>
        <c:ser>
          <c:idx val="0"/>
          <c:order val="0"/>
          <c:tx>
            <c:strRef>
              <c:f>Sheet1!$B$1</c:f>
              <c:strCache>
                <c:ptCount val="1"/>
                <c:pt idx="0">
                  <c:v>Daily Transit Restrictions</c:v>
                </c:pt>
              </c:strCache>
            </c:strRef>
          </c:tx>
          <c:spPr>
            <a:solidFill>
              <a:schemeClr val="bg1">
                <a:lumMod val="85000"/>
              </a:schemeClr>
            </a:solidFill>
            <a:ln>
              <a:noFill/>
            </a:ln>
            <a:effectLst/>
          </c:spPr>
          <c:invertIfNegative val="0"/>
          <c:cat>
            <c:numRef>
              <c:f>Sheet1!$A$2:$A$25</c:f>
              <c:numCache>
                <c:formatCode>m/d/yyyy</c:formatCode>
                <c:ptCount val="24"/>
                <c:pt idx="0">
                  <c:v>44927</c:v>
                </c:pt>
                <c:pt idx="1">
                  <c:v>44958</c:v>
                </c:pt>
                <c:pt idx="2">
                  <c:v>44986</c:v>
                </c:pt>
                <c:pt idx="3">
                  <c:v>45017</c:v>
                </c:pt>
                <c:pt idx="4">
                  <c:v>45047</c:v>
                </c:pt>
                <c:pt idx="5">
                  <c:v>45078</c:v>
                </c:pt>
                <c:pt idx="6">
                  <c:v>45108</c:v>
                </c:pt>
                <c:pt idx="7">
                  <c:v>45139</c:v>
                </c:pt>
                <c:pt idx="8">
                  <c:v>45170</c:v>
                </c:pt>
                <c:pt idx="9">
                  <c:v>45200</c:v>
                </c:pt>
                <c:pt idx="10">
                  <c:v>45231</c:v>
                </c:pt>
                <c:pt idx="11">
                  <c:v>45261</c:v>
                </c:pt>
                <c:pt idx="12">
                  <c:v>45292</c:v>
                </c:pt>
                <c:pt idx="13">
                  <c:v>45323</c:v>
                </c:pt>
                <c:pt idx="14">
                  <c:v>45352</c:v>
                </c:pt>
                <c:pt idx="15">
                  <c:v>45383</c:v>
                </c:pt>
                <c:pt idx="16">
                  <c:v>45413</c:v>
                </c:pt>
                <c:pt idx="17">
                  <c:v>45444</c:v>
                </c:pt>
                <c:pt idx="18">
                  <c:v>45474</c:v>
                </c:pt>
                <c:pt idx="19">
                  <c:v>45505</c:v>
                </c:pt>
                <c:pt idx="20">
                  <c:v>45536</c:v>
                </c:pt>
                <c:pt idx="21">
                  <c:v>45566</c:v>
                </c:pt>
                <c:pt idx="22">
                  <c:v>45597</c:v>
                </c:pt>
                <c:pt idx="23">
                  <c:v>45627</c:v>
                </c:pt>
              </c:numCache>
            </c:numRef>
          </c:cat>
          <c:val>
            <c:numRef>
              <c:f>Sheet1!$B$2:$B$25</c:f>
              <c:numCache>
                <c:formatCode>General</c:formatCode>
                <c:ptCount val="24"/>
                <c:pt idx="0">
                  <c:v>36</c:v>
                </c:pt>
                <c:pt idx="1">
                  <c:v>36</c:v>
                </c:pt>
                <c:pt idx="2">
                  <c:v>36</c:v>
                </c:pt>
                <c:pt idx="3">
                  <c:v>36</c:v>
                </c:pt>
                <c:pt idx="17">
                  <c:v>32</c:v>
                </c:pt>
                <c:pt idx="18">
                  <c:v>33</c:v>
                </c:pt>
                <c:pt idx="19">
                  <c:v>35</c:v>
                </c:pt>
                <c:pt idx="20">
                  <c:v>36</c:v>
                </c:pt>
                <c:pt idx="21">
                  <c:v>36</c:v>
                </c:pt>
                <c:pt idx="22">
                  <c:v>36</c:v>
                </c:pt>
                <c:pt idx="23">
                  <c:v>36</c:v>
                </c:pt>
              </c:numCache>
            </c:numRef>
          </c:val>
          <c:extLst>
            <c:ext xmlns:c16="http://schemas.microsoft.com/office/drawing/2014/chart" uri="{C3380CC4-5D6E-409C-BE32-E72D297353CC}">
              <c16:uniqueId val="{00000000-23AE-4BFD-94BF-9F92EE09C18E}"/>
            </c:ext>
          </c:extLst>
        </c:ser>
        <c:ser>
          <c:idx val="1"/>
          <c:order val="1"/>
          <c:tx>
            <c:strRef>
              <c:f>Sheet1!$C$1</c:f>
              <c:strCache>
                <c:ptCount val="1"/>
                <c:pt idx="0">
                  <c:v>일일 통항 제한(엘니뇨)</c:v>
                </c:pt>
              </c:strCache>
            </c:strRef>
          </c:tx>
          <c:spPr>
            <a:solidFill>
              <a:schemeClr val="bg1">
                <a:lumMod val="65000"/>
              </a:schemeClr>
            </a:solidFill>
            <a:ln>
              <a:noFill/>
            </a:ln>
            <a:effectLst/>
          </c:spPr>
          <c:invertIfNegative val="0"/>
          <c:cat>
            <c:numRef>
              <c:f>Sheet1!$A$2:$A$25</c:f>
              <c:numCache>
                <c:formatCode>m/d/yyyy</c:formatCode>
                <c:ptCount val="24"/>
                <c:pt idx="0">
                  <c:v>44927</c:v>
                </c:pt>
                <c:pt idx="1">
                  <c:v>44958</c:v>
                </c:pt>
                <c:pt idx="2">
                  <c:v>44986</c:v>
                </c:pt>
                <c:pt idx="3">
                  <c:v>45017</c:v>
                </c:pt>
                <c:pt idx="4">
                  <c:v>45047</c:v>
                </c:pt>
                <c:pt idx="5">
                  <c:v>45078</c:v>
                </c:pt>
                <c:pt idx="6">
                  <c:v>45108</c:v>
                </c:pt>
                <c:pt idx="7">
                  <c:v>45139</c:v>
                </c:pt>
                <c:pt idx="8">
                  <c:v>45170</c:v>
                </c:pt>
                <c:pt idx="9">
                  <c:v>45200</c:v>
                </c:pt>
                <c:pt idx="10">
                  <c:v>45231</c:v>
                </c:pt>
                <c:pt idx="11">
                  <c:v>45261</c:v>
                </c:pt>
                <c:pt idx="12">
                  <c:v>45292</c:v>
                </c:pt>
                <c:pt idx="13">
                  <c:v>45323</c:v>
                </c:pt>
                <c:pt idx="14">
                  <c:v>45352</c:v>
                </c:pt>
                <c:pt idx="15">
                  <c:v>45383</c:v>
                </c:pt>
                <c:pt idx="16">
                  <c:v>45413</c:v>
                </c:pt>
                <c:pt idx="17">
                  <c:v>45444</c:v>
                </c:pt>
                <c:pt idx="18">
                  <c:v>45474</c:v>
                </c:pt>
                <c:pt idx="19">
                  <c:v>45505</c:v>
                </c:pt>
                <c:pt idx="20">
                  <c:v>45536</c:v>
                </c:pt>
                <c:pt idx="21">
                  <c:v>45566</c:v>
                </c:pt>
                <c:pt idx="22">
                  <c:v>45597</c:v>
                </c:pt>
                <c:pt idx="23">
                  <c:v>45627</c:v>
                </c:pt>
              </c:numCache>
            </c:numRef>
          </c:cat>
          <c:val>
            <c:numRef>
              <c:f>Sheet1!$C$2:$C$25</c:f>
              <c:numCache>
                <c:formatCode>General</c:formatCode>
                <c:ptCount val="24"/>
                <c:pt idx="4">
                  <c:v>36</c:v>
                </c:pt>
                <c:pt idx="5">
                  <c:v>36</c:v>
                </c:pt>
                <c:pt idx="6">
                  <c:v>32</c:v>
                </c:pt>
                <c:pt idx="7">
                  <c:v>32</c:v>
                </c:pt>
                <c:pt idx="8">
                  <c:v>32</c:v>
                </c:pt>
                <c:pt idx="9">
                  <c:v>32</c:v>
                </c:pt>
                <c:pt idx="10">
                  <c:v>24</c:v>
                </c:pt>
                <c:pt idx="11">
                  <c:v>22</c:v>
                </c:pt>
                <c:pt idx="12">
                  <c:v>24</c:v>
                </c:pt>
                <c:pt idx="13">
                  <c:v>24</c:v>
                </c:pt>
                <c:pt idx="14">
                  <c:v>24</c:v>
                </c:pt>
                <c:pt idx="15">
                  <c:v>27</c:v>
                </c:pt>
                <c:pt idx="16">
                  <c:v>27</c:v>
                </c:pt>
              </c:numCache>
            </c:numRef>
          </c:val>
          <c:extLst>
            <c:ext xmlns:c16="http://schemas.microsoft.com/office/drawing/2014/chart" uri="{C3380CC4-5D6E-409C-BE32-E72D297353CC}">
              <c16:uniqueId val="{00000001-23AE-4BFD-94BF-9F92EE09C18E}"/>
            </c:ext>
          </c:extLst>
        </c:ser>
        <c:dLbls>
          <c:showLegendKey val="0"/>
          <c:showVal val="0"/>
          <c:showCatName val="0"/>
          <c:showSerName val="0"/>
          <c:showPercent val="0"/>
          <c:showBubbleSize val="0"/>
        </c:dLbls>
        <c:gapWidth val="146"/>
        <c:overlap val="100"/>
        <c:axId val="242158832"/>
        <c:axId val="242164656"/>
      </c:barChart>
      <c:lineChart>
        <c:grouping val="standard"/>
        <c:varyColors val="0"/>
        <c:ser>
          <c:idx val="2"/>
          <c:order val="2"/>
          <c:tx>
            <c:strRef>
              <c:f>Sheet1!$D$1</c:f>
              <c:strCache>
                <c:ptCount val="1"/>
                <c:pt idx="0">
                  <c:v>Maximum Draft(Right)</c:v>
                </c:pt>
              </c:strCache>
            </c:strRef>
          </c:tx>
          <c:spPr>
            <a:ln w="28575" cap="rnd">
              <a:solidFill>
                <a:schemeClr val="accent2">
                  <a:lumMod val="40000"/>
                  <a:lumOff val="60000"/>
                </a:schemeClr>
              </a:solidFill>
              <a:round/>
            </a:ln>
            <a:effectLst/>
          </c:spPr>
          <c:marker>
            <c:symbol val="none"/>
          </c:marker>
          <c:cat>
            <c:numRef>
              <c:f>Sheet1!$A$2:$A$25</c:f>
              <c:numCache>
                <c:formatCode>m/d/yyyy</c:formatCode>
                <c:ptCount val="24"/>
                <c:pt idx="0">
                  <c:v>44927</c:v>
                </c:pt>
                <c:pt idx="1">
                  <c:v>44958</c:v>
                </c:pt>
                <c:pt idx="2">
                  <c:v>44986</c:v>
                </c:pt>
                <c:pt idx="3">
                  <c:v>45017</c:v>
                </c:pt>
                <c:pt idx="4">
                  <c:v>45047</c:v>
                </c:pt>
                <c:pt idx="5">
                  <c:v>45078</c:v>
                </c:pt>
                <c:pt idx="6">
                  <c:v>45108</c:v>
                </c:pt>
                <c:pt idx="7">
                  <c:v>45139</c:v>
                </c:pt>
                <c:pt idx="8">
                  <c:v>45170</c:v>
                </c:pt>
                <c:pt idx="9">
                  <c:v>45200</c:v>
                </c:pt>
                <c:pt idx="10">
                  <c:v>45231</c:v>
                </c:pt>
                <c:pt idx="11">
                  <c:v>45261</c:v>
                </c:pt>
                <c:pt idx="12">
                  <c:v>45292</c:v>
                </c:pt>
                <c:pt idx="13">
                  <c:v>45323</c:v>
                </c:pt>
                <c:pt idx="14">
                  <c:v>45352</c:v>
                </c:pt>
                <c:pt idx="15">
                  <c:v>45383</c:v>
                </c:pt>
                <c:pt idx="16">
                  <c:v>45413</c:v>
                </c:pt>
                <c:pt idx="17">
                  <c:v>45444</c:v>
                </c:pt>
                <c:pt idx="18">
                  <c:v>45474</c:v>
                </c:pt>
                <c:pt idx="19">
                  <c:v>45505</c:v>
                </c:pt>
                <c:pt idx="20">
                  <c:v>45536</c:v>
                </c:pt>
                <c:pt idx="21">
                  <c:v>45566</c:v>
                </c:pt>
                <c:pt idx="22">
                  <c:v>45597</c:v>
                </c:pt>
                <c:pt idx="23">
                  <c:v>45627</c:v>
                </c:pt>
              </c:numCache>
            </c:numRef>
          </c:cat>
          <c:val>
            <c:numRef>
              <c:f>Sheet1!$D$2:$D$25</c:f>
              <c:numCache>
                <c:formatCode>General</c:formatCode>
                <c:ptCount val="24"/>
                <c:pt idx="0">
                  <c:v>50</c:v>
                </c:pt>
                <c:pt idx="1">
                  <c:v>50</c:v>
                </c:pt>
                <c:pt idx="2">
                  <c:v>50</c:v>
                </c:pt>
                <c:pt idx="3">
                  <c:v>47</c:v>
                </c:pt>
                <c:pt idx="4">
                  <c:v>46</c:v>
                </c:pt>
                <c:pt idx="5">
                  <c:v>44</c:v>
                </c:pt>
                <c:pt idx="6">
                  <c:v>44</c:v>
                </c:pt>
                <c:pt idx="7">
                  <c:v>44</c:v>
                </c:pt>
                <c:pt idx="8">
                  <c:v>44</c:v>
                </c:pt>
                <c:pt idx="9">
                  <c:v>44</c:v>
                </c:pt>
                <c:pt idx="10">
                  <c:v>44</c:v>
                </c:pt>
                <c:pt idx="11">
                  <c:v>44</c:v>
                </c:pt>
                <c:pt idx="12">
                  <c:v>44</c:v>
                </c:pt>
                <c:pt idx="13">
                  <c:v>44</c:v>
                </c:pt>
                <c:pt idx="14">
                  <c:v>44</c:v>
                </c:pt>
                <c:pt idx="15">
                  <c:v>44</c:v>
                </c:pt>
                <c:pt idx="16">
                  <c:v>44</c:v>
                </c:pt>
                <c:pt idx="17">
                  <c:v>45</c:v>
                </c:pt>
                <c:pt idx="18">
                  <c:v>48</c:v>
                </c:pt>
                <c:pt idx="19">
                  <c:v>49</c:v>
                </c:pt>
                <c:pt idx="20">
                  <c:v>50</c:v>
                </c:pt>
                <c:pt idx="21">
                  <c:v>50</c:v>
                </c:pt>
                <c:pt idx="22">
                  <c:v>50</c:v>
                </c:pt>
                <c:pt idx="23">
                  <c:v>50</c:v>
                </c:pt>
              </c:numCache>
            </c:numRef>
          </c:val>
          <c:smooth val="0"/>
          <c:extLst>
            <c:ext xmlns:c16="http://schemas.microsoft.com/office/drawing/2014/chart" uri="{C3380CC4-5D6E-409C-BE32-E72D297353CC}">
              <c16:uniqueId val="{00000002-23AE-4BFD-94BF-9F92EE09C18E}"/>
            </c:ext>
          </c:extLst>
        </c:ser>
        <c:ser>
          <c:idx val="3"/>
          <c:order val="3"/>
          <c:tx>
            <c:strRef>
              <c:f>Sheet1!$E$1</c:f>
              <c:strCache>
                <c:ptCount val="1"/>
                <c:pt idx="0">
                  <c:v>최대흘수(엘니뇨)</c:v>
                </c:pt>
              </c:strCache>
            </c:strRef>
          </c:tx>
          <c:spPr>
            <a:ln w="28575" cap="rnd">
              <a:solidFill>
                <a:schemeClr val="accent2"/>
              </a:solidFill>
              <a:round/>
            </a:ln>
            <a:effectLst/>
          </c:spPr>
          <c:marker>
            <c:symbol val="none"/>
          </c:marker>
          <c:cat>
            <c:numRef>
              <c:f>Sheet1!$A$2:$A$25</c:f>
              <c:numCache>
                <c:formatCode>m/d/yyyy</c:formatCode>
                <c:ptCount val="24"/>
                <c:pt idx="0">
                  <c:v>44927</c:v>
                </c:pt>
                <c:pt idx="1">
                  <c:v>44958</c:v>
                </c:pt>
                <c:pt idx="2">
                  <c:v>44986</c:v>
                </c:pt>
                <c:pt idx="3">
                  <c:v>45017</c:v>
                </c:pt>
                <c:pt idx="4">
                  <c:v>45047</c:v>
                </c:pt>
                <c:pt idx="5">
                  <c:v>45078</c:v>
                </c:pt>
                <c:pt idx="6">
                  <c:v>45108</c:v>
                </c:pt>
                <c:pt idx="7">
                  <c:v>45139</c:v>
                </c:pt>
                <c:pt idx="8">
                  <c:v>45170</c:v>
                </c:pt>
                <c:pt idx="9">
                  <c:v>45200</c:v>
                </c:pt>
                <c:pt idx="10">
                  <c:v>45231</c:v>
                </c:pt>
                <c:pt idx="11">
                  <c:v>45261</c:v>
                </c:pt>
                <c:pt idx="12">
                  <c:v>45292</c:v>
                </c:pt>
                <c:pt idx="13">
                  <c:v>45323</c:v>
                </c:pt>
                <c:pt idx="14">
                  <c:v>45352</c:v>
                </c:pt>
                <c:pt idx="15">
                  <c:v>45383</c:v>
                </c:pt>
                <c:pt idx="16">
                  <c:v>45413</c:v>
                </c:pt>
                <c:pt idx="17">
                  <c:v>45444</c:v>
                </c:pt>
                <c:pt idx="18">
                  <c:v>45474</c:v>
                </c:pt>
                <c:pt idx="19">
                  <c:v>45505</c:v>
                </c:pt>
                <c:pt idx="20">
                  <c:v>45536</c:v>
                </c:pt>
                <c:pt idx="21">
                  <c:v>45566</c:v>
                </c:pt>
                <c:pt idx="22">
                  <c:v>45597</c:v>
                </c:pt>
                <c:pt idx="23">
                  <c:v>45627</c:v>
                </c:pt>
              </c:numCache>
            </c:numRef>
          </c:cat>
          <c:val>
            <c:numRef>
              <c:f>Sheet1!$E$2:$E$25</c:f>
              <c:numCache>
                <c:formatCode>General</c:formatCode>
                <c:ptCount val="24"/>
                <c:pt idx="4">
                  <c:v>46</c:v>
                </c:pt>
                <c:pt idx="5">
                  <c:v>44</c:v>
                </c:pt>
                <c:pt idx="6">
                  <c:v>44</c:v>
                </c:pt>
                <c:pt idx="7">
                  <c:v>44</c:v>
                </c:pt>
                <c:pt idx="8">
                  <c:v>44</c:v>
                </c:pt>
                <c:pt idx="9">
                  <c:v>44</c:v>
                </c:pt>
                <c:pt idx="10">
                  <c:v>44</c:v>
                </c:pt>
                <c:pt idx="11">
                  <c:v>44</c:v>
                </c:pt>
                <c:pt idx="12">
                  <c:v>44</c:v>
                </c:pt>
                <c:pt idx="13">
                  <c:v>44</c:v>
                </c:pt>
                <c:pt idx="14">
                  <c:v>44</c:v>
                </c:pt>
                <c:pt idx="15">
                  <c:v>44</c:v>
                </c:pt>
                <c:pt idx="16">
                  <c:v>44</c:v>
                </c:pt>
              </c:numCache>
            </c:numRef>
          </c:val>
          <c:smooth val="0"/>
          <c:extLst>
            <c:ext xmlns:c16="http://schemas.microsoft.com/office/drawing/2014/chart" uri="{C3380CC4-5D6E-409C-BE32-E72D297353CC}">
              <c16:uniqueId val="{00000003-23AE-4BFD-94BF-9F92EE09C18E}"/>
            </c:ext>
          </c:extLst>
        </c:ser>
        <c:dLbls>
          <c:showLegendKey val="0"/>
          <c:showVal val="0"/>
          <c:showCatName val="0"/>
          <c:showSerName val="0"/>
          <c:showPercent val="0"/>
          <c:showBubbleSize val="0"/>
        </c:dLbls>
        <c:marker val="1"/>
        <c:smooth val="0"/>
        <c:axId val="1958900624"/>
        <c:axId val="1958900208"/>
      </c:lineChart>
      <c:dateAx>
        <c:axId val="242158832"/>
        <c:scaling>
          <c:orientation val="minMax"/>
        </c:scaling>
        <c:delete val="0"/>
        <c:axPos val="b"/>
        <c:numFmt formatCode="[$-409]mmm&quot;-&quot;yy;@" sourceLinked="0"/>
        <c:majorTickMark val="none"/>
        <c:minorTickMark val="none"/>
        <c:tickLblPos val="nextTo"/>
        <c:spPr>
          <a:noFill/>
          <a:ln w="9525" cap="flat" cmpd="sng" algn="ctr">
            <a:solidFill>
              <a:schemeClr val="tx1">
                <a:lumMod val="15000"/>
                <a:lumOff val="85000"/>
              </a:schemeClr>
            </a:solidFill>
            <a:round/>
          </a:ln>
          <a:effectLst/>
        </c:spPr>
        <c:txPr>
          <a:bodyPr rot="-5400000" spcFirstLastPara="1" vertOverflow="ellipsis" wrap="square" anchor="ctr" anchorCtr="1"/>
          <a:lstStyle/>
          <a:p>
            <a:pPr>
              <a:defRPr sz="9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endParaRPr lang="ko-KR"/>
          </a:p>
        </c:txPr>
        <c:crossAx val="242164656"/>
        <c:crosses val="autoZero"/>
        <c:auto val="1"/>
        <c:lblOffset val="100"/>
        <c:baseTimeUnit val="months"/>
        <c:majorUnit val="3"/>
        <c:majorTimeUnit val="months"/>
      </c:dateAx>
      <c:valAx>
        <c:axId val="242164656"/>
        <c:scaling>
          <c:orientation val="minMax"/>
          <c:max val="50"/>
          <c:min val="10"/>
        </c:scaling>
        <c:delete val="0"/>
        <c:axPos val="l"/>
        <c:majorGridlines>
          <c:spPr>
            <a:ln w="6350" cap="flat" cmpd="sng" algn="ctr">
              <a:solidFill>
                <a:schemeClr val="tx1">
                  <a:lumMod val="15000"/>
                  <a:lumOff val="85000"/>
                </a:schemeClr>
              </a:solidFill>
              <a:prstDash val="sysDot"/>
              <a:round/>
            </a:ln>
            <a:effectLst/>
          </c:spPr>
        </c:majorGridlines>
        <c:title>
          <c:tx>
            <c:rich>
              <a:bodyPr rot="0" spcFirstLastPara="1" vertOverflow="ellipsis" wrap="square" anchor="ctr" anchorCtr="1"/>
              <a:lstStyle/>
              <a:p>
                <a:pPr>
                  <a:defRPr sz="7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r>
                  <a:rPr lang="en-US" altLang="ko-KR" sz="700">
                    <a:latin typeface="바탕체" panose="02030609000101010101" pitchFamily="17" charset="-127"/>
                    <a:ea typeface="바탕체" panose="02030609000101010101" pitchFamily="17" charset="-127"/>
                    <a:cs typeface="Arial" panose="020B0604020202020204" pitchFamily="34" charset="0"/>
                  </a:rPr>
                  <a:t>(vessels)</a:t>
                </a:r>
                <a:endParaRPr lang="ko-KR" altLang="en-US" sz="700">
                  <a:latin typeface="바탕체" panose="02030609000101010101" pitchFamily="17" charset="-127"/>
                  <a:ea typeface="바탕체" panose="02030609000101010101" pitchFamily="17" charset="-127"/>
                  <a:cs typeface="Arial" panose="020B0604020202020204" pitchFamily="34" charset="0"/>
                </a:endParaRPr>
              </a:p>
            </c:rich>
          </c:tx>
          <c:layout>
            <c:manualLayout>
              <c:xMode val="edge"/>
              <c:yMode val="edge"/>
              <c:x val="0"/>
              <c:y val="4.0186904888010067E-3"/>
            </c:manualLayout>
          </c:layout>
          <c:overlay val="0"/>
          <c:spPr>
            <a:noFill/>
            <a:ln>
              <a:noFill/>
            </a:ln>
            <a:effectLst/>
          </c:spPr>
          <c:txPr>
            <a:bodyPr rot="0" spcFirstLastPara="1" vertOverflow="ellipsis" wrap="square" anchor="ctr" anchorCtr="1"/>
            <a:lstStyle/>
            <a:p>
              <a:pPr>
                <a:defRPr sz="7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endParaRPr lang="ko-KR"/>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endParaRPr lang="ko-KR"/>
          </a:p>
        </c:txPr>
        <c:crossAx val="242158832"/>
        <c:crosses val="autoZero"/>
        <c:crossBetween val="between"/>
        <c:majorUnit val="10"/>
      </c:valAx>
      <c:valAx>
        <c:axId val="1958900208"/>
        <c:scaling>
          <c:orientation val="minMax"/>
          <c:max val="60"/>
          <c:min val="40"/>
        </c:scaling>
        <c:delete val="0"/>
        <c:axPos val="r"/>
        <c:title>
          <c:tx>
            <c:rich>
              <a:bodyPr rot="0" spcFirstLastPara="1" vertOverflow="ellipsis" wrap="square" anchor="ctr" anchorCtr="1"/>
              <a:lstStyle/>
              <a:p>
                <a:pPr>
                  <a:defRPr sz="10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r>
                  <a:rPr lang="en-US" altLang="ko-KR" sz="900"/>
                  <a:t>(ft)</a:t>
                </a:r>
                <a:endParaRPr lang="ko-KR" altLang="en-US" sz="900"/>
              </a:p>
            </c:rich>
          </c:tx>
          <c:layout>
            <c:manualLayout>
              <c:xMode val="edge"/>
              <c:yMode val="edge"/>
              <c:x val="0.88821611551001378"/>
              <c:y val="2.1955910219742712E-2"/>
            </c:manualLayout>
          </c:layout>
          <c:overlay val="0"/>
          <c:spPr>
            <a:noFill/>
            <a:ln>
              <a:noFill/>
            </a:ln>
            <a:effectLst/>
          </c:spPr>
          <c:txPr>
            <a:bodyPr rot="0" spcFirstLastPara="1" vertOverflow="ellipsis" wrap="square" anchor="ctr" anchorCtr="1"/>
            <a:lstStyle/>
            <a:p>
              <a:pPr>
                <a:defRPr sz="10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endParaRPr lang="ko-KR"/>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endParaRPr lang="ko-KR"/>
          </a:p>
        </c:txPr>
        <c:crossAx val="1958900624"/>
        <c:crosses val="max"/>
        <c:crossBetween val="between"/>
      </c:valAx>
      <c:dateAx>
        <c:axId val="1958900624"/>
        <c:scaling>
          <c:orientation val="minMax"/>
        </c:scaling>
        <c:delete val="1"/>
        <c:axPos val="b"/>
        <c:numFmt formatCode="m/d/yyyy" sourceLinked="1"/>
        <c:majorTickMark val="out"/>
        <c:minorTickMark val="none"/>
        <c:tickLblPos val="nextTo"/>
        <c:crossAx val="1958900208"/>
        <c:crosses val="autoZero"/>
        <c:auto val="1"/>
        <c:lblOffset val="100"/>
        <c:baseTimeUnit val="months"/>
      </c:dateAx>
      <c:spPr>
        <a:noFill/>
        <a:ln>
          <a:noFill/>
        </a:ln>
        <a:effectLst/>
      </c:spPr>
    </c:plotArea>
    <c:legend>
      <c:legendPos val="t"/>
      <c:legendEntry>
        <c:idx val="1"/>
        <c:delete val="1"/>
      </c:legendEntry>
      <c:legendEntry>
        <c:idx val="3"/>
        <c:delete val="1"/>
      </c:legendEntry>
      <c:layout>
        <c:manualLayout>
          <c:xMode val="edge"/>
          <c:yMode val="edge"/>
          <c:x val="0.16644136297122153"/>
          <c:y val="0.1234678624813154"/>
          <c:w val="0.76492780624126688"/>
          <c:h val="0.15491778774289985"/>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endParaRPr lang="ko-K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바탕체" panose="02030609000101010101" pitchFamily="17" charset="-127"/>
          <a:ea typeface="바탕체" panose="02030609000101010101" pitchFamily="17" charset="-127"/>
        </a:defRPr>
      </a:pPr>
      <a:endParaRPr lang="ko-KR"/>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50" b="1" i="0" u="none" strike="noStrike" kern="1200" spc="0" baseline="0">
                <a:solidFill>
                  <a:schemeClr val="tx1">
                    <a:lumMod val="65000"/>
                    <a:lumOff val="35000"/>
                  </a:schemeClr>
                </a:solidFill>
                <a:latin typeface="바탕체" panose="02030609000101010101" pitchFamily="17" charset="-127"/>
                <a:ea typeface="바탕체" panose="02030609000101010101" pitchFamily="17" charset="-127"/>
                <a:cs typeface="+mn-cs"/>
              </a:defRPr>
            </a:pPr>
            <a:r>
              <a:rPr lang="en-US" altLang="ko-KR" sz="1050"/>
              <a:t>Panama Canal Congestion Trends</a:t>
            </a:r>
          </a:p>
        </c:rich>
      </c:tx>
      <c:layout>
        <c:manualLayout>
          <c:xMode val="edge"/>
          <c:yMode val="edge"/>
          <c:x val="0.33535870516185473"/>
          <c:y val="1.5717092337917484E-2"/>
        </c:manualLayout>
      </c:layout>
      <c:overlay val="0"/>
      <c:spPr>
        <a:noFill/>
        <a:ln>
          <a:noFill/>
        </a:ln>
        <a:effectLst/>
      </c:spPr>
      <c:txPr>
        <a:bodyPr rot="0" spcFirstLastPara="1" vertOverflow="ellipsis" vert="horz" wrap="square" anchor="ctr" anchorCtr="1"/>
        <a:lstStyle/>
        <a:p>
          <a:pPr>
            <a:defRPr sz="1050" b="1" i="0" u="none" strike="noStrike" kern="1200" spc="0" baseline="0">
              <a:solidFill>
                <a:schemeClr val="tx1">
                  <a:lumMod val="65000"/>
                  <a:lumOff val="35000"/>
                </a:schemeClr>
              </a:solidFill>
              <a:latin typeface="바탕체" panose="02030609000101010101" pitchFamily="17" charset="-127"/>
              <a:ea typeface="바탕체" panose="02030609000101010101" pitchFamily="17" charset="-127"/>
              <a:cs typeface="+mn-cs"/>
            </a:defRPr>
          </a:pPr>
          <a:endParaRPr lang="ko-KR"/>
        </a:p>
      </c:txPr>
    </c:title>
    <c:autoTitleDeleted val="0"/>
    <c:plotArea>
      <c:layout>
        <c:manualLayout>
          <c:layoutTarget val="inner"/>
          <c:xMode val="edge"/>
          <c:yMode val="edge"/>
          <c:x val="5.2256853310002918E-2"/>
          <c:y val="0.17013752455795678"/>
          <c:w val="0.87465296004666082"/>
          <c:h val="0.52613028479495072"/>
        </c:manualLayout>
      </c:layout>
      <c:barChart>
        <c:barDir val="col"/>
        <c:grouping val="clustered"/>
        <c:varyColors val="0"/>
        <c:ser>
          <c:idx val="0"/>
          <c:order val="0"/>
          <c:tx>
            <c:strRef>
              <c:f>Sheet1!$B$1</c:f>
              <c:strCache>
                <c:ptCount val="1"/>
                <c:pt idx="0">
                  <c:v>No. of Waiting Vessels</c:v>
                </c:pt>
              </c:strCache>
            </c:strRef>
          </c:tx>
          <c:spPr>
            <a:solidFill>
              <a:schemeClr val="bg1">
                <a:lumMod val="85000"/>
              </a:schemeClr>
            </a:solidFill>
            <a:ln>
              <a:noFill/>
            </a:ln>
            <a:effectLst/>
          </c:spPr>
          <c:invertIfNegative val="0"/>
          <c:cat>
            <c:numRef>
              <c:f>Sheet1!$A$2:$A$25</c:f>
              <c:numCache>
                <c:formatCode>mmm\-yyyy</c:formatCode>
                <c:ptCount val="24"/>
                <c:pt idx="0">
                  <c:v>44927</c:v>
                </c:pt>
                <c:pt idx="1">
                  <c:v>44958</c:v>
                </c:pt>
                <c:pt idx="2">
                  <c:v>44986</c:v>
                </c:pt>
                <c:pt idx="3">
                  <c:v>45017</c:v>
                </c:pt>
                <c:pt idx="4">
                  <c:v>45047</c:v>
                </c:pt>
                <c:pt idx="5">
                  <c:v>45078</c:v>
                </c:pt>
                <c:pt idx="6">
                  <c:v>45108</c:v>
                </c:pt>
                <c:pt idx="7">
                  <c:v>45139</c:v>
                </c:pt>
                <c:pt idx="8">
                  <c:v>45170</c:v>
                </c:pt>
                <c:pt idx="9">
                  <c:v>45200</c:v>
                </c:pt>
                <c:pt idx="10">
                  <c:v>45231</c:v>
                </c:pt>
                <c:pt idx="11">
                  <c:v>45261</c:v>
                </c:pt>
                <c:pt idx="12">
                  <c:v>45292</c:v>
                </c:pt>
                <c:pt idx="13">
                  <c:v>45323</c:v>
                </c:pt>
                <c:pt idx="14">
                  <c:v>45352</c:v>
                </c:pt>
                <c:pt idx="15">
                  <c:v>45383</c:v>
                </c:pt>
                <c:pt idx="16">
                  <c:v>45413</c:v>
                </c:pt>
                <c:pt idx="17">
                  <c:v>45444</c:v>
                </c:pt>
                <c:pt idx="18">
                  <c:v>45474</c:v>
                </c:pt>
                <c:pt idx="19">
                  <c:v>45505</c:v>
                </c:pt>
                <c:pt idx="20">
                  <c:v>45536</c:v>
                </c:pt>
                <c:pt idx="21">
                  <c:v>45566</c:v>
                </c:pt>
                <c:pt idx="22">
                  <c:v>45597</c:v>
                </c:pt>
                <c:pt idx="23">
                  <c:v>45627</c:v>
                </c:pt>
              </c:numCache>
            </c:numRef>
          </c:cat>
          <c:val>
            <c:numRef>
              <c:f>Sheet1!$B$2:$B$25</c:f>
              <c:numCache>
                <c:formatCode>#,##0</c:formatCode>
                <c:ptCount val="24"/>
                <c:pt idx="0">
                  <c:v>13.12903</c:v>
                </c:pt>
                <c:pt idx="1">
                  <c:v>13.821429999999999</c:v>
                </c:pt>
                <c:pt idx="2">
                  <c:v>13.211980000000001</c:v>
                </c:pt>
                <c:pt idx="3">
                  <c:v>13.142860000000001</c:v>
                </c:pt>
                <c:pt idx="17">
                  <c:v>22.07619</c:v>
                </c:pt>
                <c:pt idx="18">
                  <c:v>20.834099999999999</c:v>
                </c:pt>
                <c:pt idx="19">
                  <c:v>26.073730000000001</c:v>
                </c:pt>
                <c:pt idx="20">
                  <c:v>28.0381</c:v>
                </c:pt>
                <c:pt idx="21">
                  <c:v>20.930879999999998</c:v>
                </c:pt>
                <c:pt idx="22">
                  <c:v>20.238099999999999</c:v>
                </c:pt>
                <c:pt idx="23">
                  <c:v>19.08756</c:v>
                </c:pt>
              </c:numCache>
            </c:numRef>
          </c:val>
          <c:extLst>
            <c:ext xmlns:c16="http://schemas.microsoft.com/office/drawing/2014/chart" uri="{C3380CC4-5D6E-409C-BE32-E72D297353CC}">
              <c16:uniqueId val="{00000000-4B74-4AAE-B05B-CB8F29599E40}"/>
            </c:ext>
          </c:extLst>
        </c:ser>
        <c:ser>
          <c:idx val="2"/>
          <c:order val="2"/>
          <c:tx>
            <c:strRef>
              <c:f>Sheet1!$D$1</c:f>
              <c:strCache>
                <c:ptCount val="1"/>
                <c:pt idx="0">
                  <c:v>대기선박 수-엘니뇨</c:v>
                </c:pt>
              </c:strCache>
            </c:strRef>
          </c:tx>
          <c:spPr>
            <a:solidFill>
              <a:schemeClr val="accent3"/>
            </a:solidFill>
            <a:ln>
              <a:noFill/>
            </a:ln>
            <a:effectLst/>
          </c:spPr>
          <c:invertIfNegative val="0"/>
          <c:cat>
            <c:numRef>
              <c:f>Sheet1!$A$2:$A$25</c:f>
              <c:numCache>
                <c:formatCode>mmm\-yyyy</c:formatCode>
                <c:ptCount val="24"/>
                <c:pt idx="0">
                  <c:v>44927</c:v>
                </c:pt>
                <c:pt idx="1">
                  <c:v>44958</c:v>
                </c:pt>
                <c:pt idx="2">
                  <c:v>44986</c:v>
                </c:pt>
                <c:pt idx="3">
                  <c:v>45017</c:v>
                </c:pt>
                <c:pt idx="4">
                  <c:v>45047</c:v>
                </c:pt>
                <c:pt idx="5">
                  <c:v>45078</c:v>
                </c:pt>
                <c:pt idx="6">
                  <c:v>45108</c:v>
                </c:pt>
                <c:pt idx="7">
                  <c:v>45139</c:v>
                </c:pt>
                <c:pt idx="8">
                  <c:v>45170</c:v>
                </c:pt>
                <c:pt idx="9">
                  <c:v>45200</c:v>
                </c:pt>
                <c:pt idx="10">
                  <c:v>45231</c:v>
                </c:pt>
                <c:pt idx="11">
                  <c:v>45261</c:v>
                </c:pt>
                <c:pt idx="12">
                  <c:v>45292</c:v>
                </c:pt>
                <c:pt idx="13">
                  <c:v>45323</c:v>
                </c:pt>
                <c:pt idx="14">
                  <c:v>45352</c:v>
                </c:pt>
                <c:pt idx="15">
                  <c:v>45383</c:v>
                </c:pt>
                <c:pt idx="16">
                  <c:v>45413</c:v>
                </c:pt>
                <c:pt idx="17">
                  <c:v>45444</c:v>
                </c:pt>
                <c:pt idx="18">
                  <c:v>45474</c:v>
                </c:pt>
                <c:pt idx="19">
                  <c:v>45505</c:v>
                </c:pt>
                <c:pt idx="20">
                  <c:v>45536</c:v>
                </c:pt>
                <c:pt idx="21">
                  <c:v>45566</c:v>
                </c:pt>
                <c:pt idx="22">
                  <c:v>45597</c:v>
                </c:pt>
                <c:pt idx="23">
                  <c:v>45627</c:v>
                </c:pt>
              </c:numCache>
            </c:numRef>
          </c:cat>
          <c:val>
            <c:numRef>
              <c:f>Sheet1!$D$2:$D$25</c:f>
              <c:numCache>
                <c:formatCode>General</c:formatCode>
                <c:ptCount val="24"/>
                <c:pt idx="4" formatCode="#,##0">
                  <c:v>10.45622</c:v>
                </c:pt>
                <c:pt idx="5" formatCode="#,##0">
                  <c:v>11.57619</c:v>
                </c:pt>
                <c:pt idx="6" formatCode="#,##0">
                  <c:v>13.74193</c:v>
                </c:pt>
                <c:pt idx="7" formatCode="#,##0">
                  <c:v>14.03687</c:v>
                </c:pt>
                <c:pt idx="8" formatCode="#,##0">
                  <c:v>11.84286</c:v>
                </c:pt>
                <c:pt idx="9" formatCode="#,##0">
                  <c:v>12.811059999999999</c:v>
                </c:pt>
                <c:pt idx="10" formatCode="#,##0">
                  <c:v>17.39048</c:v>
                </c:pt>
                <c:pt idx="11" formatCode="#,##0">
                  <c:v>19.419350000000001</c:v>
                </c:pt>
                <c:pt idx="12" formatCode="#,##0">
                  <c:v>14.294930000000001</c:v>
                </c:pt>
                <c:pt idx="13" formatCode="#,##0">
                  <c:v>17.64039</c:v>
                </c:pt>
                <c:pt idx="14" formatCode="#,##0">
                  <c:v>17.64977</c:v>
                </c:pt>
                <c:pt idx="15" formatCode="#,##0">
                  <c:v>16.83333</c:v>
                </c:pt>
                <c:pt idx="16" formatCode="#,##0">
                  <c:v>25.105989999999998</c:v>
                </c:pt>
              </c:numCache>
            </c:numRef>
          </c:val>
          <c:extLst>
            <c:ext xmlns:c16="http://schemas.microsoft.com/office/drawing/2014/chart" uri="{C3380CC4-5D6E-409C-BE32-E72D297353CC}">
              <c16:uniqueId val="{00000001-4B74-4AAE-B05B-CB8F29599E40}"/>
            </c:ext>
          </c:extLst>
        </c:ser>
        <c:dLbls>
          <c:showLegendKey val="0"/>
          <c:showVal val="0"/>
          <c:showCatName val="0"/>
          <c:showSerName val="0"/>
          <c:showPercent val="0"/>
          <c:showBubbleSize val="0"/>
        </c:dLbls>
        <c:gapWidth val="219"/>
        <c:overlap val="100"/>
        <c:axId val="941447776"/>
        <c:axId val="941444864"/>
      </c:barChart>
      <c:lineChart>
        <c:grouping val="standard"/>
        <c:varyColors val="0"/>
        <c:ser>
          <c:idx val="1"/>
          <c:order val="1"/>
          <c:tx>
            <c:strRef>
              <c:f>Sheet1!$C$1</c:f>
              <c:strCache>
                <c:ptCount val="1"/>
                <c:pt idx="0">
                  <c:v>Waiting Time(Right)</c:v>
                </c:pt>
              </c:strCache>
            </c:strRef>
          </c:tx>
          <c:spPr>
            <a:ln w="28575" cap="rnd">
              <a:solidFill>
                <a:schemeClr val="accent2">
                  <a:lumMod val="40000"/>
                  <a:lumOff val="60000"/>
                </a:schemeClr>
              </a:solidFill>
              <a:round/>
            </a:ln>
            <a:effectLst/>
          </c:spPr>
          <c:marker>
            <c:symbol val="circle"/>
            <c:size val="5"/>
            <c:spPr>
              <a:solidFill>
                <a:schemeClr val="bg1"/>
              </a:solidFill>
              <a:ln w="9525">
                <a:solidFill>
                  <a:schemeClr val="accent2">
                    <a:lumMod val="40000"/>
                    <a:lumOff val="60000"/>
                  </a:schemeClr>
                </a:solidFill>
              </a:ln>
              <a:effectLst/>
            </c:spPr>
          </c:marker>
          <c:cat>
            <c:numRef>
              <c:f>Sheet1!$A$2:$A$25</c:f>
              <c:numCache>
                <c:formatCode>mmm\-yyyy</c:formatCode>
                <c:ptCount val="24"/>
                <c:pt idx="0">
                  <c:v>44927</c:v>
                </c:pt>
                <c:pt idx="1">
                  <c:v>44958</c:v>
                </c:pt>
                <c:pt idx="2">
                  <c:v>44986</c:v>
                </c:pt>
                <c:pt idx="3">
                  <c:v>45017</c:v>
                </c:pt>
                <c:pt idx="4">
                  <c:v>45047</c:v>
                </c:pt>
                <c:pt idx="5">
                  <c:v>45078</c:v>
                </c:pt>
                <c:pt idx="6">
                  <c:v>45108</c:v>
                </c:pt>
                <c:pt idx="7">
                  <c:v>45139</c:v>
                </c:pt>
                <c:pt idx="8">
                  <c:v>45170</c:v>
                </c:pt>
                <c:pt idx="9">
                  <c:v>45200</c:v>
                </c:pt>
                <c:pt idx="10">
                  <c:v>45231</c:v>
                </c:pt>
                <c:pt idx="11">
                  <c:v>45261</c:v>
                </c:pt>
                <c:pt idx="12">
                  <c:v>45292</c:v>
                </c:pt>
                <c:pt idx="13">
                  <c:v>45323</c:v>
                </c:pt>
                <c:pt idx="14">
                  <c:v>45352</c:v>
                </c:pt>
                <c:pt idx="15">
                  <c:v>45383</c:v>
                </c:pt>
                <c:pt idx="16">
                  <c:v>45413</c:v>
                </c:pt>
                <c:pt idx="17">
                  <c:v>45444</c:v>
                </c:pt>
                <c:pt idx="18">
                  <c:v>45474</c:v>
                </c:pt>
                <c:pt idx="19">
                  <c:v>45505</c:v>
                </c:pt>
                <c:pt idx="20">
                  <c:v>45536</c:v>
                </c:pt>
                <c:pt idx="21">
                  <c:v>45566</c:v>
                </c:pt>
                <c:pt idx="22">
                  <c:v>45597</c:v>
                </c:pt>
                <c:pt idx="23">
                  <c:v>45627</c:v>
                </c:pt>
              </c:numCache>
            </c:numRef>
          </c:cat>
          <c:val>
            <c:numRef>
              <c:f>Sheet1!$C$2:$C$25</c:f>
              <c:numCache>
                <c:formatCode>#,##0.0</c:formatCode>
                <c:ptCount val="24"/>
                <c:pt idx="0">
                  <c:v>17.318480000000001</c:v>
                </c:pt>
                <c:pt idx="1">
                  <c:v>16.125640000000001</c:v>
                </c:pt>
                <c:pt idx="2">
                  <c:v>17.20082</c:v>
                </c:pt>
                <c:pt idx="3">
                  <c:v>19.435110000000002</c:v>
                </c:pt>
                <c:pt idx="4">
                  <c:v>14.754810000000001</c:v>
                </c:pt>
                <c:pt idx="16">
                  <c:v>19.076409999999999</c:v>
                </c:pt>
                <c:pt idx="17">
                  <c:v>18.517679999999999</c:v>
                </c:pt>
                <c:pt idx="18">
                  <c:v>16.854130000000001</c:v>
                </c:pt>
                <c:pt idx="19">
                  <c:v>15.166309999999999</c:v>
                </c:pt>
                <c:pt idx="20">
                  <c:v>14.66639</c:v>
                </c:pt>
                <c:pt idx="21">
                  <c:v>14.75487</c:v>
                </c:pt>
                <c:pt idx="22">
                  <c:v>15.515079999999999</c:v>
                </c:pt>
                <c:pt idx="23">
                  <c:v>15.81781</c:v>
                </c:pt>
              </c:numCache>
            </c:numRef>
          </c:val>
          <c:smooth val="1"/>
          <c:extLst>
            <c:ext xmlns:c16="http://schemas.microsoft.com/office/drawing/2014/chart" uri="{C3380CC4-5D6E-409C-BE32-E72D297353CC}">
              <c16:uniqueId val="{00000002-4B74-4AAE-B05B-CB8F29599E40}"/>
            </c:ext>
          </c:extLst>
        </c:ser>
        <c:ser>
          <c:idx val="3"/>
          <c:order val="3"/>
          <c:tx>
            <c:strRef>
              <c:f>Sheet1!$E$1</c:f>
              <c:strCache>
                <c:ptCount val="1"/>
                <c:pt idx="0">
                  <c:v>대기 시간-엘니뇨</c:v>
                </c:pt>
              </c:strCache>
            </c:strRef>
          </c:tx>
          <c:spPr>
            <a:ln w="28575" cap="rnd">
              <a:solidFill>
                <a:schemeClr val="accent2"/>
              </a:solidFill>
              <a:round/>
            </a:ln>
            <a:effectLst/>
          </c:spPr>
          <c:marker>
            <c:symbol val="circle"/>
            <c:size val="5"/>
            <c:spPr>
              <a:solidFill>
                <a:schemeClr val="bg1"/>
              </a:solidFill>
              <a:ln w="9525">
                <a:solidFill>
                  <a:schemeClr val="accent2"/>
                </a:solidFill>
              </a:ln>
              <a:effectLst/>
            </c:spPr>
          </c:marker>
          <c:cat>
            <c:numRef>
              <c:f>Sheet1!$A$2:$A$25</c:f>
              <c:numCache>
                <c:formatCode>mmm\-yyyy</c:formatCode>
                <c:ptCount val="24"/>
                <c:pt idx="0">
                  <c:v>44927</c:v>
                </c:pt>
                <c:pt idx="1">
                  <c:v>44958</c:v>
                </c:pt>
                <c:pt idx="2">
                  <c:v>44986</c:v>
                </c:pt>
                <c:pt idx="3">
                  <c:v>45017</c:v>
                </c:pt>
                <c:pt idx="4">
                  <c:v>45047</c:v>
                </c:pt>
                <c:pt idx="5">
                  <c:v>45078</c:v>
                </c:pt>
                <c:pt idx="6">
                  <c:v>45108</c:v>
                </c:pt>
                <c:pt idx="7">
                  <c:v>45139</c:v>
                </c:pt>
                <c:pt idx="8">
                  <c:v>45170</c:v>
                </c:pt>
                <c:pt idx="9">
                  <c:v>45200</c:v>
                </c:pt>
                <c:pt idx="10">
                  <c:v>45231</c:v>
                </c:pt>
                <c:pt idx="11">
                  <c:v>45261</c:v>
                </c:pt>
                <c:pt idx="12">
                  <c:v>45292</c:v>
                </c:pt>
                <c:pt idx="13">
                  <c:v>45323</c:v>
                </c:pt>
                <c:pt idx="14">
                  <c:v>45352</c:v>
                </c:pt>
                <c:pt idx="15">
                  <c:v>45383</c:v>
                </c:pt>
                <c:pt idx="16">
                  <c:v>45413</c:v>
                </c:pt>
                <c:pt idx="17">
                  <c:v>45444</c:v>
                </c:pt>
                <c:pt idx="18">
                  <c:v>45474</c:v>
                </c:pt>
                <c:pt idx="19">
                  <c:v>45505</c:v>
                </c:pt>
                <c:pt idx="20">
                  <c:v>45536</c:v>
                </c:pt>
                <c:pt idx="21">
                  <c:v>45566</c:v>
                </c:pt>
                <c:pt idx="22">
                  <c:v>45597</c:v>
                </c:pt>
                <c:pt idx="23">
                  <c:v>45627</c:v>
                </c:pt>
              </c:numCache>
            </c:numRef>
          </c:cat>
          <c:val>
            <c:numRef>
              <c:f>Sheet1!$E$2:$E$25</c:f>
              <c:numCache>
                <c:formatCode>General</c:formatCode>
                <c:ptCount val="24"/>
                <c:pt idx="4" formatCode="#,##0.0">
                  <c:v>14.754810000000001</c:v>
                </c:pt>
                <c:pt idx="5" formatCode="#,##0.0">
                  <c:v>16.13147</c:v>
                </c:pt>
                <c:pt idx="6" formatCode="#,##0.0">
                  <c:v>18.49849</c:v>
                </c:pt>
                <c:pt idx="7" formatCode="#,##0.0">
                  <c:v>17.795449999999999</c:v>
                </c:pt>
                <c:pt idx="8" formatCode="#,##0.0">
                  <c:v>17.839510000000001</c:v>
                </c:pt>
                <c:pt idx="9" formatCode="#,##0.0">
                  <c:v>17.434619999999999</c:v>
                </c:pt>
                <c:pt idx="10" formatCode="#,##0.0">
                  <c:v>22.086929999999999</c:v>
                </c:pt>
                <c:pt idx="11" formatCode="#,##0.0">
                  <c:v>36.090949999999999</c:v>
                </c:pt>
                <c:pt idx="12" formatCode="#,##0.0">
                  <c:v>20.154119999999999</c:v>
                </c:pt>
                <c:pt idx="13" formatCode="#,##0.0">
                  <c:v>24.134989999999998</c:v>
                </c:pt>
                <c:pt idx="14" formatCode="#,##0.0">
                  <c:v>26.474620000000002</c:v>
                </c:pt>
                <c:pt idx="15" formatCode="#,##0.0">
                  <c:v>19.32264</c:v>
                </c:pt>
                <c:pt idx="16" formatCode="#,##0.0">
                  <c:v>19.076409999999999</c:v>
                </c:pt>
              </c:numCache>
            </c:numRef>
          </c:val>
          <c:smooth val="1"/>
          <c:extLst>
            <c:ext xmlns:c16="http://schemas.microsoft.com/office/drawing/2014/chart" uri="{C3380CC4-5D6E-409C-BE32-E72D297353CC}">
              <c16:uniqueId val="{00000003-4B74-4AAE-B05B-CB8F29599E40}"/>
            </c:ext>
          </c:extLst>
        </c:ser>
        <c:dLbls>
          <c:showLegendKey val="0"/>
          <c:showVal val="0"/>
          <c:showCatName val="0"/>
          <c:showSerName val="0"/>
          <c:showPercent val="0"/>
          <c:showBubbleSize val="0"/>
        </c:dLbls>
        <c:marker val="1"/>
        <c:smooth val="0"/>
        <c:axId val="1585872576"/>
        <c:axId val="1585856768"/>
      </c:lineChart>
      <c:dateAx>
        <c:axId val="941447776"/>
        <c:scaling>
          <c:orientation val="minMax"/>
        </c:scaling>
        <c:delete val="0"/>
        <c:axPos val="b"/>
        <c:numFmt formatCode="[$-409]mmm&quot;-&quot;yy;@" sourceLinked="0"/>
        <c:majorTickMark val="none"/>
        <c:minorTickMark val="none"/>
        <c:tickLblPos val="nextTo"/>
        <c:spPr>
          <a:noFill/>
          <a:ln w="9525" cap="flat" cmpd="sng" algn="ctr">
            <a:solidFill>
              <a:schemeClr val="tx1">
                <a:lumMod val="15000"/>
                <a:lumOff val="85000"/>
              </a:schemeClr>
            </a:solidFill>
            <a:round/>
          </a:ln>
          <a:effectLst/>
        </c:spPr>
        <c:txPr>
          <a:bodyPr rot="-5400000" spcFirstLastPara="1" vertOverflow="ellipsis" wrap="square" anchor="ctr" anchorCtr="1"/>
          <a:lstStyle/>
          <a:p>
            <a:pPr>
              <a:defRPr sz="9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endParaRPr lang="ko-KR"/>
          </a:p>
        </c:txPr>
        <c:crossAx val="941444864"/>
        <c:crosses val="autoZero"/>
        <c:auto val="1"/>
        <c:lblOffset val="100"/>
        <c:baseTimeUnit val="months"/>
        <c:majorUnit val="1"/>
        <c:majorTimeUnit val="months"/>
      </c:dateAx>
      <c:valAx>
        <c:axId val="941444864"/>
        <c:scaling>
          <c:orientation val="minMax"/>
        </c:scaling>
        <c:delete val="0"/>
        <c:axPos val="l"/>
        <c:majorGridlines>
          <c:spPr>
            <a:ln w="6350" cap="flat" cmpd="sng" algn="ctr">
              <a:solidFill>
                <a:schemeClr val="tx1">
                  <a:lumMod val="15000"/>
                  <a:lumOff val="85000"/>
                </a:schemeClr>
              </a:solidFill>
              <a:prstDash val="sysDot"/>
              <a:round/>
            </a:ln>
            <a:effectLst/>
          </c:spPr>
        </c:majorGridlines>
        <c:title>
          <c:tx>
            <c:rich>
              <a:bodyPr rot="0" spcFirstLastPara="1" vertOverflow="ellipsis" wrap="square" anchor="ctr" anchorCtr="1"/>
              <a:lstStyle/>
              <a:p>
                <a:pPr>
                  <a:defRPr sz="9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r>
                  <a:rPr lang="en-US" altLang="ko-KR" sz="900"/>
                  <a:t>(vessels)</a:t>
                </a:r>
                <a:endParaRPr lang="ko-KR" altLang="en-US" sz="900"/>
              </a:p>
            </c:rich>
          </c:tx>
          <c:layout>
            <c:manualLayout>
              <c:xMode val="edge"/>
              <c:yMode val="edge"/>
              <c:x val="2.3148148148148147E-3"/>
              <c:y val="2.0628993085098156E-2"/>
            </c:manualLayout>
          </c:layout>
          <c:overlay val="0"/>
          <c:spPr>
            <a:noFill/>
            <a:ln>
              <a:noFill/>
            </a:ln>
            <a:effectLst/>
          </c:spPr>
          <c:txPr>
            <a:bodyPr rot="0" spcFirstLastPara="1" vertOverflow="ellipsis" wrap="square" anchor="ctr" anchorCtr="1"/>
            <a:lstStyle/>
            <a:p>
              <a:pPr>
                <a:defRPr sz="9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endParaRPr lang="ko-KR"/>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endParaRPr lang="ko-KR"/>
          </a:p>
        </c:txPr>
        <c:crossAx val="941447776"/>
        <c:crosses val="autoZero"/>
        <c:crossBetween val="between"/>
      </c:valAx>
      <c:valAx>
        <c:axId val="1585856768"/>
        <c:scaling>
          <c:orientation val="minMax"/>
        </c:scaling>
        <c:delete val="0"/>
        <c:axPos val="r"/>
        <c:title>
          <c:tx>
            <c:rich>
              <a:bodyPr rot="0" spcFirstLastPara="1" vertOverflow="ellipsis" wrap="square" anchor="ctr" anchorCtr="1"/>
              <a:lstStyle/>
              <a:p>
                <a:pPr>
                  <a:defRPr sz="9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r>
                  <a:rPr lang="en-US" altLang="ko-KR" sz="900"/>
                  <a:t>(hr)</a:t>
                </a:r>
                <a:endParaRPr lang="ko-KR" altLang="en-US" sz="900"/>
              </a:p>
            </c:rich>
          </c:tx>
          <c:layout>
            <c:manualLayout>
              <c:xMode val="edge"/>
              <c:yMode val="edge"/>
              <c:x val="0.93402777777777779"/>
              <c:y val="1.0019955757003851E-2"/>
            </c:manualLayout>
          </c:layout>
          <c:overlay val="0"/>
          <c:spPr>
            <a:noFill/>
            <a:ln>
              <a:noFill/>
            </a:ln>
            <a:effectLst/>
          </c:spPr>
          <c:txPr>
            <a:bodyPr rot="0" spcFirstLastPara="1" vertOverflow="ellipsis" wrap="square" anchor="ctr" anchorCtr="1"/>
            <a:lstStyle/>
            <a:p>
              <a:pPr>
                <a:defRPr sz="9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endParaRPr lang="ko-KR"/>
            </a:p>
          </c:txPr>
        </c:title>
        <c:numFmt formatCode="#,##0.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endParaRPr lang="ko-KR"/>
          </a:p>
        </c:txPr>
        <c:crossAx val="1585872576"/>
        <c:crosses val="max"/>
        <c:crossBetween val="between"/>
        <c:majorUnit val="15"/>
      </c:valAx>
      <c:dateAx>
        <c:axId val="1585872576"/>
        <c:scaling>
          <c:orientation val="minMax"/>
        </c:scaling>
        <c:delete val="1"/>
        <c:axPos val="b"/>
        <c:numFmt formatCode="mmm\-yyyy" sourceLinked="1"/>
        <c:majorTickMark val="out"/>
        <c:minorTickMark val="none"/>
        <c:tickLblPos val="nextTo"/>
        <c:crossAx val="1585856768"/>
        <c:crosses val="autoZero"/>
        <c:auto val="1"/>
        <c:lblOffset val="100"/>
        <c:baseTimeUnit val="months"/>
        <c:majorUnit val="1"/>
        <c:minorUnit val="1"/>
      </c:dateAx>
      <c:spPr>
        <a:noFill/>
        <a:ln>
          <a:noFill/>
        </a:ln>
        <a:effectLst/>
      </c:spPr>
    </c:plotArea>
    <c:legend>
      <c:legendPos val="t"/>
      <c:legendEntry>
        <c:idx val="1"/>
        <c:delete val="1"/>
      </c:legendEntry>
      <c:legendEntry>
        <c:idx val="3"/>
        <c:delete val="1"/>
      </c:legendEntry>
      <c:layout>
        <c:manualLayout>
          <c:xMode val="edge"/>
          <c:yMode val="edge"/>
          <c:x val="6.0448928258967631E-2"/>
          <c:y val="0.15614126819609239"/>
          <c:w val="0.3559538130650336"/>
          <c:h val="0.23664372012437543"/>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endParaRPr lang="ko-K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바탕체" panose="02030609000101010101" pitchFamily="17" charset="-127"/>
          <a:ea typeface="바탕체" panose="02030609000101010101" pitchFamily="17" charset="-127"/>
        </a:defRPr>
      </a:pPr>
      <a:endParaRPr lang="ko-K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17</Pages>
  <Words>3310</Words>
  <Characters>18873</Characters>
  <Application>Microsoft Office Word</Application>
  <DocSecurity>0</DocSecurity>
  <Lines>157</Lines>
  <Paragraphs>44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22139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SDS</cp:lastModifiedBy>
  <cp:revision>3</cp:revision>
  <dcterms:created xsi:type="dcterms:W3CDTF">2026-06-02T00:58:00Z</dcterms:created>
  <dcterms:modified xsi:type="dcterms:W3CDTF">2026-06-02T01:02:00Z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LCMData">
    <vt:lpwstr>F9318C16A374EAAF3EFC8F1D016D2222F04866283FE0E6B4BE480FFA92FBE979B26F617A252953451F878C56D22C1DEA9E3CA9F2B2711B1DC37D553949E4AB22</vt:lpwstr>
  </property>
</Properties>
</file>