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A4DD" w14:textId="77777777" w:rsidR="00814C88" w:rsidRPr="00814C88" w:rsidRDefault="00814C88" w:rsidP="00814C88">
      <w:r w:rsidRPr="00814C88">
        <w:rPr>
          <w:b/>
          <w:bCs/>
        </w:rPr>
        <w:t>Digital Twin 2.0: Smart Logistics Infrastructure Enabling Agentic AI and Physical AI</w:t>
      </w:r>
    </w:p>
    <w:p w14:paraId="64AA9F74" w14:textId="77777777" w:rsidR="00814C88" w:rsidRPr="00814C88" w:rsidRDefault="00814C88" w:rsidP="00814C88">
      <w:r w:rsidRPr="00814C88">
        <w:t>Digital twins have been one of the most prominent digital technologies in logistics and supply chain management over the past decade. However, despite significant investments, they have achieved only limited success, often delivering little beyond 3D visualization systems. The rapid advancement of large language model (LLM)-based Agentic AI and Physical AI, which is increasingly applied in robotics, presents new opportunities for decision-making in logistics.</w:t>
      </w:r>
    </w:p>
    <w:p w14:paraId="00B41803" w14:textId="77777777" w:rsidR="00814C88" w:rsidRPr="00814C88" w:rsidRDefault="00814C88" w:rsidP="00814C88">
      <w:r w:rsidRPr="00814C88">
        <w:t>This white paper examines three common misconceptions surrounding digital twins: first, that they are a 100% visual replica of reality; second, that they are merely an extension of simulation; and third, that real-time bidirectional synchronization is an essential requirement. It argues that the true essence of a digital twin lies in creating an environment that enables and supports optimal AI-driven decision-making in complex business environments.</w:t>
      </w:r>
    </w:p>
    <w:p w14:paraId="1809C9AA" w14:textId="77777777" w:rsidR="00814C88" w:rsidRPr="00814C88" w:rsidRDefault="00814C88" w:rsidP="00814C88">
      <w:r w:rsidRPr="00814C88">
        <w:t> </w:t>
      </w:r>
    </w:p>
    <w:p w14:paraId="4A8A366E" w14:textId="77777777" w:rsidR="00814C88" w:rsidRPr="00814C88" w:rsidRDefault="00814C88" w:rsidP="00814C88">
      <w:pPr>
        <w:rPr>
          <w:b/>
          <w:bCs/>
        </w:rPr>
      </w:pPr>
      <w:r w:rsidRPr="00814C88">
        <w:rPr>
          <w:b/>
          <w:bCs/>
        </w:rPr>
        <w:t>Key Concepts</w:t>
      </w:r>
    </w:p>
    <w:p w14:paraId="3356FDBB" w14:textId="77777777" w:rsidR="00814C88" w:rsidRPr="00814C88" w:rsidRDefault="00814C88" w:rsidP="00814C88">
      <w:pPr>
        <w:rPr>
          <w:b/>
          <w:bCs/>
        </w:rPr>
      </w:pPr>
      <w:r w:rsidRPr="00814C88">
        <w:rPr>
          <w:b/>
          <w:bCs/>
        </w:rPr>
        <w:t>Digital Twin and Operational Strategy Concepts</w:t>
      </w:r>
    </w:p>
    <w:p w14:paraId="2B50AFF9" w14:textId="77777777" w:rsidR="00814C88" w:rsidRPr="00814C88" w:rsidRDefault="00814C88" w:rsidP="00814C88">
      <w:pPr>
        <w:rPr>
          <w:b/>
          <w:bCs/>
        </w:rPr>
      </w:pPr>
      <w:r w:rsidRPr="00814C88">
        <w:rPr>
          <w:b/>
          <w:bCs/>
        </w:rPr>
        <w:t>Digital Twin</w:t>
      </w:r>
    </w:p>
    <w:p w14:paraId="517BB068" w14:textId="77777777" w:rsidR="00814C88" w:rsidRPr="00814C88" w:rsidRDefault="00814C88" w:rsidP="00814C88">
      <w:r w:rsidRPr="00814C88">
        <w:t>A Digital Twin is a set of adaptive models that replicate the behavior of a physical system within a virtual environment. Continuously updated through real-time data, it enables organizations to observe and evaluate operational conditions, predict future scenarios, and support optimal decision-making. This white paper redefines Digital Twin not merely as a 3D visualization technology, but as a critical infrastructure for AI training and validation.</w:t>
      </w:r>
    </w:p>
    <w:p w14:paraId="112B7487" w14:textId="77777777" w:rsidR="00814C88" w:rsidRPr="00814C88" w:rsidRDefault="00814C88" w:rsidP="00814C88">
      <w:pPr>
        <w:rPr>
          <w:b/>
          <w:bCs/>
        </w:rPr>
      </w:pPr>
      <w:r w:rsidRPr="00814C88">
        <w:rPr>
          <w:b/>
          <w:bCs/>
        </w:rPr>
        <w:t>Digital Twin 2.0</w:t>
      </w:r>
    </w:p>
    <w:p w14:paraId="4B22245A" w14:textId="77777777" w:rsidR="00814C88" w:rsidRPr="00814C88" w:rsidRDefault="00814C88" w:rsidP="00814C88">
      <w:r w:rsidRPr="00814C88">
        <w:t>While traditional Digital Twins primarily focused on visual replication and monitoring of reality, Digital Twin 2.0 aims to enable AI-driven autonomous operation and optimization. Rather than emphasizing visualization itself, its core objective is to create an environment where AI can learn from various scenarios and validate decisions before deployment in real-world operations. The white paper positions Digital Twin 2.0 as a foundational platform supporting the era of Agentic AI and Physical AI.</w:t>
      </w:r>
    </w:p>
    <w:p w14:paraId="77D96B35" w14:textId="77777777" w:rsidR="00814C88" w:rsidRPr="00814C88" w:rsidRDefault="00814C88" w:rsidP="00814C88">
      <w:pPr>
        <w:rPr>
          <w:b/>
          <w:bCs/>
        </w:rPr>
      </w:pPr>
      <w:r w:rsidRPr="00814C88">
        <w:rPr>
          <w:b/>
          <w:bCs/>
        </w:rPr>
        <w:t>Sim-to-Real Gap</w:t>
      </w:r>
    </w:p>
    <w:p w14:paraId="6AF2BA46" w14:textId="77777777" w:rsidR="00814C88" w:rsidRPr="00814C88" w:rsidRDefault="00814C88" w:rsidP="00814C88">
      <w:r w:rsidRPr="00814C88">
        <w:t>The Sim-to-Real Gap refers to the discrepancy between a virtual environment and real-world operations when AI trained within a digital twin is deployed in actual environments. Since no digital twin can perfectly capture every variable present in reality, continuous refinement and enhancement of the digital twin are required even after implementation. The white paper identifies reducing the Sim-to-Real Gap as a critical success factor for digital twin initiatives.</w:t>
      </w:r>
    </w:p>
    <w:tbl>
      <w:tblPr>
        <w:tblW w:w="157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5700"/>
      </w:tblGrid>
      <w:tr w:rsidR="00814C88" w:rsidRPr="00814C88" w14:paraId="61440A0B" w14:textId="77777777">
        <w:trPr>
          <w:trHeight w:val="611"/>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E11087" w14:textId="77777777" w:rsidR="00814C88" w:rsidRPr="00814C88" w:rsidRDefault="00814C88" w:rsidP="00814C88">
            <w:r w:rsidRPr="00814C88">
              <w:t>  </w:t>
            </w:r>
          </w:p>
        </w:tc>
      </w:tr>
    </w:tbl>
    <w:p w14:paraId="0A4243B5" w14:textId="77777777" w:rsidR="00814C88" w:rsidRPr="00814C88" w:rsidRDefault="00814C88" w:rsidP="00814C88">
      <w:pPr>
        <w:rPr>
          <w:b/>
          <w:bCs/>
        </w:rPr>
      </w:pPr>
      <w:r w:rsidRPr="00814C88">
        <w:rPr>
          <w:b/>
          <w:bCs/>
        </w:rPr>
        <w:t>AI Learning and Autonomous Operations Concepts</w:t>
      </w:r>
    </w:p>
    <w:p w14:paraId="2B2C25F6" w14:textId="77777777" w:rsidR="00814C88" w:rsidRPr="00814C88" w:rsidRDefault="00814C88" w:rsidP="00814C88">
      <w:pPr>
        <w:rPr>
          <w:b/>
          <w:bCs/>
        </w:rPr>
      </w:pPr>
      <w:r w:rsidRPr="00814C88">
        <w:rPr>
          <w:b/>
          <w:bCs/>
        </w:rPr>
        <w:lastRenderedPageBreak/>
        <w:t>Agentic AI</w:t>
      </w:r>
    </w:p>
    <w:p w14:paraId="57B9127A" w14:textId="77777777" w:rsidR="00814C88" w:rsidRPr="00814C88" w:rsidRDefault="00814C88" w:rsidP="00814C88">
      <w:r w:rsidRPr="00814C88">
        <w:t>Agentic AI refers to AI agents capable of interacting with users and proactively performing tasks. In logistics and supply chain management, Agentic AI is expected to autonomously manage inventory operations, respond to orders, allocate logistics resources, and make operational decisions. Digital twins serve as environments where Agentic AI can be trained and validated before deployment.</w:t>
      </w:r>
    </w:p>
    <w:p w14:paraId="7206B06D" w14:textId="77777777" w:rsidR="00814C88" w:rsidRPr="00814C88" w:rsidRDefault="00814C88" w:rsidP="00814C88">
      <w:pPr>
        <w:rPr>
          <w:b/>
          <w:bCs/>
        </w:rPr>
      </w:pPr>
      <w:r w:rsidRPr="00814C88">
        <w:rPr>
          <w:b/>
          <w:bCs/>
        </w:rPr>
        <w:t>Physical AI</w:t>
      </w:r>
    </w:p>
    <w:p w14:paraId="05AB4B33" w14:textId="77777777" w:rsidR="00814C88" w:rsidRPr="00814C88" w:rsidRDefault="00814C88" w:rsidP="00814C88">
      <w:r w:rsidRPr="00814C88">
        <w:t>Physical AI refers to AI embedded in physical assets such as robots, Automated Guided Vehicles (AGVs), and Autonomous Mobile Robots (AMRs) that operate in real-world environments. Widely applied in automated logistics centers and ports, Physical AI relies on digital twins to learn from diverse operational conditions and exception scenarios before being deployed in the field.</w:t>
      </w:r>
    </w:p>
    <w:p w14:paraId="177091E9" w14:textId="77777777" w:rsidR="00814C88" w:rsidRPr="00814C88" w:rsidRDefault="00814C88" w:rsidP="00814C88">
      <w:pPr>
        <w:rPr>
          <w:b/>
          <w:bCs/>
        </w:rPr>
      </w:pPr>
      <w:r w:rsidRPr="00814C88">
        <w:rPr>
          <w:b/>
          <w:bCs/>
        </w:rPr>
        <w:t>Reinforcement Learning</w:t>
      </w:r>
    </w:p>
    <w:p w14:paraId="549A5BD4" w14:textId="77777777" w:rsidR="00814C88" w:rsidRPr="00814C88" w:rsidRDefault="00814C88" w:rsidP="00814C88">
      <w:r w:rsidRPr="00814C88">
        <w:t>Reinforcement Learning is a machine learning approach in which AI learns optimal decision-making by selecting actions, receiving feedback in the form of rewards, and continuously improving through trial and error. The white paper cites AlphaGo as a representative example and highlights the growing potential of reinforcement learning in logistics and supply chain operations. Digital twins provide the large-scale scenarios and iterative learning environments necessary for reinforcement learning.</w:t>
      </w:r>
    </w:p>
    <w:p w14:paraId="40C1B918" w14:textId="77777777" w:rsidR="00814C88" w:rsidRPr="00814C88" w:rsidRDefault="00814C88" w:rsidP="00814C88">
      <w:pPr>
        <w:rPr>
          <w:b/>
          <w:bCs/>
        </w:rPr>
      </w:pPr>
      <w:r w:rsidRPr="00814C88">
        <w:rPr>
          <w:b/>
          <w:bCs/>
        </w:rPr>
        <w:t>Synthetic Data Generation</w:t>
      </w:r>
    </w:p>
    <w:p w14:paraId="62E6A8D4" w14:textId="77777777" w:rsidR="00814C88" w:rsidRPr="00814C88" w:rsidRDefault="00814C88" w:rsidP="00814C88">
      <w:r w:rsidRPr="00814C88">
        <w:t>Synthetic Data Generation is the process of creating virtual data within a digital environment to train AI models on situations that rarely occur—or have never occurred—in reality. Examples include port closures, supply chain disruptions, demand collapses, natural disasters, and large-scale product returns. This capability allows organizations to generate valuable training data beyond what can be obtained from historical records alone.</w:t>
      </w:r>
    </w:p>
    <w:p w14:paraId="45E7C86C" w14:textId="77777777" w:rsidR="00814C88" w:rsidRPr="00814C88" w:rsidRDefault="00814C88" w:rsidP="00814C88">
      <w:pPr>
        <w:rPr>
          <w:b/>
          <w:bCs/>
        </w:rPr>
      </w:pPr>
      <w:r w:rsidRPr="00814C88">
        <w:rPr>
          <w:b/>
          <w:bCs/>
        </w:rPr>
        <w:t>AI-Driven Autonomous Operation</w:t>
      </w:r>
    </w:p>
    <w:p w14:paraId="6800B74A" w14:textId="77777777" w:rsidR="00814C88" w:rsidRPr="00814C88" w:rsidRDefault="00814C88" w:rsidP="00814C88">
      <w:r w:rsidRPr="00814C88">
        <w:t>AI-Driven Autonomous Operation represents the ultimate vision of Digital Twin 2.0. While traditional operations rely on human analysis and decision-making, future operations will increasingly be managed by AI capable of independently assessing situations and optimizing outcomes. The white paper suggests that this transformation will become a key enabler of Smart Logistics and Smart Supply Chain Management (SCM).</w:t>
      </w:r>
    </w:p>
    <w:tbl>
      <w:tblPr>
        <w:tblW w:w="157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5700"/>
      </w:tblGrid>
      <w:tr w:rsidR="00814C88" w:rsidRPr="00814C88" w14:paraId="3E1BF0B8" w14:textId="77777777">
        <w:trPr>
          <w:trHeight w:val="611"/>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848CD6" w14:textId="77777777" w:rsidR="00814C88" w:rsidRPr="00814C88" w:rsidRDefault="00814C88" w:rsidP="00814C88">
            <w:r w:rsidRPr="00814C88">
              <w:t>  </w:t>
            </w:r>
          </w:p>
        </w:tc>
      </w:tr>
    </w:tbl>
    <w:p w14:paraId="50EE89CD" w14:textId="77777777" w:rsidR="00814C88" w:rsidRPr="00814C88" w:rsidRDefault="00814C88" w:rsidP="00814C88">
      <w:pPr>
        <w:rPr>
          <w:b/>
          <w:bCs/>
        </w:rPr>
      </w:pPr>
      <w:r w:rsidRPr="00814C88">
        <w:rPr>
          <w:b/>
          <w:bCs/>
        </w:rPr>
        <w:t>AI Learning and Autonomous Operations Concepts</w:t>
      </w:r>
    </w:p>
    <w:p w14:paraId="6A2957D5" w14:textId="77777777" w:rsidR="00814C88" w:rsidRPr="00814C88" w:rsidRDefault="00814C88" w:rsidP="00814C88">
      <w:pPr>
        <w:rPr>
          <w:b/>
          <w:bCs/>
        </w:rPr>
      </w:pPr>
      <w:r w:rsidRPr="00814C88">
        <w:rPr>
          <w:b/>
          <w:bCs/>
        </w:rPr>
        <w:t>Agentic AI</w:t>
      </w:r>
    </w:p>
    <w:p w14:paraId="4F1B88D4" w14:textId="77777777" w:rsidR="00814C88" w:rsidRPr="00814C88" w:rsidRDefault="00814C88" w:rsidP="00814C88">
      <w:r w:rsidRPr="00814C88">
        <w:t xml:space="preserve">Agentic AI refers to AI agents capable of interacting with users and proactively performing tasks. In logistics and supply chain management, Agentic AI is expected to autonomously manage inventory operations, respond to orders, allocate logistics resources, and make operational decisions. Digital twins serve </w:t>
      </w:r>
      <w:r w:rsidRPr="00814C88">
        <w:lastRenderedPageBreak/>
        <w:t>as environments where Agentic AI can be trained and validated before deployment.</w:t>
      </w:r>
    </w:p>
    <w:p w14:paraId="6E5D0FEB" w14:textId="77777777" w:rsidR="00814C88" w:rsidRPr="00814C88" w:rsidRDefault="00814C88" w:rsidP="00814C88">
      <w:pPr>
        <w:rPr>
          <w:b/>
          <w:bCs/>
        </w:rPr>
      </w:pPr>
      <w:r w:rsidRPr="00814C88">
        <w:rPr>
          <w:b/>
          <w:bCs/>
        </w:rPr>
        <w:t>Physical AI</w:t>
      </w:r>
    </w:p>
    <w:p w14:paraId="0338A196" w14:textId="77777777" w:rsidR="00814C88" w:rsidRPr="00814C88" w:rsidRDefault="00814C88" w:rsidP="00814C88">
      <w:r w:rsidRPr="00814C88">
        <w:t>Physical AI refers to AI embedded in physical assets such as robots, Automated Guided Vehicles (AGVs), and Autonomous Mobile Robots (AMRs) that operate in real-world environments. Widely applied in automated logistics centers and ports, Physical AI relies on digital twins to learn from diverse operational conditions and exception scenarios before being deployed in the field.</w:t>
      </w:r>
    </w:p>
    <w:p w14:paraId="2E9BAAAB" w14:textId="77777777" w:rsidR="00814C88" w:rsidRPr="00814C88" w:rsidRDefault="00814C88" w:rsidP="00814C88">
      <w:pPr>
        <w:rPr>
          <w:b/>
          <w:bCs/>
        </w:rPr>
      </w:pPr>
      <w:r w:rsidRPr="00814C88">
        <w:rPr>
          <w:b/>
          <w:bCs/>
        </w:rPr>
        <w:t>Reinforcement Learning</w:t>
      </w:r>
    </w:p>
    <w:p w14:paraId="24EF3E4A" w14:textId="77777777" w:rsidR="00814C88" w:rsidRPr="00814C88" w:rsidRDefault="00814C88" w:rsidP="00814C88">
      <w:r w:rsidRPr="00814C88">
        <w:t>Reinforcement Learning is a machine learning approach in which AI learns optimal decision-making by selecting actions, receiving feedback in the form of rewards, and continuously improving through trial and error. The white paper cites AlphaGo as a representative example and highlights the growing potential of reinforcement learning in logistics and supply chain operations. Digital twins provide the large-scale scenarios and iterative learning environments necessary for reinforcement learning.</w:t>
      </w:r>
    </w:p>
    <w:p w14:paraId="09355109" w14:textId="77777777" w:rsidR="00814C88" w:rsidRPr="00814C88" w:rsidRDefault="00814C88" w:rsidP="00814C88">
      <w:pPr>
        <w:rPr>
          <w:b/>
          <w:bCs/>
        </w:rPr>
      </w:pPr>
      <w:r w:rsidRPr="00814C88">
        <w:rPr>
          <w:b/>
          <w:bCs/>
        </w:rPr>
        <w:t>Synthetic Data Generation</w:t>
      </w:r>
    </w:p>
    <w:p w14:paraId="5D7289EE" w14:textId="77777777" w:rsidR="00814C88" w:rsidRPr="00814C88" w:rsidRDefault="00814C88" w:rsidP="00814C88">
      <w:r w:rsidRPr="00814C88">
        <w:t>Synthetic Data Generation is the process of creating virtual data within a digital environment to train AI models on situations that rarely occur—or have never occurred—in reality. Examples include port closures, supply chain disruptions, demand collapses, natural disasters, and large-scale product returns. This capability allows organizations to generate valuable training data beyond what can be obtained from historical records alone.</w:t>
      </w:r>
    </w:p>
    <w:p w14:paraId="0E224A21" w14:textId="77777777" w:rsidR="00814C88" w:rsidRPr="00814C88" w:rsidRDefault="00814C88" w:rsidP="00814C88">
      <w:pPr>
        <w:rPr>
          <w:b/>
          <w:bCs/>
        </w:rPr>
      </w:pPr>
      <w:r w:rsidRPr="00814C88">
        <w:rPr>
          <w:b/>
          <w:bCs/>
        </w:rPr>
        <w:t>AI-Driven Autonomous Operation</w:t>
      </w:r>
    </w:p>
    <w:p w14:paraId="54827F39" w14:textId="77777777" w:rsidR="00814C88" w:rsidRPr="00814C88" w:rsidRDefault="00814C88" w:rsidP="00814C88">
      <w:r w:rsidRPr="00814C88">
        <w:t>AI-Driven Autonomous Operation represents the ultimate vision of Digital Twin 2.0. While traditional operations rely on human analysis and decision-making, future operations will increasingly be managed by AI capable of independently assessing situations and optimizing outcomes. The white paper suggests that this transformation will become a key enabler of Smart Logistics and Smart Supply Chain Management (SCM).</w:t>
      </w:r>
    </w:p>
    <w:tbl>
      <w:tblPr>
        <w:tblW w:w="157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5700"/>
      </w:tblGrid>
      <w:tr w:rsidR="00814C88" w:rsidRPr="00814C88" w14:paraId="10DB4456" w14:textId="77777777">
        <w:trPr>
          <w:trHeight w:val="611"/>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578021" w14:textId="77777777" w:rsidR="00814C88" w:rsidRPr="00814C88" w:rsidRDefault="00814C88" w:rsidP="00814C88">
            <w:r w:rsidRPr="00814C88">
              <w:t>  </w:t>
            </w:r>
          </w:p>
        </w:tc>
      </w:tr>
    </w:tbl>
    <w:p w14:paraId="46D9629F" w14:textId="77777777" w:rsidR="00814C88" w:rsidRPr="00814C88" w:rsidRDefault="00814C88" w:rsidP="00814C88">
      <w:pPr>
        <w:rPr>
          <w:b/>
          <w:bCs/>
        </w:rPr>
      </w:pPr>
      <w:r w:rsidRPr="00814C88">
        <w:rPr>
          <w:b/>
          <w:bCs/>
        </w:rPr>
        <w:t>Digital Twin 2.0 Explained Through Key Questions</w:t>
      </w:r>
    </w:p>
    <w:p w14:paraId="1CA93D43" w14:textId="77777777" w:rsidR="00814C88" w:rsidRPr="00814C88" w:rsidRDefault="00814C88" w:rsidP="00814C88">
      <w:pPr>
        <w:rPr>
          <w:b/>
          <w:bCs/>
        </w:rPr>
      </w:pPr>
      <w:r w:rsidRPr="00814C88">
        <w:rPr>
          <w:b/>
          <w:bCs/>
        </w:rPr>
        <w:t>Q1. Why have digital twins often failed to deliver the expected results?</w:t>
      </w:r>
    </w:p>
    <w:p w14:paraId="23A00277" w14:textId="77777777" w:rsidR="00814C88" w:rsidRPr="00814C88" w:rsidRDefault="00814C88" w:rsidP="00814C88">
      <w:r w:rsidRPr="00814C88">
        <w:t>Traditional digital twins frequently focused on 3D visualization and real-time monitoring. However, simply visualizing operations does not automatically lead to improved performance or optimized decision-making. The white paper argues that the primary limitation lies not in the technology itself, but in the way it has been utilized.</w:t>
      </w:r>
    </w:p>
    <w:p w14:paraId="4C8B61E0" w14:textId="77777777" w:rsidR="00814C88" w:rsidRPr="00814C88" w:rsidRDefault="00814C88" w:rsidP="00814C88">
      <w:pPr>
        <w:rPr>
          <w:b/>
          <w:bCs/>
        </w:rPr>
      </w:pPr>
      <w:r w:rsidRPr="00814C88">
        <w:rPr>
          <w:b/>
          <w:bCs/>
        </w:rPr>
        <w:t>Q2. Why are digital twins receiving renewed attention in the AI era?</w:t>
      </w:r>
    </w:p>
    <w:p w14:paraId="1A36B5A1" w14:textId="77777777" w:rsidR="00814C88" w:rsidRPr="00814C88" w:rsidRDefault="00814C88" w:rsidP="00814C88">
      <w:r w:rsidRPr="00814C88">
        <w:t xml:space="preserve">As LLM-based AI, Agentic AI, and Physical AI are increasingly adopted across industries, the need for environments where AI can be trained and validated has </w:t>
      </w:r>
      <w:r w:rsidRPr="00814C88">
        <w:lastRenderedPageBreak/>
        <w:t>become critical. Digital twins are being rediscovered because they can serve as effective training and testing grounds for AI systems.</w:t>
      </w:r>
    </w:p>
    <w:p w14:paraId="3FE2A081" w14:textId="77777777" w:rsidR="00814C88" w:rsidRPr="00814C88" w:rsidRDefault="00814C88" w:rsidP="00814C88">
      <w:pPr>
        <w:rPr>
          <w:b/>
          <w:bCs/>
        </w:rPr>
      </w:pPr>
      <w:r w:rsidRPr="00814C88">
        <w:rPr>
          <w:b/>
          <w:bCs/>
        </w:rPr>
        <w:t>Q3. Why is AI training particularly challenging in logistics and supply chain management?</w:t>
      </w:r>
    </w:p>
    <w:p w14:paraId="7434457C" w14:textId="77777777" w:rsidR="00814C88" w:rsidRPr="00814C88" w:rsidRDefault="00814C88" w:rsidP="00814C88">
      <w:r w:rsidRPr="00814C88">
        <w:t>Real-world logistics operations leave little room for trial and error, while available data are often limited to historical performance records. Furthermore, obtaining sufficient data for scenarios that have never occurred is difficult. The key evaluation criterion is no longer how accurately reality is visually replicated, but how effectively AI can be trained and validated for real operational needs. Digital twins should therefore be viewed as strategic investments for AI-driven competitiveness rather than conventional IT projects.</w:t>
      </w:r>
    </w:p>
    <w:p w14:paraId="145A90F9" w14:textId="77777777" w:rsidR="00814C88" w:rsidRPr="00814C88" w:rsidRDefault="00814C88" w:rsidP="00814C88">
      <w:pPr>
        <w:rPr>
          <w:b/>
          <w:bCs/>
        </w:rPr>
      </w:pPr>
      <w:r w:rsidRPr="00814C88">
        <w:rPr>
          <w:b/>
          <w:bCs/>
        </w:rPr>
        <w:t>Q4. What value do digital twins provide for AI training?</w:t>
      </w:r>
    </w:p>
    <w:p w14:paraId="71785BB9" w14:textId="77777777" w:rsidR="00814C88" w:rsidRPr="00814C88" w:rsidRDefault="00814C88" w:rsidP="00814C88">
      <w:r w:rsidRPr="00814C88">
        <w:t>Digital twins can generate a wide range of virtual scenarios based on real-world data. They allow AI to learn from situations such as supply chain disruptions, sudden demand drops, and equipment failures that are difficult to experience frequently in reality, significantly expanding the scope of AI learning.</w:t>
      </w:r>
    </w:p>
    <w:p w14:paraId="3163BC0C" w14:textId="77777777" w:rsidR="00814C88" w:rsidRPr="00814C88" w:rsidRDefault="00814C88" w:rsidP="00814C88">
      <w:pPr>
        <w:rPr>
          <w:b/>
          <w:bCs/>
        </w:rPr>
      </w:pPr>
      <w:r w:rsidRPr="00814C88">
        <w:rPr>
          <w:b/>
          <w:bCs/>
        </w:rPr>
        <w:t>Q5. Why are digital twins important as AI validation environments?</w:t>
      </w:r>
    </w:p>
    <w:p w14:paraId="5A31EB4E" w14:textId="77777777" w:rsidR="00814C88" w:rsidRPr="00814C88" w:rsidRDefault="00814C88" w:rsidP="00814C88">
      <w:r w:rsidRPr="00814C88">
        <w:t>Applying AI-generated decisions directly to real operations can be risky. Digital twins provide a testing environment where operational efficiency, safety, and exception-handling capabilities can be evaluated before deployment, reducing the risks associated with AI adoption.</w:t>
      </w:r>
    </w:p>
    <w:p w14:paraId="481CEC19" w14:textId="77777777" w:rsidR="00814C88" w:rsidRPr="00814C88" w:rsidRDefault="00814C88" w:rsidP="00814C88">
      <w:pPr>
        <w:rPr>
          <w:b/>
          <w:bCs/>
        </w:rPr>
      </w:pPr>
      <w:r w:rsidRPr="00814C88">
        <w:rPr>
          <w:b/>
          <w:bCs/>
        </w:rPr>
        <w:t>Q6. What is the key success factor for digital twin implementation?</w:t>
      </w:r>
    </w:p>
    <w:p w14:paraId="189A4FFB" w14:textId="77777777" w:rsidR="00814C88" w:rsidRPr="00814C88" w:rsidRDefault="00814C88" w:rsidP="00814C88">
      <w:r w:rsidRPr="00814C88">
        <w:t>The most critical factor is continuously reducing the Sim-to-Real Gap between the digital twin and real-world operations. Organizations must establish an ongoing feedback loop in which operational outcomes are reflected back into the digital twin to improve its accuracy and effectiveness.</w:t>
      </w:r>
    </w:p>
    <w:p w14:paraId="72FAFBF0" w14:textId="77777777" w:rsidR="00814C88" w:rsidRPr="00814C88" w:rsidRDefault="00814C88" w:rsidP="00814C88">
      <w:pPr>
        <w:rPr>
          <w:b/>
          <w:bCs/>
        </w:rPr>
      </w:pPr>
      <w:r w:rsidRPr="00814C88">
        <w:rPr>
          <w:b/>
          <w:bCs/>
        </w:rPr>
        <w:t>Q7. How should logistics companies view digital twins?</w:t>
      </w:r>
    </w:p>
    <w:p w14:paraId="21A02964" w14:textId="77777777" w:rsidR="00814C88" w:rsidRPr="00814C88" w:rsidRDefault="00814C88" w:rsidP="00814C88">
      <w:r w:rsidRPr="00814C88">
        <w:t>Logistics companies should regard digital twins not as visualization systems, but as strategic investments for building AI-driven competitive advantage. Success should be measured not by the sophistication of visual representations, but by the effectiveness of the environment for AI training and validation.</w:t>
      </w:r>
    </w:p>
    <w:p w14:paraId="186096E8" w14:textId="77777777" w:rsidR="00814C88" w:rsidRPr="00814C88" w:rsidRDefault="00814C88" w:rsidP="00814C88">
      <w:pPr>
        <w:rPr>
          <w:b/>
          <w:bCs/>
        </w:rPr>
      </w:pPr>
      <w:r w:rsidRPr="00814C88">
        <w:rPr>
          <w:b/>
          <w:bCs/>
        </w:rPr>
        <w:t>Digital Twin 2.0 at a Glance</w:t>
      </w:r>
    </w:p>
    <w:tbl>
      <w:tblPr>
        <w:tblW w:w="157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4848"/>
        <w:gridCol w:w="10852"/>
      </w:tblGrid>
      <w:tr w:rsidR="00814C88" w:rsidRPr="00814C88" w14:paraId="6E73D94C" w14:textId="77777777">
        <w:trPr>
          <w:trHeight w:val="611"/>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89F0E3" w14:textId="77777777" w:rsidR="00814C88" w:rsidRPr="00814C88" w:rsidRDefault="00814C88" w:rsidP="00814C88">
            <w:r w:rsidRPr="00814C88">
              <w:rPr>
                <w:b/>
                <w:bCs/>
              </w:rPr>
              <w:t>Category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EB0D8E" w14:textId="77777777" w:rsidR="00814C88" w:rsidRPr="00814C88" w:rsidRDefault="00814C88" w:rsidP="00814C88">
            <w:r w:rsidRPr="00814C88">
              <w:rPr>
                <w:b/>
                <w:bCs/>
              </w:rPr>
              <w:t>Key Insight</w:t>
            </w:r>
          </w:p>
        </w:tc>
      </w:tr>
      <w:tr w:rsidR="00814C88" w:rsidRPr="00814C88" w14:paraId="7376D4A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643B35" w14:textId="77777777" w:rsidR="00814C88" w:rsidRPr="00814C88" w:rsidRDefault="00814C88" w:rsidP="00814C88">
            <w:r w:rsidRPr="00814C88">
              <w:t>Essence of Digital Twin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40512C" w14:textId="77777777" w:rsidR="00814C88" w:rsidRPr="00814C88" w:rsidRDefault="00814C88" w:rsidP="00814C88">
            <w:r w:rsidRPr="00814C88">
              <w:t>Virtual operational environment for AI training and validation</w:t>
            </w:r>
          </w:p>
        </w:tc>
      </w:tr>
      <w:tr w:rsidR="00814C88" w:rsidRPr="00814C88" w14:paraId="40F891E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C827EA" w14:textId="77777777" w:rsidR="00814C88" w:rsidRPr="00814C88" w:rsidRDefault="00814C88" w:rsidP="00814C88">
            <w:r w:rsidRPr="00814C88">
              <w:t>Limitation of Traditional Digital Twins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B00691" w14:textId="77777777" w:rsidR="00814C88" w:rsidRPr="00814C88" w:rsidRDefault="00814C88" w:rsidP="00814C88">
            <w:r w:rsidRPr="00814C88">
              <w:t>Visualization-focused with limited decision-making support</w:t>
            </w:r>
          </w:p>
        </w:tc>
      </w:tr>
      <w:tr w:rsidR="00814C88" w:rsidRPr="00814C88" w14:paraId="1954D49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01878F" w14:textId="77777777" w:rsidR="00814C88" w:rsidRPr="00814C88" w:rsidRDefault="00814C88" w:rsidP="00814C88">
            <w:r w:rsidRPr="00814C88">
              <w:t>Reason for Renewed Interest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BA477A" w14:textId="77777777" w:rsidR="00814C88" w:rsidRPr="00814C88" w:rsidRDefault="00814C88" w:rsidP="00814C88">
            <w:r w:rsidRPr="00814C88">
              <w:t>Expansion of LLMs, Agentic AI, and Physical AI</w:t>
            </w:r>
          </w:p>
        </w:tc>
      </w:tr>
      <w:tr w:rsidR="00814C88" w:rsidRPr="00814C88" w14:paraId="592222E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6C39FC" w14:textId="77777777" w:rsidR="00814C88" w:rsidRPr="00814C88" w:rsidRDefault="00814C88" w:rsidP="00814C88">
            <w:r w:rsidRPr="00814C88">
              <w:t>Common Misconceptions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F95AED" w14:textId="77777777" w:rsidR="00814C88" w:rsidRPr="00814C88" w:rsidRDefault="00814C88" w:rsidP="00814C88">
            <w:r w:rsidRPr="00814C88">
              <w:t>3D visualization technology, simulation extension, or 100% real-time synchronization</w:t>
            </w:r>
          </w:p>
        </w:tc>
      </w:tr>
      <w:tr w:rsidR="00814C88" w:rsidRPr="00814C88" w14:paraId="55864E9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A17B25" w14:textId="77777777" w:rsidR="00814C88" w:rsidRPr="00814C88" w:rsidRDefault="00814C88" w:rsidP="00814C88">
            <w:r w:rsidRPr="00814C88">
              <w:lastRenderedPageBreak/>
              <w:t>Core Role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FDE6A7" w14:textId="77777777" w:rsidR="00814C88" w:rsidRPr="00814C88" w:rsidRDefault="00814C88" w:rsidP="00814C88">
            <w:r w:rsidRPr="00814C88">
              <w:t>Synthetic data generation and AI learning support</w:t>
            </w:r>
          </w:p>
        </w:tc>
      </w:tr>
      <w:tr w:rsidR="00814C88" w:rsidRPr="00814C88" w14:paraId="384B7DC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81B9FE" w14:textId="77777777" w:rsidR="00814C88" w:rsidRPr="00814C88" w:rsidRDefault="00814C88" w:rsidP="00814C88">
            <w:r w:rsidRPr="00814C88">
              <w:t>Primary Learning Method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C91586" w14:textId="77777777" w:rsidR="00814C88" w:rsidRPr="00814C88" w:rsidRDefault="00814C88" w:rsidP="00814C88">
            <w:r w:rsidRPr="00814C88">
              <w:t>Reinforcement Learning</w:t>
            </w:r>
          </w:p>
        </w:tc>
      </w:tr>
      <w:tr w:rsidR="00814C88" w:rsidRPr="00814C88" w14:paraId="70BFB12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2471A3" w14:textId="77777777" w:rsidR="00814C88" w:rsidRPr="00814C88" w:rsidRDefault="00814C88" w:rsidP="00814C88">
            <w:r w:rsidRPr="00814C88">
              <w:t>Validation Scope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286536" w14:textId="77777777" w:rsidR="00814C88" w:rsidRPr="00814C88" w:rsidRDefault="00814C88" w:rsidP="00814C88">
            <w:r w:rsidRPr="00814C88">
              <w:t>Productivity, cost, safety, and generalization performance</w:t>
            </w:r>
          </w:p>
        </w:tc>
      </w:tr>
      <w:tr w:rsidR="00814C88" w:rsidRPr="00814C88" w14:paraId="29B8F75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FB9AD5" w14:textId="77777777" w:rsidR="00814C88" w:rsidRPr="00814C88" w:rsidRDefault="00814C88" w:rsidP="00814C88">
            <w:r w:rsidRPr="00814C88">
              <w:t>Key Challenge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6F8E75" w14:textId="77777777" w:rsidR="00814C88" w:rsidRPr="00814C88" w:rsidRDefault="00814C88" w:rsidP="00814C88">
            <w:r w:rsidRPr="00814C88">
              <w:t>Minimizing the Sim-to-Real Gap</w:t>
            </w:r>
          </w:p>
        </w:tc>
      </w:tr>
      <w:tr w:rsidR="00814C88" w:rsidRPr="00814C88" w14:paraId="4E76C2A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F6BB53" w14:textId="77777777" w:rsidR="00814C88" w:rsidRPr="00814C88" w:rsidRDefault="00814C88" w:rsidP="00814C88">
            <w:r w:rsidRPr="00814C88">
              <w:t>Success Requirement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7D2164" w14:textId="77777777" w:rsidR="00814C88" w:rsidRPr="00814C88" w:rsidRDefault="00814C88" w:rsidP="00814C88">
            <w:r w:rsidRPr="00814C88">
              <w:t>Continuous enhancement and refinement of the digital twin</w:t>
            </w:r>
          </w:p>
        </w:tc>
      </w:tr>
      <w:tr w:rsidR="00814C88" w:rsidRPr="00814C88" w14:paraId="6E5506D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D1786BF" w14:textId="77777777" w:rsidR="00814C88" w:rsidRPr="00814C88" w:rsidRDefault="00814C88" w:rsidP="00814C88">
            <w:r w:rsidRPr="00814C88">
              <w:t>Investment Perspective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9918B0" w14:textId="77777777" w:rsidR="00814C88" w:rsidRPr="00814C88" w:rsidRDefault="00814C88" w:rsidP="00814C88">
            <w:r w:rsidRPr="00814C88">
              <w:t>Securing AI-driven competitive advantage</w:t>
            </w:r>
          </w:p>
        </w:tc>
      </w:tr>
      <w:tr w:rsidR="00814C88" w:rsidRPr="00814C88" w14:paraId="1485555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F3ECA0" w14:textId="77777777" w:rsidR="00814C88" w:rsidRPr="00814C88" w:rsidRDefault="00814C88" w:rsidP="00814C88">
            <w:r w:rsidRPr="00814C88">
              <w:t>Long-Term Transformation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C98878" w14:textId="77777777" w:rsidR="00814C88" w:rsidRPr="00814C88" w:rsidRDefault="00814C88" w:rsidP="00814C88">
            <w:r w:rsidRPr="00814C88">
              <w:t>Expansion of autonomous operations powered by Agentic AI and Physical AI</w:t>
            </w:r>
          </w:p>
        </w:tc>
      </w:tr>
    </w:tbl>
    <w:p w14:paraId="72C6E98A" w14:textId="77777777" w:rsidR="00361248" w:rsidRPr="00814C88" w:rsidRDefault="00361248" w:rsidP="00814C88">
      <w:pPr>
        <w:rPr>
          <w:rFonts w:hint="eastAsia"/>
        </w:rPr>
      </w:pPr>
    </w:p>
    <w:sectPr w:rsidR="00361248" w:rsidRPr="00814C8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21E7" w14:textId="77777777" w:rsidR="003942CB" w:rsidRDefault="003942CB" w:rsidP="00D57152">
      <w:r>
        <w:separator/>
      </w:r>
    </w:p>
  </w:endnote>
  <w:endnote w:type="continuationSeparator" w:id="0">
    <w:p w14:paraId="2FBF0E5B" w14:textId="77777777" w:rsidR="003942CB" w:rsidRDefault="003942CB" w:rsidP="00D5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7C285" w14:textId="77777777" w:rsidR="003942CB" w:rsidRDefault="003942CB" w:rsidP="00D57152">
      <w:r>
        <w:separator/>
      </w:r>
    </w:p>
  </w:footnote>
  <w:footnote w:type="continuationSeparator" w:id="0">
    <w:p w14:paraId="4EAA7744" w14:textId="77777777" w:rsidR="003942CB" w:rsidRDefault="003942CB" w:rsidP="00D571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B9C"/>
    <w:multiLevelType w:val="multilevel"/>
    <w:tmpl w:val="A7B8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52F43"/>
    <w:multiLevelType w:val="multilevel"/>
    <w:tmpl w:val="A14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783293">
    <w:abstractNumId w:val="0"/>
  </w:num>
  <w:num w:numId="2" w16cid:durableId="1099374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5C7"/>
    <w:rsid w:val="00082E99"/>
    <w:rsid w:val="0011165E"/>
    <w:rsid w:val="00293957"/>
    <w:rsid w:val="003512F2"/>
    <w:rsid w:val="00351B90"/>
    <w:rsid w:val="00361248"/>
    <w:rsid w:val="003942CB"/>
    <w:rsid w:val="00396897"/>
    <w:rsid w:val="004155C7"/>
    <w:rsid w:val="007A0CB1"/>
    <w:rsid w:val="007E4A29"/>
    <w:rsid w:val="007F5086"/>
    <w:rsid w:val="00814C88"/>
    <w:rsid w:val="00A65485"/>
    <w:rsid w:val="00B022A8"/>
    <w:rsid w:val="00B46079"/>
    <w:rsid w:val="00D57152"/>
    <w:rsid w:val="00DE4AB5"/>
    <w:rsid w:val="00E233A3"/>
    <w:rsid w:val="00E416A2"/>
    <w:rsid w:val="00E756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AA866"/>
  <w15:chartTrackingRefBased/>
  <w15:docId w15:val="{92EE16A5-9057-4A87-A8EC-5194E145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5C7"/>
    <w:pPr>
      <w:spacing w:after="0" w:line="240" w:lineRule="auto"/>
      <w:jc w:val="left"/>
    </w:pPr>
    <w:rPr>
      <w:rFonts w:ascii="굴림" w:eastAsia="굴림" w:hAnsi="굴림" w:cs="굴림"/>
      <w:kern w:val="0"/>
      <w:sz w:val="24"/>
      <w:szCs w:val="24"/>
    </w:rPr>
  </w:style>
  <w:style w:type="paragraph" w:styleId="1">
    <w:name w:val="heading 1"/>
    <w:basedOn w:val="a"/>
    <w:next w:val="a"/>
    <w:link w:val="1Char"/>
    <w:uiPriority w:val="9"/>
    <w:qFormat/>
    <w:rsid w:val="004155C7"/>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4155C7"/>
    <w:pPr>
      <w:spacing w:before="100" w:beforeAutospacing="1" w:after="100" w:afterAutospacing="1"/>
      <w:outlineLvl w:val="1"/>
    </w:pPr>
    <w:rPr>
      <w:b/>
      <w:bCs/>
      <w:sz w:val="36"/>
      <w:szCs w:val="36"/>
    </w:rPr>
  </w:style>
  <w:style w:type="paragraph" w:styleId="3">
    <w:name w:val="heading 3"/>
    <w:basedOn w:val="a"/>
    <w:link w:val="3Char"/>
    <w:uiPriority w:val="9"/>
    <w:qFormat/>
    <w:rsid w:val="004155C7"/>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4155C7"/>
    <w:rPr>
      <w:rFonts w:ascii="굴림" w:eastAsia="굴림" w:hAnsi="굴림" w:cs="굴림"/>
      <w:b/>
      <w:bCs/>
      <w:kern w:val="0"/>
      <w:sz w:val="36"/>
      <w:szCs w:val="36"/>
    </w:rPr>
  </w:style>
  <w:style w:type="character" w:customStyle="1" w:styleId="3Char">
    <w:name w:val="제목 3 Char"/>
    <w:basedOn w:val="a0"/>
    <w:link w:val="3"/>
    <w:uiPriority w:val="9"/>
    <w:rsid w:val="004155C7"/>
    <w:rPr>
      <w:rFonts w:ascii="굴림" w:eastAsia="굴림" w:hAnsi="굴림" w:cs="굴림"/>
      <w:b/>
      <w:bCs/>
      <w:kern w:val="0"/>
      <w:sz w:val="27"/>
      <w:szCs w:val="27"/>
    </w:rPr>
  </w:style>
  <w:style w:type="paragraph" w:customStyle="1" w:styleId="detail-body-txt">
    <w:name w:val="detail-body-txt"/>
    <w:basedOn w:val="a"/>
    <w:rsid w:val="004155C7"/>
    <w:pPr>
      <w:spacing w:before="100" w:beforeAutospacing="1" w:after="100" w:afterAutospacing="1"/>
    </w:pPr>
  </w:style>
  <w:style w:type="character" w:customStyle="1" w:styleId="q-mark">
    <w:name w:val="q-mark"/>
    <w:basedOn w:val="a0"/>
    <w:rsid w:val="004155C7"/>
  </w:style>
  <w:style w:type="paragraph" w:styleId="a3">
    <w:name w:val="Normal (Web)"/>
    <w:basedOn w:val="a"/>
    <w:uiPriority w:val="99"/>
    <w:unhideWhenUsed/>
    <w:rsid w:val="004155C7"/>
    <w:pPr>
      <w:spacing w:before="100" w:beforeAutospacing="1" w:after="100" w:afterAutospacing="1"/>
    </w:pPr>
  </w:style>
  <w:style w:type="character" w:styleId="a4">
    <w:name w:val="Strong"/>
    <w:basedOn w:val="a0"/>
    <w:uiPriority w:val="22"/>
    <w:qFormat/>
    <w:rsid w:val="004155C7"/>
    <w:rPr>
      <w:b/>
      <w:bCs/>
    </w:rPr>
  </w:style>
  <w:style w:type="character" w:customStyle="1" w:styleId="1Char">
    <w:name w:val="제목 1 Char"/>
    <w:basedOn w:val="a0"/>
    <w:link w:val="1"/>
    <w:uiPriority w:val="9"/>
    <w:rsid w:val="004155C7"/>
    <w:rPr>
      <w:rFonts w:asciiTheme="majorHAnsi" w:eastAsiaTheme="majorEastAsia" w:hAnsiTheme="majorHAnsi" w:cstheme="majorBidi"/>
      <w:kern w:val="0"/>
      <w:sz w:val="28"/>
      <w:szCs w:val="28"/>
    </w:rPr>
  </w:style>
  <w:style w:type="paragraph" w:styleId="a5">
    <w:name w:val="List Paragraph"/>
    <w:basedOn w:val="a"/>
    <w:uiPriority w:val="34"/>
    <w:qFormat/>
    <w:rsid w:val="00E233A3"/>
    <w:pPr>
      <w:ind w:leftChars="400" w:left="800"/>
    </w:pPr>
  </w:style>
  <w:style w:type="paragraph" w:styleId="a6">
    <w:name w:val="Balloon Text"/>
    <w:basedOn w:val="a"/>
    <w:link w:val="Char"/>
    <w:uiPriority w:val="99"/>
    <w:semiHidden/>
    <w:unhideWhenUsed/>
    <w:rsid w:val="00E756AD"/>
    <w:rPr>
      <w:rFonts w:asciiTheme="majorHAnsi" w:eastAsiaTheme="majorEastAsia" w:hAnsiTheme="majorHAnsi" w:cstheme="majorBidi"/>
      <w:sz w:val="18"/>
      <w:szCs w:val="18"/>
    </w:rPr>
  </w:style>
  <w:style w:type="character" w:customStyle="1" w:styleId="Char">
    <w:name w:val="풍선 도움말 텍스트 Char"/>
    <w:basedOn w:val="a0"/>
    <w:link w:val="a6"/>
    <w:uiPriority w:val="99"/>
    <w:semiHidden/>
    <w:rsid w:val="00E756AD"/>
    <w:rPr>
      <w:rFonts w:asciiTheme="majorHAnsi" w:eastAsiaTheme="majorEastAsia" w:hAnsiTheme="majorHAnsi" w:cstheme="majorBidi"/>
      <w:kern w:val="0"/>
      <w:sz w:val="18"/>
      <w:szCs w:val="18"/>
    </w:rPr>
  </w:style>
  <w:style w:type="paragraph" w:styleId="a7">
    <w:name w:val="header"/>
    <w:basedOn w:val="a"/>
    <w:link w:val="Char0"/>
    <w:uiPriority w:val="99"/>
    <w:unhideWhenUsed/>
    <w:rsid w:val="00D57152"/>
    <w:pPr>
      <w:tabs>
        <w:tab w:val="center" w:pos="4680"/>
        <w:tab w:val="right" w:pos="9360"/>
      </w:tabs>
    </w:pPr>
  </w:style>
  <w:style w:type="character" w:customStyle="1" w:styleId="Char0">
    <w:name w:val="머리글 Char"/>
    <w:basedOn w:val="a0"/>
    <w:link w:val="a7"/>
    <w:uiPriority w:val="99"/>
    <w:rsid w:val="00D57152"/>
    <w:rPr>
      <w:rFonts w:ascii="굴림" w:eastAsia="굴림" w:hAnsi="굴림" w:cs="굴림"/>
      <w:kern w:val="0"/>
      <w:sz w:val="24"/>
      <w:szCs w:val="24"/>
    </w:rPr>
  </w:style>
  <w:style w:type="paragraph" w:styleId="a8">
    <w:name w:val="footer"/>
    <w:basedOn w:val="a"/>
    <w:link w:val="Char1"/>
    <w:uiPriority w:val="99"/>
    <w:unhideWhenUsed/>
    <w:rsid w:val="00D57152"/>
    <w:pPr>
      <w:tabs>
        <w:tab w:val="center" w:pos="4680"/>
        <w:tab w:val="right" w:pos="9360"/>
      </w:tabs>
    </w:pPr>
  </w:style>
  <w:style w:type="character" w:customStyle="1" w:styleId="Char1">
    <w:name w:val="바닥글 Char"/>
    <w:basedOn w:val="a0"/>
    <w:link w:val="a8"/>
    <w:uiPriority w:val="99"/>
    <w:rsid w:val="00D57152"/>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97">
      <w:bodyDiv w:val="1"/>
      <w:marLeft w:val="0"/>
      <w:marRight w:val="0"/>
      <w:marTop w:val="0"/>
      <w:marBottom w:val="0"/>
      <w:divBdr>
        <w:top w:val="none" w:sz="0" w:space="0" w:color="auto"/>
        <w:left w:val="none" w:sz="0" w:space="0" w:color="auto"/>
        <w:bottom w:val="none" w:sz="0" w:space="0" w:color="auto"/>
        <w:right w:val="none" w:sz="0" w:space="0" w:color="auto"/>
      </w:divBdr>
    </w:div>
    <w:div w:id="33773481">
      <w:bodyDiv w:val="1"/>
      <w:marLeft w:val="0"/>
      <w:marRight w:val="0"/>
      <w:marTop w:val="0"/>
      <w:marBottom w:val="0"/>
      <w:divBdr>
        <w:top w:val="none" w:sz="0" w:space="0" w:color="auto"/>
        <w:left w:val="none" w:sz="0" w:space="0" w:color="auto"/>
        <w:bottom w:val="none" w:sz="0" w:space="0" w:color="auto"/>
        <w:right w:val="none" w:sz="0" w:space="0" w:color="auto"/>
      </w:divBdr>
      <w:divsChild>
        <w:div w:id="1150051775">
          <w:marLeft w:val="0"/>
          <w:marRight w:val="0"/>
          <w:marTop w:val="0"/>
          <w:marBottom w:val="0"/>
          <w:divBdr>
            <w:top w:val="none" w:sz="0" w:space="0" w:color="auto"/>
            <w:left w:val="none" w:sz="0" w:space="0" w:color="auto"/>
            <w:bottom w:val="none" w:sz="0" w:space="0" w:color="auto"/>
            <w:right w:val="none" w:sz="0" w:space="0" w:color="auto"/>
          </w:divBdr>
          <w:divsChild>
            <w:div w:id="1352805798">
              <w:marLeft w:val="0"/>
              <w:marRight w:val="0"/>
              <w:marTop w:val="0"/>
              <w:marBottom w:val="0"/>
              <w:divBdr>
                <w:top w:val="none" w:sz="0" w:space="0" w:color="auto"/>
                <w:left w:val="none" w:sz="0" w:space="0" w:color="auto"/>
                <w:bottom w:val="none" w:sz="0" w:space="0" w:color="auto"/>
                <w:right w:val="none" w:sz="0" w:space="0" w:color="auto"/>
              </w:divBdr>
              <w:divsChild>
                <w:div w:id="185102960">
                  <w:marLeft w:val="0"/>
                  <w:marRight w:val="0"/>
                  <w:marTop w:val="0"/>
                  <w:marBottom w:val="0"/>
                  <w:divBdr>
                    <w:top w:val="none" w:sz="0" w:space="0" w:color="auto"/>
                    <w:left w:val="none" w:sz="0" w:space="0" w:color="auto"/>
                    <w:bottom w:val="none" w:sz="0" w:space="0" w:color="auto"/>
                    <w:right w:val="none" w:sz="0" w:space="0" w:color="auto"/>
                  </w:divBdr>
                  <w:divsChild>
                    <w:div w:id="1337611597">
                      <w:marLeft w:val="0"/>
                      <w:marRight w:val="0"/>
                      <w:marTop w:val="0"/>
                      <w:marBottom w:val="0"/>
                      <w:divBdr>
                        <w:top w:val="none" w:sz="0" w:space="0" w:color="auto"/>
                        <w:left w:val="none" w:sz="0" w:space="0" w:color="auto"/>
                        <w:bottom w:val="none" w:sz="0" w:space="0" w:color="auto"/>
                        <w:right w:val="none" w:sz="0" w:space="0" w:color="auto"/>
                      </w:divBdr>
                      <w:divsChild>
                        <w:div w:id="810639872">
                          <w:marLeft w:val="0"/>
                          <w:marRight w:val="0"/>
                          <w:marTop w:val="0"/>
                          <w:marBottom w:val="0"/>
                          <w:divBdr>
                            <w:top w:val="none" w:sz="0" w:space="0" w:color="auto"/>
                            <w:left w:val="none" w:sz="0" w:space="0" w:color="auto"/>
                            <w:bottom w:val="none" w:sz="0" w:space="0" w:color="auto"/>
                            <w:right w:val="none" w:sz="0" w:space="0" w:color="auto"/>
                          </w:divBdr>
                          <w:divsChild>
                            <w:div w:id="425617223">
                              <w:marLeft w:val="0"/>
                              <w:marRight w:val="0"/>
                              <w:marTop w:val="0"/>
                              <w:marBottom w:val="0"/>
                              <w:divBdr>
                                <w:top w:val="none" w:sz="0" w:space="0" w:color="auto"/>
                                <w:left w:val="none" w:sz="0" w:space="0" w:color="auto"/>
                                <w:bottom w:val="none" w:sz="0" w:space="0" w:color="auto"/>
                                <w:right w:val="none" w:sz="0" w:space="0" w:color="auto"/>
                              </w:divBdr>
                              <w:divsChild>
                                <w:div w:id="1067654900">
                                  <w:marLeft w:val="0"/>
                                  <w:marRight w:val="0"/>
                                  <w:marTop w:val="0"/>
                                  <w:marBottom w:val="0"/>
                                  <w:divBdr>
                                    <w:top w:val="none" w:sz="0" w:space="0" w:color="auto"/>
                                    <w:left w:val="none" w:sz="0" w:space="0" w:color="auto"/>
                                    <w:bottom w:val="none" w:sz="0" w:space="0" w:color="auto"/>
                                    <w:right w:val="none" w:sz="0" w:space="0" w:color="auto"/>
                                  </w:divBdr>
                                  <w:divsChild>
                                    <w:div w:id="18237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572">
      <w:bodyDiv w:val="1"/>
      <w:marLeft w:val="0"/>
      <w:marRight w:val="0"/>
      <w:marTop w:val="0"/>
      <w:marBottom w:val="0"/>
      <w:divBdr>
        <w:top w:val="none" w:sz="0" w:space="0" w:color="auto"/>
        <w:left w:val="none" w:sz="0" w:space="0" w:color="auto"/>
        <w:bottom w:val="none" w:sz="0" w:space="0" w:color="auto"/>
        <w:right w:val="none" w:sz="0" w:space="0" w:color="auto"/>
      </w:divBdr>
    </w:div>
    <w:div w:id="541593684">
      <w:bodyDiv w:val="1"/>
      <w:marLeft w:val="0"/>
      <w:marRight w:val="0"/>
      <w:marTop w:val="0"/>
      <w:marBottom w:val="0"/>
      <w:divBdr>
        <w:top w:val="none" w:sz="0" w:space="0" w:color="auto"/>
        <w:left w:val="none" w:sz="0" w:space="0" w:color="auto"/>
        <w:bottom w:val="none" w:sz="0" w:space="0" w:color="auto"/>
        <w:right w:val="none" w:sz="0" w:space="0" w:color="auto"/>
      </w:divBdr>
    </w:div>
    <w:div w:id="558593246">
      <w:bodyDiv w:val="1"/>
      <w:marLeft w:val="0"/>
      <w:marRight w:val="0"/>
      <w:marTop w:val="0"/>
      <w:marBottom w:val="0"/>
      <w:divBdr>
        <w:top w:val="none" w:sz="0" w:space="0" w:color="auto"/>
        <w:left w:val="none" w:sz="0" w:space="0" w:color="auto"/>
        <w:bottom w:val="none" w:sz="0" w:space="0" w:color="auto"/>
        <w:right w:val="none" w:sz="0" w:space="0" w:color="auto"/>
      </w:divBdr>
    </w:div>
    <w:div w:id="787892277">
      <w:bodyDiv w:val="1"/>
      <w:marLeft w:val="0"/>
      <w:marRight w:val="0"/>
      <w:marTop w:val="0"/>
      <w:marBottom w:val="0"/>
      <w:divBdr>
        <w:top w:val="none" w:sz="0" w:space="0" w:color="auto"/>
        <w:left w:val="none" w:sz="0" w:space="0" w:color="auto"/>
        <w:bottom w:val="none" w:sz="0" w:space="0" w:color="auto"/>
        <w:right w:val="none" w:sz="0" w:space="0" w:color="auto"/>
      </w:divBdr>
    </w:div>
    <w:div w:id="843282500">
      <w:bodyDiv w:val="1"/>
      <w:marLeft w:val="0"/>
      <w:marRight w:val="0"/>
      <w:marTop w:val="0"/>
      <w:marBottom w:val="0"/>
      <w:divBdr>
        <w:top w:val="none" w:sz="0" w:space="0" w:color="auto"/>
        <w:left w:val="none" w:sz="0" w:space="0" w:color="auto"/>
        <w:bottom w:val="none" w:sz="0" w:space="0" w:color="auto"/>
        <w:right w:val="none" w:sz="0" w:space="0" w:color="auto"/>
      </w:divBdr>
    </w:div>
    <w:div w:id="961226912">
      <w:bodyDiv w:val="1"/>
      <w:marLeft w:val="0"/>
      <w:marRight w:val="0"/>
      <w:marTop w:val="0"/>
      <w:marBottom w:val="0"/>
      <w:divBdr>
        <w:top w:val="none" w:sz="0" w:space="0" w:color="auto"/>
        <w:left w:val="none" w:sz="0" w:space="0" w:color="auto"/>
        <w:bottom w:val="none" w:sz="0" w:space="0" w:color="auto"/>
        <w:right w:val="none" w:sz="0" w:space="0" w:color="auto"/>
      </w:divBdr>
    </w:div>
    <w:div w:id="1016688579">
      <w:bodyDiv w:val="1"/>
      <w:marLeft w:val="0"/>
      <w:marRight w:val="0"/>
      <w:marTop w:val="0"/>
      <w:marBottom w:val="0"/>
      <w:divBdr>
        <w:top w:val="none" w:sz="0" w:space="0" w:color="auto"/>
        <w:left w:val="none" w:sz="0" w:space="0" w:color="auto"/>
        <w:bottom w:val="none" w:sz="0" w:space="0" w:color="auto"/>
        <w:right w:val="none" w:sz="0" w:space="0" w:color="auto"/>
      </w:divBdr>
    </w:div>
    <w:div w:id="1026490404">
      <w:bodyDiv w:val="1"/>
      <w:marLeft w:val="0"/>
      <w:marRight w:val="0"/>
      <w:marTop w:val="0"/>
      <w:marBottom w:val="0"/>
      <w:divBdr>
        <w:top w:val="none" w:sz="0" w:space="0" w:color="auto"/>
        <w:left w:val="none" w:sz="0" w:space="0" w:color="auto"/>
        <w:bottom w:val="none" w:sz="0" w:space="0" w:color="auto"/>
        <w:right w:val="none" w:sz="0" w:space="0" w:color="auto"/>
      </w:divBdr>
    </w:div>
    <w:div w:id="1305085074">
      <w:bodyDiv w:val="1"/>
      <w:marLeft w:val="0"/>
      <w:marRight w:val="0"/>
      <w:marTop w:val="0"/>
      <w:marBottom w:val="0"/>
      <w:divBdr>
        <w:top w:val="none" w:sz="0" w:space="0" w:color="auto"/>
        <w:left w:val="none" w:sz="0" w:space="0" w:color="auto"/>
        <w:bottom w:val="none" w:sz="0" w:space="0" w:color="auto"/>
        <w:right w:val="none" w:sz="0" w:space="0" w:color="auto"/>
      </w:divBdr>
    </w:div>
    <w:div w:id="1366909056">
      <w:bodyDiv w:val="1"/>
      <w:marLeft w:val="0"/>
      <w:marRight w:val="0"/>
      <w:marTop w:val="0"/>
      <w:marBottom w:val="0"/>
      <w:divBdr>
        <w:top w:val="none" w:sz="0" w:space="0" w:color="auto"/>
        <w:left w:val="none" w:sz="0" w:space="0" w:color="auto"/>
        <w:bottom w:val="none" w:sz="0" w:space="0" w:color="auto"/>
        <w:right w:val="none" w:sz="0" w:space="0" w:color="auto"/>
      </w:divBdr>
    </w:div>
    <w:div w:id="1570727789">
      <w:bodyDiv w:val="1"/>
      <w:marLeft w:val="0"/>
      <w:marRight w:val="0"/>
      <w:marTop w:val="0"/>
      <w:marBottom w:val="0"/>
      <w:divBdr>
        <w:top w:val="none" w:sz="0" w:space="0" w:color="auto"/>
        <w:left w:val="none" w:sz="0" w:space="0" w:color="auto"/>
        <w:bottom w:val="none" w:sz="0" w:space="0" w:color="auto"/>
        <w:right w:val="none" w:sz="0" w:space="0" w:color="auto"/>
      </w:divBdr>
      <w:divsChild>
        <w:div w:id="942878952">
          <w:marLeft w:val="0"/>
          <w:marRight w:val="0"/>
          <w:marTop w:val="0"/>
          <w:marBottom w:val="0"/>
          <w:divBdr>
            <w:top w:val="none" w:sz="0" w:space="0" w:color="auto"/>
            <w:left w:val="none" w:sz="0" w:space="0" w:color="auto"/>
            <w:bottom w:val="none" w:sz="0" w:space="0" w:color="auto"/>
            <w:right w:val="none" w:sz="0" w:space="0" w:color="auto"/>
          </w:divBdr>
          <w:divsChild>
            <w:div w:id="17918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6502">
      <w:bodyDiv w:val="1"/>
      <w:marLeft w:val="0"/>
      <w:marRight w:val="0"/>
      <w:marTop w:val="0"/>
      <w:marBottom w:val="0"/>
      <w:divBdr>
        <w:top w:val="none" w:sz="0" w:space="0" w:color="auto"/>
        <w:left w:val="none" w:sz="0" w:space="0" w:color="auto"/>
        <w:bottom w:val="none" w:sz="0" w:space="0" w:color="auto"/>
        <w:right w:val="none" w:sz="0" w:space="0" w:color="auto"/>
      </w:divBdr>
    </w:div>
    <w:div w:id="1840463780">
      <w:bodyDiv w:val="1"/>
      <w:marLeft w:val="0"/>
      <w:marRight w:val="0"/>
      <w:marTop w:val="0"/>
      <w:marBottom w:val="0"/>
      <w:divBdr>
        <w:top w:val="none" w:sz="0" w:space="0" w:color="auto"/>
        <w:left w:val="none" w:sz="0" w:space="0" w:color="auto"/>
        <w:bottom w:val="none" w:sz="0" w:space="0" w:color="auto"/>
        <w:right w:val="none" w:sz="0" w:space="0" w:color="auto"/>
      </w:divBdr>
    </w:div>
    <w:div w:id="1906186589">
      <w:bodyDiv w:val="1"/>
      <w:marLeft w:val="0"/>
      <w:marRight w:val="0"/>
      <w:marTop w:val="0"/>
      <w:marBottom w:val="0"/>
      <w:divBdr>
        <w:top w:val="none" w:sz="0" w:space="0" w:color="auto"/>
        <w:left w:val="none" w:sz="0" w:space="0" w:color="auto"/>
        <w:bottom w:val="none" w:sz="0" w:space="0" w:color="auto"/>
        <w:right w:val="none" w:sz="0" w:space="0" w:color="auto"/>
      </w:divBdr>
    </w:div>
    <w:div w:id="2027167114">
      <w:bodyDiv w:val="1"/>
      <w:marLeft w:val="0"/>
      <w:marRight w:val="0"/>
      <w:marTop w:val="0"/>
      <w:marBottom w:val="0"/>
      <w:divBdr>
        <w:top w:val="none" w:sz="0" w:space="0" w:color="auto"/>
        <w:left w:val="none" w:sz="0" w:space="0" w:color="auto"/>
        <w:bottom w:val="none" w:sz="0" w:space="0" w:color="auto"/>
        <w:right w:val="none" w:sz="0" w:space="0" w:color="auto"/>
      </w:divBdr>
    </w:div>
    <w:div w:id="204632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Pages>
  <Words>1622</Words>
  <Characters>9251</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Heesoon Park</cp:lastModifiedBy>
  <cp:revision>10</cp:revision>
  <dcterms:created xsi:type="dcterms:W3CDTF">2026-05-13T00:49:00Z</dcterms:created>
  <dcterms:modified xsi:type="dcterms:W3CDTF">2026-06-11T06:50:00Z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99A51D6414D5A41A3DD032BA10F38D99283DD3D3362F1C063E3343E94263DF47C0A4C2D0B46D0AE090A66FD5170DB1DCFA5A668CCE932B2610A4F92A2014C446</vt:lpwstr>
  </property>
</Properties>
</file>