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333" w:rsidRDefault="00661333" w:rsidP="004F4BDA">
      <w:pPr>
        <w:rPr>
          <w:b/>
        </w:rPr>
      </w:pPr>
      <w:r w:rsidRPr="00661333">
        <w:rPr>
          <w:b/>
        </w:rPr>
        <w:t>Biopharmaceutical Logistics 101</w:t>
      </w:r>
      <w:r w:rsidRPr="00661333">
        <w:rPr>
          <w:rFonts w:hint="eastAsia"/>
          <w:b/>
        </w:rPr>
        <w:t xml:space="preserve"> </w:t>
      </w:r>
    </w:p>
    <w:p w:rsidR="004F4BDA" w:rsidRDefault="00661333" w:rsidP="004F4BDA">
      <w:r w:rsidRPr="00661333">
        <w:t>From temperature control to real-world transportation and warehouse operation cases</w:t>
      </w:r>
    </w:p>
    <w:p w:rsidR="00661333" w:rsidRDefault="00661333" w:rsidP="00A947AC">
      <w:pPr>
        <w:rPr>
          <w:b/>
        </w:rPr>
      </w:pPr>
      <w:r w:rsidRPr="00661333">
        <w:rPr>
          <w:b/>
        </w:rPr>
        <w:t>Biopharmaceutical Cold Chain and Logistics Operation Strategy</w:t>
      </w:r>
      <w:r w:rsidRPr="00661333">
        <w:rPr>
          <w:rFonts w:hint="eastAsia"/>
          <w:b/>
        </w:rPr>
        <w:t xml:space="preserve"> </w:t>
      </w:r>
    </w:p>
    <w:p w:rsidR="00661333" w:rsidRDefault="00661333" w:rsidP="00661333">
      <w:r>
        <w:t>Biopharmaceuticals are medicines made from materials derived from humans or other living organisms. Because they are sensitive to temperature, humidity, light, shock, and microbial contamination, they require more precise logistics management than general cargo. Product-specific storage and distribution conditions must be maintained across production, transportation, warehousing, and delivery.</w:t>
      </w:r>
    </w:p>
    <w:p w:rsidR="00661333" w:rsidRDefault="00661333" w:rsidP="00661333">
      <w:r>
        <w:t>This white paper explains the definition and logistics characteristics of biopharmaceuticals and explores key challenges and solutions through case studies on frozen plasma ocean transport, cryogenic sample air transport, and biopharmaceutical warehouse operation.</w:t>
      </w:r>
      <w:r>
        <w:rPr>
          <w:rFonts w:hint="eastAsia"/>
        </w:rPr>
        <w:t xml:space="preserve"> </w:t>
      </w:r>
    </w:p>
    <w:p w:rsidR="004F4BDA" w:rsidRDefault="00661333" w:rsidP="004F4BDA">
      <w:r>
        <w:t>Publication : June</w:t>
      </w:r>
      <w:r w:rsidRPr="00661333">
        <w:t xml:space="preserve"> </w:t>
      </w:r>
      <w:r>
        <w:t>O</w:t>
      </w:r>
      <w:r w:rsidRPr="00661333">
        <w:t>, 2026</w:t>
      </w:r>
    </w:p>
    <w:p w:rsidR="00661333" w:rsidRDefault="00661333" w:rsidP="004F4BDA">
      <w:pPr>
        <w:rPr>
          <w:rFonts w:ascii="맑은 고딕" w:hAnsi="맑은 고딕" w:cs="맑은 고딕"/>
        </w:rPr>
      </w:pPr>
    </w:p>
    <w:p w:rsidR="004F4BDA" w:rsidRDefault="004F4BDA" w:rsidP="004F4BDA">
      <w:pPr>
        <w:rPr>
          <w:rFonts w:ascii="맑은 고딕" w:hAnsi="맑은 고딕" w:cs="맑은 고딕"/>
        </w:rPr>
      </w:pPr>
      <w:r>
        <w:rPr>
          <w:rFonts w:ascii="맑은 고딕" w:hAnsi="맑은 고딕" w:cs="맑은 고딕" w:hint="eastAsia"/>
        </w:rPr>
        <w:t>저자 배너</w:t>
      </w:r>
    </w:p>
    <w:p w:rsidR="004F4BDA" w:rsidRDefault="004F4BDA" w:rsidP="004F4BDA">
      <w:pPr>
        <w:rPr>
          <w:rFonts w:ascii="맑은 고딕" w:hAnsi="맑은 고딕" w:cs="맑은 고딕"/>
        </w:rPr>
      </w:pPr>
    </w:p>
    <w:p w:rsidR="00661333" w:rsidRDefault="00661333" w:rsidP="005C659F">
      <w:pPr>
        <w:rPr>
          <w:rFonts w:ascii="맑은 고딕" w:hAnsi="맑은 고딕" w:cs="맑은 고딕"/>
          <w:b/>
        </w:rPr>
      </w:pPr>
      <w:r w:rsidRPr="00661333">
        <w:rPr>
          <w:rFonts w:ascii="맑은 고딕" w:hAnsi="맑은 고딕" w:cs="맑은 고딕"/>
          <w:b/>
        </w:rPr>
        <w:t>Key Concepts</w:t>
      </w:r>
      <w:r w:rsidRPr="00661333">
        <w:rPr>
          <w:rFonts w:ascii="맑은 고딕" w:hAnsi="맑은 고딕" w:cs="맑은 고딕" w:hint="eastAsia"/>
          <w:b/>
        </w:rPr>
        <w:t xml:space="preserve"> </w:t>
      </w:r>
    </w:p>
    <w:p w:rsidR="00661333" w:rsidRPr="00661333" w:rsidRDefault="00661333" w:rsidP="00661333">
      <w:pPr>
        <w:rPr>
          <w:rFonts w:ascii="맑은 고딕" w:hAnsi="맑은 고딕" w:cs="맑은 고딕"/>
        </w:rPr>
      </w:pPr>
      <w:r w:rsidRPr="00661333">
        <w:rPr>
          <w:rFonts w:ascii="맑은 고딕" w:hAnsi="맑은 고딕" w:cs="맑은 고딕"/>
        </w:rPr>
        <w:t>Biopharmaceuticals</w:t>
      </w:r>
    </w:p>
    <w:p w:rsidR="00661333" w:rsidRPr="00661333" w:rsidRDefault="00661333" w:rsidP="00661333">
      <w:pPr>
        <w:rPr>
          <w:rFonts w:ascii="맑은 고딕" w:hAnsi="맑은 고딕" w:cs="맑은 고딕"/>
        </w:rPr>
      </w:pPr>
      <w:r w:rsidRPr="00661333">
        <w:rPr>
          <w:rFonts w:ascii="맑은 고딕" w:hAnsi="맑은 고딕" w:cs="맑은 고딕"/>
        </w:rPr>
        <w:t>Biopharmaceuticals are medicines made using biotechnology and raw materials derived from humans or other living organisms, such as proteins, cells, and genes. Vaccines, insulin, antibody drugs, cell therapies, and gene therapies are examples of biopharmaceuticals.</w:t>
      </w:r>
    </w:p>
    <w:p w:rsidR="00661333" w:rsidRPr="00661333" w:rsidRDefault="00661333" w:rsidP="00661333">
      <w:pPr>
        <w:rPr>
          <w:rFonts w:ascii="맑은 고딕" w:hAnsi="맑은 고딕" w:cs="맑은 고딕"/>
        </w:rPr>
      </w:pPr>
      <w:r w:rsidRPr="00661333">
        <w:rPr>
          <w:rFonts w:ascii="맑은 고딕" w:hAnsi="맑은 고딕" w:cs="맑은 고딕"/>
        </w:rPr>
        <w:t>Synthetic Pharmaceuticals</w:t>
      </w:r>
    </w:p>
    <w:p w:rsidR="00661333" w:rsidRPr="00661333" w:rsidRDefault="00661333" w:rsidP="00661333">
      <w:pPr>
        <w:rPr>
          <w:rFonts w:ascii="맑은 고딕" w:hAnsi="맑은 고딕" w:cs="맑은 고딕"/>
        </w:rPr>
      </w:pPr>
      <w:r w:rsidRPr="00661333">
        <w:rPr>
          <w:rFonts w:ascii="맑은 고딕" w:hAnsi="맑은 고딕" w:cs="맑은 고딕"/>
        </w:rPr>
        <w:t>Synthetic pharmaceuticals are drugs manufactured through chemical synthesis. They generally have smaller molecular structures and are relatively stable against environmental changes such as temperature and light. Common medicines such as painkillers and drugs for high blood pressure are often synthetic pharmaceuticals.</w:t>
      </w:r>
    </w:p>
    <w:p w:rsidR="00661333" w:rsidRPr="00661333" w:rsidRDefault="00661333" w:rsidP="00661333">
      <w:pPr>
        <w:rPr>
          <w:rFonts w:ascii="맑은 고딕" w:hAnsi="맑은 고딕" w:cs="맑은 고딕"/>
        </w:rPr>
      </w:pPr>
      <w:r w:rsidRPr="00661333">
        <w:rPr>
          <w:rFonts w:ascii="맑은 고딕" w:hAnsi="맑은 고딕" w:cs="맑은 고딕"/>
        </w:rPr>
        <w:t>Biopharmaceutical Cold Chain</w:t>
      </w:r>
    </w:p>
    <w:p w:rsidR="00661333" w:rsidRPr="00661333" w:rsidRDefault="00661333" w:rsidP="00661333">
      <w:pPr>
        <w:rPr>
          <w:rFonts w:ascii="맑은 고딕" w:hAnsi="맑은 고딕" w:cs="맑은 고딕"/>
        </w:rPr>
      </w:pPr>
      <w:r w:rsidRPr="00661333">
        <w:rPr>
          <w:rFonts w:ascii="맑은 고딕" w:hAnsi="맑은 고딕" w:cs="맑은 고딕"/>
        </w:rPr>
        <w:t>A biopharmaceutical cold chain is a logistics system that maintains required temperature and environmental conditions throughout production, shipment, transportation, storage, distribution, and administration. Biopharmaceuticals require control not only of temperature, but also of humidity, shock, light exposure, and contamination risk.</w:t>
      </w:r>
    </w:p>
    <w:p w:rsidR="00661333" w:rsidRPr="00661333" w:rsidRDefault="00661333" w:rsidP="00661333">
      <w:pPr>
        <w:rPr>
          <w:rFonts w:ascii="맑은 고딕" w:hAnsi="맑은 고딕" w:cs="맑은 고딕"/>
        </w:rPr>
      </w:pPr>
      <w:r w:rsidRPr="00661333">
        <w:rPr>
          <w:rFonts w:ascii="맑은 고딕" w:hAnsi="맑은 고딕" w:cs="맑은 고딕"/>
        </w:rPr>
        <w:lastRenderedPageBreak/>
        <w:t>Pharmaceutical Cold Chain</w:t>
      </w:r>
    </w:p>
    <w:p w:rsidR="00661333" w:rsidRPr="00661333" w:rsidRDefault="00661333" w:rsidP="00661333">
      <w:pPr>
        <w:rPr>
          <w:rFonts w:ascii="맑은 고딕" w:hAnsi="맑은 고딕" w:cs="맑은 고딕"/>
        </w:rPr>
      </w:pPr>
      <w:r w:rsidRPr="00661333">
        <w:rPr>
          <w:rFonts w:ascii="맑은 고딕" w:hAnsi="맑은 고딕" w:cs="맑은 고딕"/>
        </w:rPr>
        <w:t>A pharmaceutical cold chain has more detailed product-specific requirements than a general cold chain. Even within the same category, such as vaccines, storage temperature, distribution temperature, and usable period may vary depending on the product’s components and stability conditions.</w:t>
      </w:r>
    </w:p>
    <w:p w:rsidR="00661333" w:rsidRPr="00661333" w:rsidRDefault="00661333" w:rsidP="00661333">
      <w:pPr>
        <w:rPr>
          <w:rFonts w:ascii="맑은 고딕" w:hAnsi="맑은 고딕" w:cs="맑은 고딕"/>
        </w:rPr>
      </w:pPr>
      <w:r w:rsidRPr="00661333">
        <w:rPr>
          <w:rFonts w:ascii="맑은 고딕" w:hAnsi="맑은 고딕" w:cs="맑은 고딕"/>
        </w:rPr>
        <w:t>Temperature Deviation</w:t>
      </w:r>
    </w:p>
    <w:p w:rsidR="00661333" w:rsidRPr="00661333" w:rsidRDefault="00661333" w:rsidP="00661333">
      <w:pPr>
        <w:rPr>
          <w:rFonts w:ascii="맑은 고딕" w:hAnsi="맑은 고딕" w:cs="맑은 고딕"/>
        </w:rPr>
      </w:pPr>
      <w:r w:rsidRPr="00661333">
        <w:rPr>
          <w:rFonts w:ascii="맑은 고딕" w:hAnsi="맑은 고딕" w:cs="맑은 고딕"/>
        </w:rPr>
        <w:t>Temperature deviation refers to a situation in which a product moves outside its required temperature range during transportation or storage. For biopharmaceuticals, temperature deviation can lead to quality degradation or loss of efficacy, making real-time monitoring and rapid response essential.</w:t>
      </w:r>
    </w:p>
    <w:p w:rsidR="00661333" w:rsidRPr="00661333" w:rsidRDefault="00661333" w:rsidP="00661333">
      <w:pPr>
        <w:rPr>
          <w:rFonts w:ascii="맑은 고딕" w:hAnsi="맑은 고딕" w:cs="맑은 고딕"/>
        </w:rPr>
      </w:pPr>
      <w:r w:rsidRPr="00661333">
        <w:rPr>
          <w:rFonts w:ascii="맑은 고딕" w:hAnsi="맑은 고딕" w:cs="맑은 고딕"/>
        </w:rPr>
        <w:t>SOP, Standard Operating Procedure</w:t>
      </w:r>
    </w:p>
    <w:p w:rsidR="00661333" w:rsidRPr="00661333" w:rsidRDefault="00661333" w:rsidP="00661333">
      <w:pPr>
        <w:rPr>
          <w:rFonts w:ascii="맑은 고딕" w:hAnsi="맑은 고딕" w:cs="맑은 고딕"/>
        </w:rPr>
      </w:pPr>
      <w:r w:rsidRPr="00661333">
        <w:rPr>
          <w:rFonts w:ascii="맑은 고딕" w:hAnsi="맑은 고딕" w:cs="맑은 고딕"/>
        </w:rPr>
        <w:t>An SOP is a documented standard operating procedure. In biopharmaceutical logistics, SOPs define and standardize processes such as packaging, loading, transportation, storage, temperature checks, abnormal situation reporting, quality verification, and deviation response.</w:t>
      </w:r>
    </w:p>
    <w:p w:rsidR="00661333" w:rsidRPr="00661333" w:rsidRDefault="00661333" w:rsidP="00661333">
      <w:pPr>
        <w:rPr>
          <w:rFonts w:ascii="맑은 고딕" w:hAnsi="맑은 고딕" w:cs="맑은 고딕"/>
        </w:rPr>
      </w:pPr>
      <w:r w:rsidRPr="00661333">
        <w:rPr>
          <w:rFonts w:ascii="맑은 고딕" w:hAnsi="맑은 고딕" w:cs="맑은 고딕"/>
        </w:rPr>
        <w:t>Reefer Container</w:t>
      </w:r>
    </w:p>
    <w:p w:rsidR="00661333" w:rsidRPr="00661333" w:rsidRDefault="00661333" w:rsidP="00661333">
      <w:pPr>
        <w:rPr>
          <w:rFonts w:ascii="맑은 고딕" w:hAnsi="맑은 고딕" w:cs="맑은 고딕"/>
        </w:rPr>
      </w:pPr>
      <w:r w:rsidRPr="00661333">
        <w:rPr>
          <w:rFonts w:ascii="맑은 고딕" w:hAnsi="맑은 고딕" w:cs="맑은 고딕"/>
        </w:rPr>
        <w:t>A Reefer Container is a refrigerated or frozen container that can maintain controlled temperatures during transportation. It is an essential logistics asset for ocean transport of temperature-sensitive biopharmaceuticals such as frozen human blood plasma.</w:t>
      </w:r>
    </w:p>
    <w:p w:rsidR="00661333" w:rsidRPr="00661333" w:rsidRDefault="00661333" w:rsidP="00661333">
      <w:pPr>
        <w:rPr>
          <w:rFonts w:ascii="맑은 고딕" w:hAnsi="맑은 고딕" w:cs="맑은 고딕"/>
        </w:rPr>
      </w:pPr>
      <w:r w:rsidRPr="00661333">
        <w:rPr>
          <w:rFonts w:ascii="맑은 고딕" w:hAnsi="맑은 고딕" w:cs="맑은 고딕"/>
        </w:rPr>
        <w:t>PTI, Pre Trip Inspection</w:t>
      </w:r>
    </w:p>
    <w:p w:rsidR="00661333" w:rsidRPr="00661333" w:rsidRDefault="00661333" w:rsidP="00661333">
      <w:pPr>
        <w:rPr>
          <w:rFonts w:ascii="맑은 고딕" w:hAnsi="맑은 고딕" w:cs="맑은 고딕"/>
        </w:rPr>
      </w:pPr>
      <w:r w:rsidRPr="00661333">
        <w:rPr>
          <w:rFonts w:ascii="맑은 고딕" w:hAnsi="맑은 고딕" w:cs="맑은 고딕"/>
        </w:rPr>
        <w:t>PTI stands for Pre Trip Inspection. It is a pre-transport inspection performed on refrigerated or frozen containers before cargo is loaded. PTI helps verify container performance and reduce temperature-related risks during transportation.</w:t>
      </w:r>
    </w:p>
    <w:p w:rsidR="00661333" w:rsidRPr="00661333" w:rsidRDefault="00661333" w:rsidP="00661333">
      <w:pPr>
        <w:rPr>
          <w:rFonts w:ascii="맑은 고딕" w:hAnsi="맑은 고딕" w:cs="맑은 고딕"/>
        </w:rPr>
      </w:pPr>
      <w:r w:rsidRPr="00661333">
        <w:rPr>
          <w:rFonts w:ascii="맑은 고딕" w:hAnsi="맑은 고딕" w:cs="맑은 고딕"/>
        </w:rPr>
        <w:t>Cryo Shipper</w:t>
      </w:r>
    </w:p>
    <w:p w:rsidR="00661333" w:rsidRPr="00661333" w:rsidRDefault="00661333" w:rsidP="00661333">
      <w:pPr>
        <w:rPr>
          <w:rFonts w:ascii="맑은 고딕" w:hAnsi="맑은 고딕" w:cs="맑은 고딕"/>
        </w:rPr>
      </w:pPr>
      <w:r w:rsidRPr="00661333">
        <w:rPr>
          <w:rFonts w:ascii="맑은 고딕" w:hAnsi="맑은 고딕" w:cs="맑은 고딕"/>
        </w:rPr>
        <w:t>A Cryo Shipper is a specialized container that maintains cryogenic temperatures using liquid nitrogen or similar cooling methods. It is used for cargo requiring ultra-low-temperature transportation, such as cell lines, biopharmaceutical samples, cell therapies, and gene therapies.</w:t>
      </w:r>
    </w:p>
    <w:p w:rsidR="00661333" w:rsidRPr="00661333" w:rsidRDefault="00661333" w:rsidP="00661333">
      <w:pPr>
        <w:rPr>
          <w:rFonts w:ascii="맑은 고딕" w:hAnsi="맑은 고딕" w:cs="맑은 고딕"/>
        </w:rPr>
      </w:pPr>
      <w:r w:rsidRPr="00661333">
        <w:rPr>
          <w:rFonts w:ascii="맑은 고딕" w:hAnsi="맑은 고딕" w:cs="맑은 고딕"/>
        </w:rPr>
        <w:t>Data Logger</w:t>
      </w:r>
    </w:p>
    <w:p w:rsidR="00661333" w:rsidRPr="00661333" w:rsidRDefault="00661333" w:rsidP="00661333">
      <w:pPr>
        <w:rPr>
          <w:rFonts w:ascii="맑은 고딕" w:hAnsi="맑은 고딕" w:cs="맑은 고딕"/>
        </w:rPr>
      </w:pPr>
      <w:r w:rsidRPr="00661333">
        <w:rPr>
          <w:rFonts w:ascii="맑은 고딕" w:hAnsi="맑은 고딕" w:cs="맑은 고딕"/>
        </w:rPr>
        <w:t>A Data Logger is a device that records temperature history during transportation. In biopharmaceutical logistics, it is used to verify whether the required temperature has been maintained and to trace the cause of quality issues if they occur.</w:t>
      </w:r>
    </w:p>
    <w:p w:rsidR="00661333" w:rsidRPr="00661333" w:rsidRDefault="00661333" w:rsidP="00661333">
      <w:pPr>
        <w:rPr>
          <w:rFonts w:ascii="맑은 고딕" w:hAnsi="맑은 고딕" w:cs="맑은 고딕"/>
        </w:rPr>
      </w:pPr>
      <w:r w:rsidRPr="00661333">
        <w:rPr>
          <w:rFonts w:ascii="맑은 고딕" w:hAnsi="맑은 고딕" w:cs="맑은 고딕"/>
        </w:rPr>
        <w:lastRenderedPageBreak/>
        <w:t>GDP, Good Distribution Practice</w:t>
      </w:r>
    </w:p>
    <w:p w:rsidR="00661333" w:rsidRPr="00661333" w:rsidRDefault="00661333" w:rsidP="00661333">
      <w:pPr>
        <w:rPr>
          <w:rFonts w:ascii="맑은 고딕" w:hAnsi="맑은 고딕" w:cs="맑은 고딕"/>
        </w:rPr>
      </w:pPr>
      <w:r w:rsidRPr="00661333">
        <w:rPr>
          <w:rFonts w:ascii="맑은 고딕" w:hAnsi="맑은 고딕" w:cs="맑은 고딕"/>
        </w:rPr>
        <w:t>GDP refers to Good Distribution Practice guidelines for maintaining pharmaceutical quality and safety during distribution. GDP covers storage, transportation, handling, documentation, traceability, and quality management across the pharmaceutical supply chain.</w:t>
      </w:r>
    </w:p>
    <w:p w:rsidR="00661333" w:rsidRPr="00661333" w:rsidRDefault="00661333" w:rsidP="00661333">
      <w:pPr>
        <w:rPr>
          <w:rFonts w:ascii="맑은 고딕" w:hAnsi="맑은 고딕" w:cs="맑은 고딕"/>
        </w:rPr>
      </w:pPr>
      <w:r w:rsidRPr="00661333">
        <w:rPr>
          <w:rFonts w:ascii="맑은 고딕" w:hAnsi="맑은 고딕" w:cs="맑은 고딕"/>
        </w:rPr>
        <w:t>KGSP, Korean Good Supplying Practices</w:t>
      </w:r>
    </w:p>
    <w:p w:rsidR="00661333" w:rsidRPr="00661333" w:rsidRDefault="00661333" w:rsidP="00661333">
      <w:pPr>
        <w:rPr>
          <w:rFonts w:ascii="맑은 고딕" w:hAnsi="맑은 고딕" w:cs="맑은 고딕"/>
        </w:rPr>
      </w:pPr>
      <w:r w:rsidRPr="00661333">
        <w:rPr>
          <w:rFonts w:ascii="맑은 고딕" w:hAnsi="맑은 고딕" w:cs="맑은 고딕"/>
        </w:rPr>
        <w:t>KGSP refers to Korean Good Supplying Practices, Korea’s pharmaceutical distribution management standards. It provides requirements for maintaining pharmaceutical quality during storage, transportation, supply, facility management, personnel management, and documentation.</w:t>
      </w:r>
    </w:p>
    <w:p w:rsidR="00661333" w:rsidRPr="00661333" w:rsidRDefault="00661333" w:rsidP="00661333">
      <w:pPr>
        <w:rPr>
          <w:rFonts w:ascii="맑은 고딕" w:hAnsi="맑은 고딕" w:cs="맑은 고딕"/>
        </w:rPr>
      </w:pPr>
      <w:r w:rsidRPr="00661333">
        <w:rPr>
          <w:rFonts w:ascii="맑은 고딕" w:hAnsi="맑은 고딕" w:cs="맑은 고딕"/>
        </w:rPr>
        <w:t>IATA CEIV Pharma</w:t>
      </w:r>
    </w:p>
    <w:p w:rsidR="005C659F" w:rsidRPr="00661333" w:rsidRDefault="00661333" w:rsidP="00661333">
      <w:pPr>
        <w:rPr>
          <w:b/>
        </w:rPr>
      </w:pPr>
      <w:r w:rsidRPr="00661333">
        <w:rPr>
          <w:rFonts w:ascii="맑은 고딕" w:hAnsi="맑은 고딕" w:cs="맑은 고딕"/>
        </w:rPr>
        <w:t>IATA CEIV Pharma is a global certification issued by the International Air Transport Association for pharmaceutical air transport. It evaluates temperature control, quality management, specialized personnel, and compliance with international pharmaceutical transportation standards.</w:t>
      </w:r>
    </w:p>
    <w:p w:rsidR="005C659F" w:rsidRDefault="005C659F" w:rsidP="003F5295">
      <w:pPr>
        <w:rPr>
          <w:b/>
        </w:rPr>
      </w:pPr>
    </w:p>
    <w:p w:rsidR="00661333" w:rsidRDefault="00661333" w:rsidP="005C659F">
      <w:pPr>
        <w:rPr>
          <w:b/>
        </w:rPr>
      </w:pPr>
      <w:r w:rsidRPr="00661333">
        <w:rPr>
          <w:b/>
        </w:rPr>
        <w:t xml:space="preserve">Biopharmaceutical Logistics, Explained Through Key Questions </w:t>
      </w:r>
    </w:p>
    <w:p w:rsidR="005C659F" w:rsidRDefault="005C659F" w:rsidP="005C659F">
      <w:r>
        <w:t xml:space="preserve">1. </w:t>
      </w:r>
      <w:r w:rsidR="00661333" w:rsidRPr="00661333">
        <w:t>Why is biopharmaceutical logistics more complex than general cargo logistics?</w:t>
      </w:r>
    </w:p>
    <w:p w:rsidR="00661333" w:rsidRDefault="00661333" w:rsidP="005C659F">
      <w:r w:rsidRPr="00661333">
        <w:t xml:space="preserve">Biopharmaceutical logistics is more complex because biopharmaceuticals are sensitive to temperature, humidity, light, shock, pH changes, and microbial contamination. Unlike general cargo, biopharmaceuticals require product-specific temperature control, quality monitoring, standardized operating procedures, regulatory compliance, and traceability across the entire logistics process. </w:t>
      </w:r>
    </w:p>
    <w:p w:rsidR="005C659F" w:rsidRDefault="005C659F" w:rsidP="005C659F">
      <w:r>
        <w:t xml:space="preserve">2. </w:t>
      </w:r>
      <w:r w:rsidR="00661333" w:rsidRPr="00661333">
        <w:t>Why is cold chain management important for biopharmaceuticals?</w:t>
      </w:r>
    </w:p>
    <w:p w:rsidR="00661333" w:rsidRDefault="00661333" w:rsidP="005C659F">
      <w:r w:rsidRPr="00661333">
        <w:t xml:space="preserve">Cold chain management is important because biopharmaceuticals can degrade or lose efficacy if they are exposed to temperatures outside the required range. Vaccines, blood products, cell therapies, and gene therapies are directly linked to patient safety, so stable temperature control from production to final delivery is essential. </w:t>
      </w:r>
    </w:p>
    <w:p w:rsidR="005C659F" w:rsidRDefault="005C659F" w:rsidP="005C659F">
      <w:r>
        <w:t xml:space="preserve">3. </w:t>
      </w:r>
      <w:r w:rsidR="00661333" w:rsidRPr="00661333">
        <w:t>What is the difference between a general cold chain and a pharmaceutical cold chain?</w:t>
      </w:r>
    </w:p>
    <w:p w:rsidR="00661333" w:rsidRDefault="00661333" w:rsidP="005C659F">
      <w:r w:rsidRPr="00661333">
        <w:t xml:space="preserve">A general cold chain typically manages products by broad temperature ranges, such as frozen, refrigerated, constant temperature, or high temperature. A pharmaceutical cold chain requires more detailed product-level control because storage and distribution temperatures can differ by drug type, formulation, and stability requirement. Even vaccines in the same category may require different storage temperatures and distribution periods. </w:t>
      </w:r>
    </w:p>
    <w:p w:rsidR="005C659F" w:rsidRDefault="005C659F" w:rsidP="005C659F">
      <w:r>
        <w:lastRenderedPageBreak/>
        <w:t xml:space="preserve">4. </w:t>
      </w:r>
      <w:r w:rsidR="00661333" w:rsidRPr="00661333">
        <w:t>What should be managed in ocean transport of biopharmaceuticals?</w:t>
      </w:r>
    </w:p>
    <w:p w:rsidR="00661333" w:rsidRDefault="00661333" w:rsidP="005C659F">
      <w:r w:rsidRPr="00661333">
        <w:t xml:space="preserve">Ocean transport of biopharmaceuticals requires securing Reefer Containers, performing PTI, preparing dry ice and packaging materials, coordinating inland transportation, managing terminal operations, monitoring vessel movement, and checking temperature conditions at the destination. For frozen plasma, integrated control from origin to destination is especially important to maintain the required temperature. </w:t>
      </w:r>
    </w:p>
    <w:p w:rsidR="005C659F" w:rsidRDefault="005C659F" w:rsidP="005C659F">
      <w:r>
        <w:t xml:space="preserve">5. </w:t>
      </w:r>
      <w:r w:rsidR="00661333" w:rsidRPr="00661333">
        <w:t>What is critical in cryogenic sample air transport?</w:t>
      </w:r>
    </w:p>
    <w:p w:rsidR="00661333" w:rsidRDefault="00661333" w:rsidP="005C659F">
      <w:r w:rsidRPr="00661333">
        <w:t xml:space="preserve">Cryogenic sample air transport requires Cryo Shippers, Data Loggers, pre-conditioning, airline schedule coordination, customs clearance, and seamless inland transportation. Equipment must be tested before shipment, and temperature records must be captured throughout transportation to verify product stability. </w:t>
      </w:r>
    </w:p>
    <w:p w:rsidR="005C659F" w:rsidRDefault="005C659F" w:rsidP="005C659F">
      <w:r>
        <w:t xml:space="preserve">6. </w:t>
      </w:r>
      <w:r w:rsidR="00661333" w:rsidRPr="00661333">
        <w:t>Why is biopharmaceutical warehouse operation difficult?</w:t>
      </w:r>
    </w:p>
    <w:p w:rsidR="00661333" w:rsidRDefault="00661333" w:rsidP="003F5295">
      <w:r w:rsidRPr="00661333">
        <w:t xml:space="preserve">Biopharmaceutical warehouse operation is difficult because it requires control of temperature, humidity, light, air quality, hygiene, security, emergency power, redundant systems, hazardous materials, documentation, certification, and audit readiness. Ambient, refrigerated, frozen, and hazardous material areas must be operated according to separate procedures and product requirements. </w:t>
      </w:r>
    </w:p>
    <w:p w:rsidR="00A947AC" w:rsidRDefault="00A947AC" w:rsidP="003F5295">
      <w:r>
        <w:t xml:space="preserve">7. </w:t>
      </w:r>
      <w:r w:rsidR="00661333" w:rsidRPr="00661333">
        <w:t>Why is real-time monitoring important in biopharmaceutical logistics?</w:t>
      </w:r>
    </w:p>
    <w:p w:rsidR="00661333" w:rsidRDefault="00661333" w:rsidP="003F5295">
      <w:r w:rsidRPr="00661333">
        <w:t xml:space="preserve">Real-time monitoring is important because logistics operators must track both cargo location and temperature history, and respond quickly to temperature deviations, delays, or abnormal events. IoT, cloud technology, and logistics platforms enable transparent control of transportation status and temperature data across international and inland transport sections. </w:t>
      </w:r>
    </w:p>
    <w:p w:rsidR="00A947AC" w:rsidRDefault="00A947AC" w:rsidP="003F5295">
      <w:r>
        <w:t xml:space="preserve">8. </w:t>
      </w:r>
      <w:r w:rsidR="00661333" w:rsidRPr="00661333">
        <w:t>What capabilities does Samsung SDS provide for biopharmaceutical logistics?</w:t>
      </w:r>
    </w:p>
    <w:p w:rsidR="00AD1EAA" w:rsidRDefault="00661333" w:rsidP="003F5295">
      <w:r w:rsidRPr="00661333">
        <w:t>Samsung SDS provides specialized SOPs for bio/pharmaceutical logistics, global logistics networks, temperature-controlled equipment operations, real-time monitoring platforms, IoT-based temperature history management, and IATA CEIV Pharma-certified air transport capabilities. Through ocean transport, air transport, and warehouse operation cases, Samsung SDS supports operating models tailored to the requirements of each biopharmaceutical product.</w:t>
      </w:r>
    </w:p>
    <w:p w:rsidR="00661333" w:rsidRDefault="00661333" w:rsidP="003F5295"/>
    <w:p w:rsidR="00661333" w:rsidRDefault="00661333" w:rsidP="003F5295"/>
    <w:p w:rsidR="00661333" w:rsidRDefault="00661333" w:rsidP="003F5295">
      <w:pPr>
        <w:rPr>
          <w:rFonts w:hint="eastAsia"/>
        </w:rPr>
      </w:pPr>
    </w:p>
    <w:p w:rsidR="003F5295" w:rsidRDefault="00661333" w:rsidP="00B640B5">
      <w:pPr>
        <w:rPr>
          <w:b/>
        </w:rPr>
      </w:pPr>
      <w:r w:rsidRPr="00661333">
        <w:rPr>
          <w:b/>
        </w:rPr>
        <w:lastRenderedPageBreak/>
        <w:t>Biopharmaceutical Logistics at a Glance</w:t>
      </w:r>
    </w:p>
    <w:tbl>
      <w:tblPr>
        <w:tblStyle w:val="a4"/>
        <w:tblW w:w="0" w:type="auto"/>
        <w:tblLook w:val="04A0" w:firstRow="1" w:lastRow="0" w:firstColumn="1" w:lastColumn="0" w:noHBand="0" w:noVBand="1"/>
      </w:tblPr>
      <w:tblGrid>
        <w:gridCol w:w="2689"/>
        <w:gridCol w:w="6327"/>
      </w:tblGrid>
      <w:tr w:rsidR="006F01C8" w:rsidTr="00A476E7">
        <w:tc>
          <w:tcPr>
            <w:tcW w:w="2689" w:type="dxa"/>
            <w:hideMark/>
          </w:tcPr>
          <w:p w:rsidR="006F01C8" w:rsidRPr="006F01C8" w:rsidRDefault="006F01C8" w:rsidP="006F01C8">
            <w:pPr>
              <w:rPr>
                <w:sz w:val="20"/>
                <w:szCs w:val="20"/>
              </w:rPr>
            </w:pPr>
            <w:r w:rsidRPr="006F01C8">
              <w:rPr>
                <w:sz w:val="20"/>
                <w:szCs w:val="20"/>
              </w:rPr>
              <w:t>Category</w:t>
            </w:r>
          </w:p>
        </w:tc>
        <w:tc>
          <w:tcPr>
            <w:tcW w:w="6327" w:type="dxa"/>
            <w:hideMark/>
          </w:tcPr>
          <w:p w:rsidR="006F01C8" w:rsidRPr="006F01C8" w:rsidRDefault="006F01C8" w:rsidP="006F01C8">
            <w:pPr>
              <w:rPr>
                <w:sz w:val="20"/>
                <w:szCs w:val="20"/>
              </w:rPr>
            </w:pPr>
            <w:r w:rsidRPr="006F01C8">
              <w:rPr>
                <w:sz w:val="20"/>
                <w:szCs w:val="20"/>
              </w:rPr>
              <w:t>Key Takeaway</w:t>
            </w:r>
          </w:p>
        </w:tc>
      </w:tr>
      <w:tr w:rsidR="006F01C8" w:rsidTr="00A476E7">
        <w:tc>
          <w:tcPr>
            <w:tcW w:w="2689" w:type="dxa"/>
            <w:hideMark/>
          </w:tcPr>
          <w:p w:rsidR="006F01C8" w:rsidRPr="006F01C8" w:rsidRDefault="006F01C8" w:rsidP="006F01C8">
            <w:pPr>
              <w:rPr>
                <w:sz w:val="20"/>
                <w:szCs w:val="20"/>
              </w:rPr>
            </w:pPr>
            <w:r w:rsidRPr="006F01C8">
              <w:rPr>
                <w:sz w:val="20"/>
                <w:szCs w:val="20"/>
              </w:rPr>
              <w:t>Biopharmaceuticals</w:t>
            </w:r>
          </w:p>
        </w:tc>
        <w:tc>
          <w:tcPr>
            <w:tcW w:w="6327" w:type="dxa"/>
            <w:hideMark/>
          </w:tcPr>
          <w:p w:rsidR="006F01C8" w:rsidRPr="006F01C8" w:rsidRDefault="006F01C8" w:rsidP="006F01C8">
            <w:pPr>
              <w:rPr>
                <w:sz w:val="20"/>
                <w:szCs w:val="20"/>
              </w:rPr>
            </w:pPr>
            <w:r w:rsidRPr="006F01C8">
              <w:rPr>
                <w:sz w:val="20"/>
                <w:szCs w:val="20"/>
              </w:rPr>
              <w:t>Medicines made from materials derived from humans or other living organisms</w:t>
            </w:r>
          </w:p>
        </w:tc>
      </w:tr>
      <w:tr w:rsidR="006F01C8" w:rsidTr="00A476E7">
        <w:tc>
          <w:tcPr>
            <w:tcW w:w="2689" w:type="dxa"/>
            <w:hideMark/>
          </w:tcPr>
          <w:p w:rsidR="006F01C8" w:rsidRPr="006F01C8" w:rsidRDefault="006F01C8" w:rsidP="006F01C8">
            <w:pPr>
              <w:rPr>
                <w:sz w:val="20"/>
                <w:szCs w:val="20"/>
              </w:rPr>
            </w:pPr>
            <w:r w:rsidRPr="006F01C8">
              <w:rPr>
                <w:sz w:val="20"/>
                <w:szCs w:val="20"/>
              </w:rPr>
              <w:t>Major Product Types</w:t>
            </w:r>
          </w:p>
        </w:tc>
        <w:tc>
          <w:tcPr>
            <w:tcW w:w="6327" w:type="dxa"/>
            <w:hideMark/>
          </w:tcPr>
          <w:p w:rsidR="006F01C8" w:rsidRPr="006F01C8" w:rsidRDefault="006F01C8" w:rsidP="006F01C8">
            <w:pPr>
              <w:rPr>
                <w:sz w:val="20"/>
                <w:szCs w:val="20"/>
              </w:rPr>
            </w:pPr>
            <w:r w:rsidRPr="006F01C8">
              <w:rPr>
                <w:sz w:val="20"/>
                <w:szCs w:val="20"/>
              </w:rPr>
              <w:t>Vaccines, insulin, antibody drugs, blood products, cell therapies, gene therapies</w:t>
            </w:r>
          </w:p>
        </w:tc>
      </w:tr>
      <w:tr w:rsidR="006F01C8" w:rsidTr="00A476E7">
        <w:tc>
          <w:tcPr>
            <w:tcW w:w="2689" w:type="dxa"/>
            <w:hideMark/>
          </w:tcPr>
          <w:p w:rsidR="006F01C8" w:rsidRPr="006F01C8" w:rsidRDefault="006F01C8" w:rsidP="006F01C8">
            <w:pPr>
              <w:rPr>
                <w:sz w:val="20"/>
                <w:szCs w:val="20"/>
              </w:rPr>
            </w:pPr>
            <w:r w:rsidRPr="006F01C8">
              <w:rPr>
                <w:sz w:val="20"/>
                <w:szCs w:val="20"/>
              </w:rPr>
              <w:t>Logistics Characteristics</w:t>
            </w:r>
          </w:p>
        </w:tc>
        <w:tc>
          <w:tcPr>
            <w:tcW w:w="6327" w:type="dxa"/>
            <w:hideMark/>
          </w:tcPr>
          <w:p w:rsidR="006F01C8" w:rsidRPr="006F01C8" w:rsidRDefault="006F01C8" w:rsidP="006F01C8">
            <w:pPr>
              <w:rPr>
                <w:sz w:val="20"/>
                <w:szCs w:val="20"/>
              </w:rPr>
            </w:pPr>
            <w:r w:rsidRPr="006F01C8">
              <w:rPr>
                <w:sz w:val="20"/>
                <w:szCs w:val="20"/>
              </w:rPr>
              <w:t>Sensitive to temperature, humidity, light, shock, pH changes, and microbial contamination</w:t>
            </w:r>
          </w:p>
        </w:tc>
      </w:tr>
      <w:tr w:rsidR="006F01C8" w:rsidTr="00A476E7">
        <w:tc>
          <w:tcPr>
            <w:tcW w:w="2689" w:type="dxa"/>
            <w:hideMark/>
          </w:tcPr>
          <w:p w:rsidR="006F01C8" w:rsidRPr="006F01C8" w:rsidRDefault="006F01C8" w:rsidP="006F01C8">
            <w:pPr>
              <w:rPr>
                <w:sz w:val="20"/>
                <w:szCs w:val="20"/>
              </w:rPr>
            </w:pPr>
            <w:r w:rsidRPr="006F01C8">
              <w:rPr>
                <w:sz w:val="20"/>
                <w:szCs w:val="20"/>
              </w:rPr>
              <w:t>Major Risks</w:t>
            </w:r>
          </w:p>
        </w:tc>
        <w:tc>
          <w:tcPr>
            <w:tcW w:w="6327" w:type="dxa"/>
            <w:hideMark/>
          </w:tcPr>
          <w:p w:rsidR="006F01C8" w:rsidRPr="006F01C8" w:rsidRDefault="006F01C8" w:rsidP="006F01C8">
            <w:pPr>
              <w:rPr>
                <w:sz w:val="20"/>
                <w:szCs w:val="20"/>
              </w:rPr>
            </w:pPr>
            <w:r w:rsidRPr="006F01C8">
              <w:rPr>
                <w:sz w:val="20"/>
                <w:szCs w:val="20"/>
              </w:rPr>
              <w:t>Temperature deviation, quality degradation, loss of efficacy, transportation delay, regulatory non-compliance</w:t>
            </w:r>
          </w:p>
        </w:tc>
      </w:tr>
      <w:tr w:rsidR="006F01C8" w:rsidTr="00A476E7">
        <w:tc>
          <w:tcPr>
            <w:tcW w:w="2689" w:type="dxa"/>
            <w:hideMark/>
          </w:tcPr>
          <w:p w:rsidR="006F01C8" w:rsidRPr="006F01C8" w:rsidRDefault="006F01C8" w:rsidP="006F01C8">
            <w:pPr>
              <w:rPr>
                <w:sz w:val="20"/>
                <w:szCs w:val="20"/>
              </w:rPr>
            </w:pPr>
            <w:r w:rsidRPr="006F01C8">
              <w:rPr>
                <w:sz w:val="20"/>
                <w:szCs w:val="20"/>
              </w:rPr>
              <w:t>Key Management Areas</w:t>
            </w:r>
          </w:p>
        </w:tc>
        <w:tc>
          <w:tcPr>
            <w:tcW w:w="6327" w:type="dxa"/>
            <w:hideMark/>
          </w:tcPr>
          <w:p w:rsidR="006F01C8" w:rsidRPr="006F01C8" w:rsidRDefault="006F01C8" w:rsidP="006F01C8">
            <w:pPr>
              <w:rPr>
                <w:sz w:val="20"/>
                <w:szCs w:val="20"/>
              </w:rPr>
            </w:pPr>
            <w:r w:rsidRPr="006F01C8">
              <w:rPr>
                <w:sz w:val="20"/>
                <w:szCs w:val="20"/>
              </w:rPr>
              <w:t>Temperature control, quality management, real-time monitoring, traceability, regulatory compliance</w:t>
            </w:r>
          </w:p>
        </w:tc>
      </w:tr>
      <w:tr w:rsidR="006F01C8" w:rsidTr="00A476E7">
        <w:tc>
          <w:tcPr>
            <w:tcW w:w="2689" w:type="dxa"/>
            <w:hideMark/>
          </w:tcPr>
          <w:p w:rsidR="006F01C8" w:rsidRPr="006F01C8" w:rsidRDefault="006F01C8" w:rsidP="006F01C8">
            <w:pPr>
              <w:rPr>
                <w:sz w:val="20"/>
                <w:szCs w:val="20"/>
              </w:rPr>
            </w:pPr>
            <w:r w:rsidRPr="006F01C8">
              <w:rPr>
                <w:sz w:val="20"/>
                <w:szCs w:val="20"/>
              </w:rPr>
              <w:t>Cold Chain Requirements</w:t>
            </w:r>
          </w:p>
        </w:tc>
        <w:tc>
          <w:tcPr>
            <w:tcW w:w="6327" w:type="dxa"/>
            <w:hideMark/>
          </w:tcPr>
          <w:p w:rsidR="006F01C8" w:rsidRPr="006F01C8" w:rsidRDefault="006F01C8" w:rsidP="006F01C8">
            <w:pPr>
              <w:rPr>
                <w:sz w:val="20"/>
                <w:szCs w:val="20"/>
              </w:rPr>
            </w:pPr>
            <w:r w:rsidRPr="006F01C8">
              <w:rPr>
                <w:sz w:val="20"/>
                <w:szCs w:val="20"/>
              </w:rPr>
              <w:t>Product-specific control based on storage temperature, distribution temperature, and usable period</w:t>
            </w:r>
          </w:p>
        </w:tc>
      </w:tr>
      <w:tr w:rsidR="006F01C8" w:rsidTr="00A476E7">
        <w:tc>
          <w:tcPr>
            <w:tcW w:w="2689" w:type="dxa"/>
            <w:hideMark/>
          </w:tcPr>
          <w:p w:rsidR="006F01C8" w:rsidRPr="006F01C8" w:rsidRDefault="006F01C8" w:rsidP="006F01C8">
            <w:pPr>
              <w:rPr>
                <w:sz w:val="20"/>
                <w:szCs w:val="20"/>
              </w:rPr>
            </w:pPr>
            <w:r w:rsidRPr="006F01C8">
              <w:rPr>
                <w:sz w:val="20"/>
                <w:szCs w:val="20"/>
              </w:rPr>
              <w:t>Ocean Transport Management</w:t>
            </w:r>
          </w:p>
        </w:tc>
        <w:tc>
          <w:tcPr>
            <w:tcW w:w="6327" w:type="dxa"/>
            <w:hideMark/>
          </w:tcPr>
          <w:p w:rsidR="006F01C8" w:rsidRPr="006F01C8" w:rsidRDefault="006F01C8" w:rsidP="006F01C8">
            <w:pPr>
              <w:rPr>
                <w:sz w:val="20"/>
                <w:szCs w:val="20"/>
              </w:rPr>
            </w:pPr>
            <w:r w:rsidRPr="006F01C8">
              <w:rPr>
                <w:sz w:val="20"/>
                <w:szCs w:val="20"/>
              </w:rPr>
              <w:t>Reefer Container, PTI, dry ice, inland transport, terminal operation, temperature monitoring</w:t>
            </w:r>
          </w:p>
        </w:tc>
      </w:tr>
      <w:tr w:rsidR="006F01C8" w:rsidTr="00A476E7">
        <w:tc>
          <w:tcPr>
            <w:tcW w:w="2689" w:type="dxa"/>
            <w:hideMark/>
          </w:tcPr>
          <w:p w:rsidR="006F01C8" w:rsidRPr="006F01C8" w:rsidRDefault="006F01C8" w:rsidP="006F01C8">
            <w:pPr>
              <w:rPr>
                <w:sz w:val="20"/>
                <w:szCs w:val="20"/>
              </w:rPr>
            </w:pPr>
            <w:r w:rsidRPr="006F01C8">
              <w:rPr>
                <w:sz w:val="20"/>
                <w:szCs w:val="20"/>
              </w:rPr>
              <w:t>Air Transport Management</w:t>
            </w:r>
          </w:p>
        </w:tc>
        <w:tc>
          <w:tcPr>
            <w:tcW w:w="6327" w:type="dxa"/>
            <w:hideMark/>
          </w:tcPr>
          <w:p w:rsidR="006F01C8" w:rsidRPr="006F01C8" w:rsidRDefault="006F01C8" w:rsidP="006F01C8">
            <w:pPr>
              <w:rPr>
                <w:sz w:val="20"/>
                <w:szCs w:val="20"/>
              </w:rPr>
            </w:pPr>
            <w:r w:rsidRPr="006F01C8">
              <w:rPr>
                <w:sz w:val="20"/>
                <w:szCs w:val="20"/>
              </w:rPr>
              <w:t>Cryo Shipper, Data Logger, pre-conditioning, airline coordination, customs clearance</w:t>
            </w:r>
          </w:p>
        </w:tc>
      </w:tr>
      <w:tr w:rsidR="006F01C8" w:rsidTr="00A476E7">
        <w:tc>
          <w:tcPr>
            <w:tcW w:w="2689" w:type="dxa"/>
          </w:tcPr>
          <w:p w:rsidR="006F01C8" w:rsidRPr="006F01C8" w:rsidRDefault="006F01C8" w:rsidP="006F01C8">
            <w:pPr>
              <w:rPr>
                <w:sz w:val="20"/>
                <w:szCs w:val="20"/>
              </w:rPr>
            </w:pPr>
            <w:r w:rsidRPr="006F01C8">
              <w:rPr>
                <w:sz w:val="20"/>
                <w:szCs w:val="20"/>
              </w:rPr>
              <w:t>Warehouse Operation Management</w:t>
            </w:r>
          </w:p>
        </w:tc>
        <w:tc>
          <w:tcPr>
            <w:tcW w:w="6327" w:type="dxa"/>
          </w:tcPr>
          <w:p w:rsidR="006F01C8" w:rsidRPr="006F01C8" w:rsidRDefault="006F01C8" w:rsidP="006F01C8">
            <w:pPr>
              <w:rPr>
                <w:sz w:val="20"/>
                <w:szCs w:val="20"/>
              </w:rPr>
            </w:pPr>
            <w:r w:rsidRPr="006F01C8">
              <w:rPr>
                <w:sz w:val="20"/>
                <w:szCs w:val="20"/>
              </w:rPr>
              <w:t>Ambient, refrigerated, frozen, and hazardous material warehouses; GMP/GDP-based SOPs</w:t>
            </w:r>
          </w:p>
        </w:tc>
      </w:tr>
      <w:tr w:rsidR="006F01C8" w:rsidTr="00A476E7">
        <w:tc>
          <w:tcPr>
            <w:tcW w:w="2689" w:type="dxa"/>
          </w:tcPr>
          <w:p w:rsidR="006F01C8" w:rsidRPr="006F01C8" w:rsidRDefault="006F01C8" w:rsidP="006F01C8">
            <w:pPr>
              <w:rPr>
                <w:sz w:val="20"/>
                <w:szCs w:val="20"/>
              </w:rPr>
            </w:pPr>
            <w:r w:rsidRPr="006F01C8">
              <w:rPr>
                <w:sz w:val="20"/>
                <w:szCs w:val="20"/>
              </w:rPr>
              <w:t>Digital Technologies</w:t>
            </w:r>
          </w:p>
        </w:tc>
        <w:tc>
          <w:tcPr>
            <w:tcW w:w="6327" w:type="dxa"/>
          </w:tcPr>
          <w:p w:rsidR="006F01C8" w:rsidRPr="006F01C8" w:rsidRDefault="006F01C8" w:rsidP="006F01C8">
            <w:pPr>
              <w:rPr>
                <w:sz w:val="20"/>
                <w:szCs w:val="20"/>
              </w:rPr>
            </w:pPr>
            <w:r w:rsidRPr="006F01C8">
              <w:rPr>
                <w:sz w:val="20"/>
                <w:szCs w:val="20"/>
              </w:rPr>
              <w:t>IoT, cloud, AI, big data, Cello, Cello Trust</w:t>
            </w:r>
          </w:p>
        </w:tc>
      </w:tr>
      <w:tr w:rsidR="006F01C8" w:rsidTr="00A476E7">
        <w:tc>
          <w:tcPr>
            <w:tcW w:w="2689" w:type="dxa"/>
          </w:tcPr>
          <w:p w:rsidR="006F01C8" w:rsidRPr="006F01C8" w:rsidRDefault="006F01C8" w:rsidP="006F01C8">
            <w:pPr>
              <w:rPr>
                <w:sz w:val="20"/>
                <w:szCs w:val="20"/>
              </w:rPr>
            </w:pPr>
            <w:r w:rsidRPr="006F01C8">
              <w:rPr>
                <w:sz w:val="20"/>
                <w:szCs w:val="20"/>
              </w:rPr>
              <w:t>Regulations and Certifications</w:t>
            </w:r>
          </w:p>
        </w:tc>
        <w:tc>
          <w:tcPr>
            <w:tcW w:w="6327" w:type="dxa"/>
          </w:tcPr>
          <w:p w:rsidR="006F01C8" w:rsidRPr="006F01C8" w:rsidRDefault="006F01C8" w:rsidP="006F01C8">
            <w:pPr>
              <w:rPr>
                <w:sz w:val="20"/>
                <w:szCs w:val="20"/>
              </w:rPr>
            </w:pPr>
            <w:r w:rsidRPr="006F01C8">
              <w:rPr>
                <w:sz w:val="20"/>
                <w:szCs w:val="20"/>
              </w:rPr>
              <w:t>GDP, KGSP, DSCSA, WHO pharmaceutical regulations, IATA CEIV Pharma</w:t>
            </w:r>
          </w:p>
        </w:tc>
      </w:tr>
      <w:tr w:rsidR="006F01C8" w:rsidTr="00A476E7">
        <w:tc>
          <w:tcPr>
            <w:tcW w:w="2689" w:type="dxa"/>
          </w:tcPr>
          <w:p w:rsidR="006F01C8" w:rsidRPr="006F01C8" w:rsidRDefault="006F01C8" w:rsidP="006F01C8">
            <w:pPr>
              <w:rPr>
                <w:sz w:val="20"/>
                <w:szCs w:val="20"/>
              </w:rPr>
            </w:pPr>
            <w:r w:rsidRPr="006F01C8">
              <w:rPr>
                <w:sz w:val="20"/>
                <w:szCs w:val="20"/>
              </w:rPr>
              <w:t>Samsung SDS Capabilit</w:t>
            </w:r>
            <w:bookmarkStart w:id="0" w:name="_GoBack"/>
            <w:bookmarkEnd w:id="0"/>
            <w:r w:rsidRPr="006F01C8">
              <w:rPr>
                <w:sz w:val="20"/>
                <w:szCs w:val="20"/>
              </w:rPr>
              <w:t>ies</w:t>
            </w:r>
          </w:p>
        </w:tc>
        <w:tc>
          <w:tcPr>
            <w:tcW w:w="6327" w:type="dxa"/>
          </w:tcPr>
          <w:p w:rsidR="006F01C8" w:rsidRPr="006F01C8" w:rsidRDefault="006F01C8" w:rsidP="006F01C8">
            <w:pPr>
              <w:rPr>
                <w:sz w:val="20"/>
                <w:szCs w:val="20"/>
              </w:rPr>
            </w:pPr>
            <w:r w:rsidRPr="006F01C8">
              <w:rPr>
                <w:sz w:val="20"/>
                <w:szCs w:val="20"/>
              </w:rPr>
              <w:t>Bio/pharma-specialized SOPs, global network, temperature control, logistics platform, certification-based operations</w:t>
            </w:r>
          </w:p>
        </w:tc>
      </w:tr>
    </w:tbl>
    <w:p w:rsidR="00B640B5" w:rsidRPr="00A476E7" w:rsidRDefault="00B640B5" w:rsidP="00B640B5"/>
    <w:sectPr w:rsidR="00B640B5" w:rsidRPr="00A476E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1EAA" w:rsidRDefault="00AD1EAA" w:rsidP="00AD1EAA">
      <w:pPr>
        <w:spacing w:after="0" w:line="240" w:lineRule="auto"/>
      </w:pPr>
      <w:r>
        <w:separator/>
      </w:r>
    </w:p>
  </w:endnote>
  <w:endnote w:type="continuationSeparator" w:id="0">
    <w:p w:rsidR="00AD1EAA" w:rsidRDefault="00AD1EAA" w:rsidP="00AD1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1EAA" w:rsidRDefault="00AD1EAA" w:rsidP="00AD1EAA">
      <w:pPr>
        <w:spacing w:after="0" w:line="240" w:lineRule="auto"/>
      </w:pPr>
      <w:r>
        <w:separator/>
      </w:r>
    </w:p>
  </w:footnote>
  <w:footnote w:type="continuationSeparator" w:id="0">
    <w:p w:rsidR="00AD1EAA" w:rsidRDefault="00AD1EAA" w:rsidP="00AD1E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D336E9"/>
    <w:multiLevelType w:val="hybridMultilevel"/>
    <w:tmpl w:val="86FC1610"/>
    <w:lvl w:ilvl="0" w:tplc="3CE8DBE4">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3EDF36E5"/>
    <w:multiLevelType w:val="hybridMultilevel"/>
    <w:tmpl w:val="7F64A58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BDA"/>
    <w:rsid w:val="00166E70"/>
    <w:rsid w:val="001E27C3"/>
    <w:rsid w:val="002D629C"/>
    <w:rsid w:val="003834FF"/>
    <w:rsid w:val="003F5295"/>
    <w:rsid w:val="00412CB8"/>
    <w:rsid w:val="004F4BDA"/>
    <w:rsid w:val="005C659F"/>
    <w:rsid w:val="00661333"/>
    <w:rsid w:val="00667A24"/>
    <w:rsid w:val="006F01C8"/>
    <w:rsid w:val="007B5515"/>
    <w:rsid w:val="00A476E7"/>
    <w:rsid w:val="00A947AC"/>
    <w:rsid w:val="00AD1EAA"/>
    <w:rsid w:val="00B640B5"/>
    <w:rsid w:val="00E17E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A1A640"/>
  <w15:chartTrackingRefBased/>
  <w15:docId w15:val="{5F72E756-0042-4466-87E0-968983E6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4BDA"/>
    <w:pPr>
      <w:ind w:leftChars="400" w:left="800"/>
    </w:pPr>
  </w:style>
  <w:style w:type="table" w:styleId="a4">
    <w:name w:val="Table Grid"/>
    <w:basedOn w:val="a1"/>
    <w:uiPriority w:val="59"/>
    <w:rsid w:val="00B640B5"/>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A476E7"/>
    <w:rPr>
      <w:b/>
      <w:bCs/>
    </w:rPr>
  </w:style>
  <w:style w:type="paragraph" w:styleId="a6">
    <w:name w:val="header"/>
    <w:basedOn w:val="a"/>
    <w:link w:val="Char"/>
    <w:uiPriority w:val="99"/>
    <w:unhideWhenUsed/>
    <w:rsid w:val="00AD1EAA"/>
    <w:pPr>
      <w:tabs>
        <w:tab w:val="center" w:pos="4513"/>
        <w:tab w:val="right" w:pos="9026"/>
      </w:tabs>
      <w:snapToGrid w:val="0"/>
    </w:pPr>
  </w:style>
  <w:style w:type="character" w:customStyle="1" w:styleId="Char">
    <w:name w:val="머리글 Char"/>
    <w:basedOn w:val="a0"/>
    <w:link w:val="a6"/>
    <w:uiPriority w:val="99"/>
    <w:rsid w:val="00AD1EAA"/>
  </w:style>
  <w:style w:type="paragraph" w:styleId="a7">
    <w:name w:val="footer"/>
    <w:basedOn w:val="a"/>
    <w:link w:val="Char0"/>
    <w:uiPriority w:val="99"/>
    <w:unhideWhenUsed/>
    <w:rsid w:val="00AD1EAA"/>
    <w:pPr>
      <w:tabs>
        <w:tab w:val="center" w:pos="4513"/>
        <w:tab w:val="right" w:pos="9026"/>
      </w:tabs>
      <w:snapToGrid w:val="0"/>
    </w:pPr>
  </w:style>
  <w:style w:type="character" w:customStyle="1" w:styleId="Char0">
    <w:name w:val="바닥글 Char"/>
    <w:basedOn w:val="a0"/>
    <w:link w:val="a7"/>
    <w:uiPriority w:val="99"/>
    <w:rsid w:val="00AD1E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622000">
      <w:bodyDiv w:val="1"/>
      <w:marLeft w:val="0"/>
      <w:marRight w:val="0"/>
      <w:marTop w:val="0"/>
      <w:marBottom w:val="0"/>
      <w:divBdr>
        <w:top w:val="none" w:sz="0" w:space="0" w:color="auto"/>
        <w:left w:val="none" w:sz="0" w:space="0" w:color="auto"/>
        <w:bottom w:val="none" w:sz="0" w:space="0" w:color="auto"/>
        <w:right w:val="none" w:sz="0" w:space="0" w:color="auto"/>
      </w:divBdr>
    </w:div>
    <w:div w:id="435713313">
      <w:bodyDiv w:val="1"/>
      <w:marLeft w:val="0"/>
      <w:marRight w:val="0"/>
      <w:marTop w:val="0"/>
      <w:marBottom w:val="0"/>
      <w:divBdr>
        <w:top w:val="none" w:sz="0" w:space="0" w:color="auto"/>
        <w:left w:val="none" w:sz="0" w:space="0" w:color="auto"/>
        <w:bottom w:val="none" w:sz="0" w:space="0" w:color="auto"/>
        <w:right w:val="none" w:sz="0" w:space="0" w:color="auto"/>
      </w:divBdr>
    </w:div>
    <w:div w:id="519778229">
      <w:bodyDiv w:val="1"/>
      <w:marLeft w:val="0"/>
      <w:marRight w:val="0"/>
      <w:marTop w:val="0"/>
      <w:marBottom w:val="0"/>
      <w:divBdr>
        <w:top w:val="none" w:sz="0" w:space="0" w:color="auto"/>
        <w:left w:val="none" w:sz="0" w:space="0" w:color="auto"/>
        <w:bottom w:val="none" w:sz="0" w:space="0" w:color="auto"/>
        <w:right w:val="none" w:sz="0" w:space="0" w:color="auto"/>
      </w:divBdr>
    </w:div>
    <w:div w:id="579827610">
      <w:bodyDiv w:val="1"/>
      <w:marLeft w:val="0"/>
      <w:marRight w:val="0"/>
      <w:marTop w:val="0"/>
      <w:marBottom w:val="0"/>
      <w:divBdr>
        <w:top w:val="none" w:sz="0" w:space="0" w:color="auto"/>
        <w:left w:val="none" w:sz="0" w:space="0" w:color="auto"/>
        <w:bottom w:val="none" w:sz="0" w:space="0" w:color="auto"/>
        <w:right w:val="none" w:sz="0" w:space="0" w:color="auto"/>
      </w:divBdr>
    </w:div>
    <w:div w:id="703021509">
      <w:bodyDiv w:val="1"/>
      <w:marLeft w:val="0"/>
      <w:marRight w:val="0"/>
      <w:marTop w:val="0"/>
      <w:marBottom w:val="0"/>
      <w:divBdr>
        <w:top w:val="none" w:sz="0" w:space="0" w:color="auto"/>
        <w:left w:val="none" w:sz="0" w:space="0" w:color="auto"/>
        <w:bottom w:val="none" w:sz="0" w:space="0" w:color="auto"/>
        <w:right w:val="none" w:sz="0" w:space="0" w:color="auto"/>
      </w:divBdr>
    </w:div>
    <w:div w:id="739982019">
      <w:bodyDiv w:val="1"/>
      <w:marLeft w:val="0"/>
      <w:marRight w:val="0"/>
      <w:marTop w:val="0"/>
      <w:marBottom w:val="0"/>
      <w:divBdr>
        <w:top w:val="none" w:sz="0" w:space="0" w:color="auto"/>
        <w:left w:val="none" w:sz="0" w:space="0" w:color="auto"/>
        <w:bottom w:val="none" w:sz="0" w:space="0" w:color="auto"/>
        <w:right w:val="none" w:sz="0" w:space="0" w:color="auto"/>
      </w:divBdr>
    </w:div>
    <w:div w:id="783767601">
      <w:bodyDiv w:val="1"/>
      <w:marLeft w:val="0"/>
      <w:marRight w:val="0"/>
      <w:marTop w:val="0"/>
      <w:marBottom w:val="0"/>
      <w:divBdr>
        <w:top w:val="none" w:sz="0" w:space="0" w:color="auto"/>
        <w:left w:val="none" w:sz="0" w:space="0" w:color="auto"/>
        <w:bottom w:val="none" w:sz="0" w:space="0" w:color="auto"/>
        <w:right w:val="none" w:sz="0" w:space="0" w:color="auto"/>
      </w:divBdr>
    </w:div>
    <w:div w:id="925768142">
      <w:bodyDiv w:val="1"/>
      <w:marLeft w:val="0"/>
      <w:marRight w:val="0"/>
      <w:marTop w:val="0"/>
      <w:marBottom w:val="0"/>
      <w:divBdr>
        <w:top w:val="none" w:sz="0" w:space="0" w:color="auto"/>
        <w:left w:val="none" w:sz="0" w:space="0" w:color="auto"/>
        <w:bottom w:val="none" w:sz="0" w:space="0" w:color="auto"/>
        <w:right w:val="none" w:sz="0" w:space="0" w:color="auto"/>
      </w:divBdr>
    </w:div>
    <w:div w:id="1041587468">
      <w:bodyDiv w:val="1"/>
      <w:marLeft w:val="0"/>
      <w:marRight w:val="0"/>
      <w:marTop w:val="0"/>
      <w:marBottom w:val="0"/>
      <w:divBdr>
        <w:top w:val="none" w:sz="0" w:space="0" w:color="auto"/>
        <w:left w:val="none" w:sz="0" w:space="0" w:color="auto"/>
        <w:bottom w:val="none" w:sz="0" w:space="0" w:color="auto"/>
        <w:right w:val="none" w:sz="0" w:space="0" w:color="auto"/>
      </w:divBdr>
    </w:div>
    <w:div w:id="1058163597">
      <w:bodyDiv w:val="1"/>
      <w:marLeft w:val="0"/>
      <w:marRight w:val="0"/>
      <w:marTop w:val="0"/>
      <w:marBottom w:val="0"/>
      <w:divBdr>
        <w:top w:val="none" w:sz="0" w:space="0" w:color="auto"/>
        <w:left w:val="none" w:sz="0" w:space="0" w:color="auto"/>
        <w:bottom w:val="none" w:sz="0" w:space="0" w:color="auto"/>
        <w:right w:val="none" w:sz="0" w:space="0" w:color="auto"/>
      </w:divBdr>
    </w:div>
    <w:div w:id="1137844569">
      <w:bodyDiv w:val="1"/>
      <w:marLeft w:val="0"/>
      <w:marRight w:val="0"/>
      <w:marTop w:val="0"/>
      <w:marBottom w:val="0"/>
      <w:divBdr>
        <w:top w:val="none" w:sz="0" w:space="0" w:color="auto"/>
        <w:left w:val="none" w:sz="0" w:space="0" w:color="auto"/>
        <w:bottom w:val="none" w:sz="0" w:space="0" w:color="auto"/>
        <w:right w:val="none" w:sz="0" w:space="0" w:color="auto"/>
      </w:divBdr>
    </w:div>
    <w:div w:id="1380932654">
      <w:bodyDiv w:val="1"/>
      <w:marLeft w:val="0"/>
      <w:marRight w:val="0"/>
      <w:marTop w:val="0"/>
      <w:marBottom w:val="0"/>
      <w:divBdr>
        <w:top w:val="none" w:sz="0" w:space="0" w:color="auto"/>
        <w:left w:val="none" w:sz="0" w:space="0" w:color="auto"/>
        <w:bottom w:val="none" w:sz="0" w:space="0" w:color="auto"/>
        <w:right w:val="none" w:sz="0" w:space="0" w:color="auto"/>
      </w:divBdr>
    </w:div>
    <w:div w:id="1410038058">
      <w:bodyDiv w:val="1"/>
      <w:marLeft w:val="0"/>
      <w:marRight w:val="0"/>
      <w:marTop w:val="0"/>
      <w:marBottom w:val="0"/>
      <w:divBdr>
        <w:top w:val="none" w:sz="0" w:space="0" w:color="auto"/>
        <w:left w:val="none" w:sz="0" w:space="0" w:color="auto"/>
        <w:bottom w:val="none" w:sz="0" w:space="0" w:color="auto"/>
        <w:right w:val="none" w:sz="0" w:space="0" w:color="auto"/>
      </w:divBdr>
    </w:div>
    <w:div w:id="1488934634">
      <w:bodyDiv w:val="1"/>
      <w:marLeft w:val="0"/>
      <w:marRight w:val="0"/>
      <w:marTop w:val="0"/>
      <w:marBottom w:val="0"/>
      <w:divBdr>
        <w:top w:val="none" w:sz="0" w:space="0" w:color="auto"/>
        <w:left w:val="none" w:sz="0" w:space="0" w:color="auto"/>
        <w:bottom w:val="none" w:sz="0" w:space="0" w:color="auto"/>
        <w:right w:val="none" w:sz="0" w:space="0" w:color="auto"/>
      </w:divBdr>
    </w:div>
    <w:div w:id="1513180191">
      <w:bodyDiv w:val="1"/>
      <w:marLeft w:val="0"/>
      <w:marRight w:val="0"/>
      <w:marTop w:val="0"/>
      <w:marBottom w:val="0"/>
      <w:divBdr>
        <w:top w:val="none" w:sz="0" w:space="0" w:color="auto"/>
        <w:left w:val="none" w:sz="0" w:space="0" w:color="auto"/>
        <w:bottom w:val="none" w:sz="0" w:space="0" w:color="auto"/>
        <w:right w:val="none" w:sz="0" w:space="0" w:color="auto"/>
      </w:divBdr>
    </w:div>
    <w:div w:id="1807624591">
      <w:bodyDiv w:val="1"/>
      <w:marLeft w:val="0"/>
      <w:marRight w:val="0"/>
      <w:marTop w:val="0"/>
      <w:marBottom w:val="0"/>
      <w:divBdr>
        <w:top w:val="none" w:sz="0" w:space="0" w:color="auto"/>
        <w:left w:val="none" w:sz="0" w:space="0" w:color="auto"/>
        <w:bottom w:val="none" w:sz="0" w:space="0" w:color="auto"/>
        <w:right w:val="none" w:sz="0" w:space="0" w:color="auto"/>
      </w:divBdr>
    </w:div>
    <w:div w:id="1903832354">
      <w:bodyDiv w:val="1"/>
      <w:marLeft w:val="0"/>
      <w:marRight w:val="0"/>
      <w:marTop w:val="0"/>
      <w:marBottom w:val="0"/>
      <w:divBdr>
        <w:top w:val="none" w:sz="0" w:space="0" w:color="auto"/>
        <w:left w:val="none" w:sz="0" w:space="0" w:color="auto"/>
        <w:bottom w:val="none" w:sz="0" w:space="0" w:color="auto"/>
        <w:right w:val="none" w:sz="0" w:space="0" w:color="auto"/>
      </w:divBdr>
    </w:div>
    <w:div w:id="1981421211">
      <w:bodyDiv w:val="1"/>
      <w:marLeft w:val="0"/>
      <w:marRight w:val="0"/>
      <w:marTop w:val="0"/>
      <w:marBottom w:val="0"/>
      <w:divBdr>
        <w:top w:val="none" w:sz="0" w:space="0" w:color="auto"/>
        <w:left w:val="none" w:sz="0" w:space="0" w:color="auto"/>
        <w:bottom w:val="none" w:sz="0" w:space="0" w:color="auto"/>
        <w:right w:val="none" w:sz="0" w:space="0" w:color="auto"/>
      </w:divBdr>
    </w:div>
    <w:div w:id="1993826703">
      <w:bodyDiv w:val="1"/>
      <w:marLeft w:val="0"/>
      <w:marRight w:val="0"/>
      <w:marTop w:val="0"/>
      <w:marBottom w:val="0"/>
      <w:divBdr>
        <w:top w:val="none" w:sz="0" w:space="0" w:color="auto"/>
        <w:left w:val="none" w:sz="0" w:space="0" w:color="auto"/>
        <w:bottom w:val="none" w:sz="0" w:space="0" w:color="auto"/>
        <w:right w:val="none" w:sz="0" w:space="0" w:color="auto"/>
      </w:divBdr>
    </w:div>
    <w:div w:id="2010064207">
      <w:bodyDiv w:val="1"/>
      <w:marLeft w:val="0"/>
      <w:marRight w:val="0"/>
      <w:marTop w:val="0"/>
      <w:marBottom w:val="0"/>
      <w:divBdr>
        <w:top w:val="none" w:sz="0" w:space="0" w:color="auto"/>
        <w:left w:val="none" w:sz="0" w:space="0" w:color="auto"/>
        <w:bottom w:val="none" w:sz="0" w:space="0" w:color="auto"/>
        <w:right w:val="none" w:sz="0" w:space="0" w:color="auto"/>
      </w:divBdr>
    </w:div>
    <w:div w:id="2024817496">
      <w:bodyDiv w:val="1"/>
      <w:marLeft w:val="0"/>
      <w:marRight w:val="0"/>
      <w:marTop w:val="0"/>
      <w:marBottom w:val="0"/>
      <w:divBdr>
        <w:top w:val="none" w:sz="0" w:space="0" w:color="auto"/>
        <w:left w:val="none" w:sz="0" w:space="0" w:color="auto"/>
        <w:bottom w:val="none" w:sz="0" w:space="0" w:color="auto"/>
        <w:right w:val="none" w:sz="0" w:space="0" w:color="auto"/>
      </w:divBdr>
    </w:div>
    <w:div w:id="2037730479">
      <w:bodyDiv w:val="1"/>
      <w:marLeft w:val="0"/>
      <w:marRight w:val="0"/>
      <w:marTop w:val="0"/>
      <w:marBottom w:val="0"/>
      <w:divBdr>
        <w:top w:val="none" w:sz="0" w:space="0" w:color="auto"/>
        <w:left w:val="none" w:sz="0" w:space="0" w:color="auto"/>
        <w:bottom w:val="none" w:sz="0" w:space="0" w:color="auto"/>
        <w:right w:val="none" w:sz="0" w:space="0" w:color="auto"/>
      </w:divBdr>
    </w:div>
    <w:div w:id="2097285496">
      <w:bodyDiv w:val="1"/>
      <w:marLeft w:val="0"/>
      <w:marRight w:val="0"/>
      <w:marTop w:val="0"/>
      <w:marBottom w:val="0"/>
      <w:divBdr>
        <w:top w:val="none" w:sz="0" w:space="0" w:color="auto"/>
        <w:left w:val="none" w:sz="0" w:space="0" w:color="auto"/>
        <w:bottom w:val="none" w:sz="0" w:space="0" w:color="auto"/>
        <w:right w:val="none" w:sz="0" w:space="0" w:color="auto"/>
      </w:divBdr>
    </w:div>
    <w:div w:id="2109812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5</Pages>
  <Words>1485</Words>
  <Characters>8469</Characters>
  <Application>Microsoft Office Word</Application>
  <DocSecurity>0</DocSecurity>
  <Lines>70</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조지은/채널IT파트(화재IT)</dc:creator>
  <cp:keywords/>
  <dc:description/>
  <cp:lastModifiedBy>SDS</cp:lastModifiedBy>
  <cp:revision>17</cp:revision>
  <dcterms:created xsi:type="dcterms:W3CDTF">2026-04-09T04:29:00Z</dcterms:created>
  <dcterms:modified xsi:type="dcterms:W3CDTF">2026-05-22T00:57:00Z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F8F6A529AF2564CD694B537585FCD6C33D02481BABFE9D3F311DD2F5001395B509E8B550A3151ABC66DC39F8856610CA513068BC1D4A91593C797BE50E608C94</vt:lpwstr>
  </property>
</Properties>
</file>