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418" w:rsidRDefault="00F16418" w:rsidP="004F4BDA">
      <w:pPr>
        <w:rPr>
          <w:b/>
        </w:rPr>
      </w:pPr>
      <w:r w:rsidRPr="00F16418">
        <w:rPr>
          <w:rFonts w:hint="eastAsia"/>
          <w:b/>
        </w:rPr>
        <w:t>글로벌</w:t>
      </w:r>
      <w:r w:rsidRPr="00F16418">
        <w:rPr>
          <w:b/>
        </w:rPr>
        <w:t xml:space="preserve"> 해운 얼라이언스 재편</w:t>
      </w:r>
      <w:r w:rsidRPr="00F16418">
        <w:rPr>
          <w:rFonts w:hint="eastAsia"/>
          <w:b/>
        </w:rPr>
        <w:t xml:space="preserve"> </w:t>
      </w:r>
    </w:p>
    <w:p w:rsidR="004F4BDA" w:rsidRDefault="00F16418" w:rsidP="004F4BDA">
      <w:r w:rsidRPr="00F16418">
        <w:t>2025년 해운 얼라이언스 재편이 해운시장과 글로벌 공급망에 미치는 영향</w:t>
      </w:r>
    </w:p>
    <w:p w:rsidR="00F16418" w:rsidRDefault="00F16418" w:rsidP="004F4BDA">
      <w:pPr>
        <w:rPr>
          <w:b/>
        </w:rPr>
      </w:pPr>
      <w:r w:rsidRPr="00F16418">
        <w:rPr>
          <w:rFonts w:hint="eastAsia"/>
          <w:b/>
        </w:rPr>
        <w:t>해운산업의</w:t>
      </w:r>
      <w:r w:rsidRPr="00F16418">
        <w:rPr>
          <w:b/>
        </w:rPr>
        <w:t xml:space="preserve"> 새로운 경쟁 질서</w:t>
      </w:r>
      <w:r w:rsidRPr="00F16418">
        <w:rPr>
          <w:rFonts w:hint="eastAsia"/>
          <w:b/>
        </w:rPr>
        <w:t xml:space="preserve"> </w:t>
      </w:r>
    </w:p>
    <w:p w:rsidR="00F16418" w:rsidRDefault="00F16418" w:rsidP="00F16418">
      <w:r>
        <w:t>2025년 글로벌 해운산업은 구조적 전환기에 진입하고 있습니다. Maersk와 MSC의 2M 얼라이언스가 종료되고, MSC는 독자 운영을 선택했으며, Maersk와 Hapag-Lloyd는 Gemini Cooperation을 출범했습니다. 또한 ONE, HMM, Yang Ming은 Premier Alliance를 구성하면서 글로벌 컨테이너 해운시장의 경쟁 구도는 정시성, 네트워크 효율성, 지속가능성, 공급망 회복탄력성을 중심으로 재편되고 있습니다.</w:t>
      </w:r>
    </w:p>
    <w:p w:rsidR="004F4BDA" w:rsidRPr="00F16418" w:rsidRDefault="00F16418" w:rsidP="00F16418">
      <w:r>
        <w:rPr>
          <w:rFonts w:hint="eastAsia"/>
        </w:rPr>
        <w:t>본</w:t>
      </w:r>
      <w:r>
        <w:t xml:space="preserve"> 백서는 글로벌 해운 얼라이언스의 발전 과정과 2025년 얼라이언스 재편의 전략적 의미를 살펴보고, 이러한 변화가 선사, 화주, 항만, 내륙 물류, 글로벌 공급망에 미치는 영향을 분석합니다. 또한 해운산업이 가격 중심 경쟁에서 가치 기반 경쟁으로 전환하고 있는 이유를 설명합니다.</w:t>
      </w:r>
    </w:p>
    <w:p w:rsidR="001E27C3" w:rsidRDefault="004F4BDA" w:rsidP="004F4BDA">
      <w:pPr>
        <w:rPr>
          <w:rFonts w:ascii="맑은 고딕" w:hAnsi="맑은 고딕" w:cs="맑은 고딕"/>
        </w:rPr>
      </w:pPr>
      <w:r>
        <w:rPr>
          <w:rFonts w:hint="eastAsia"/>
        </w:rPr>
        <w:t>게시일자</w:t>
      </w:r>
      <w:r>
        <w:t xml:space="preserve"> : 2026년 </w:t>
      </w:r>
      <w:r w:rsidR="00F16418">
        <w:t>7</w:t>
      </w:r>
      <w:r>
        <w:rPr>
          <w:rFonts w:ascii="맑은 고딕" w:hAnsi="맑은 고딕" w:cs="맑은 고딕"/>
        </w:rPr>
        <w:t>월</w:t>
      </w:r>
      <w:r>
        <w:t xml:space="preserve"> </w:t>
      </w:r>
      <w:r>
        <w:rPr>
          <w:rFonts w:ascii="MS Gothic" w:eastAsia="MS Gothic" w:hAnsi="MS Gothic" w:cs="MS Gothic" w:hint="eastAsia"/>
        </w:rPr>
        <w:t>〇</w:t>
      </w:r>
      <w:r>
        <w:rPr>
          <w:rFonts w:ascii="맑은 고딕" w:hAnsi="맑은 고딕" w:cs="맑은 고딕"/>
        </w:rPr>
        <w:t>일</w:t>
      </w:r>
    </w:p>
    <w:p w:rsidR="004F4BDA" w:rsidRDefault="004F4BDA" w:rsidP="004F4BDA">
      <w:pPr>
        <w:rPr>
          <w:rFonts w:ascii="맑은 고딕" w:hAnsi="맑은 고딕" w:cs="맑은 고딕"/>
        </w:rPr>
      </w:pPr>
    </w:p>
    <w:p w:rsidR="004F4BDA" w:rsidRDefault="004F4BDA" w:rsidP="004F4BDA">
      <w:pPr>
        <w:rPr>
          <w:rFonts w:ascii="맑은 고딕" w:hAnsi="맑은 고딕" w:cs="맑은 고딕"/>
        </w:rPr>
      </w:pPr>
      <w:r>
        <w:rPr>
          <w:rFonts w:ascii="맑은 고딕" w:hAnsi="맑은 고딕" w:cs="맑은 고딕" w:hint="eastAsia"/>
        </w:rPr>
        <w:t xml:space="preserve">저자 </w:t>
      </w:r>
      <w:r w:rsidR="00F16418">
        <w:rPr>
          <w:rFonts w:ascii="맑은 고딕" w:hAnsi="맑은 고딕" w:cs="맑은 고딕" w:hint="eastAsia"/>
        </w:rPr>
        <w:t>소개</w:t>
      </w:r>
    </w:p>
    <w:p w:rsidR="00F16418" w:rsidRDefault="00F16418" w:rsidP="004F4BDA">
      <w:pPr>
        <w:rPr>
          <w:rFonts w:ascii="맑은 고딕" w:hAnsi="맑은 고딕" w:cs="맑은 고딕"/>
        </w:rPr>
      </w:pPr>
      <w:r w:rsidRPr="00F16418">
        <w:rPr>
          <w:rFonts w:ascii="맑은 고딕" w:hAnsi="맑은 고딕" w:cs="맑은 고딕" w:hint="eastAsia"/>
        </w:rPr>
        <w:t>전준우</w:t>
      </w:r>
      <w:r w:rsidRPr="00F16418">
        <w:rPr>
          <w:rFonts w:ascii="맑은 고딕" w:hAnsi="맑은 고딕" w:cs="맑은 고딕"/>
        </w:rPr>
        <w:t xml:space="preserve"> 교수</w:t>
      </w:r>
    </w:p>
    <w:p w:rsidR="00F16418" w:rsidRDefault="00F16418" w:rsidP="004F4BDA">
      <w:pPr>
        <w:rPr>
          <w:rFonts w:ascii="맑은 고딕" w:hAnsi="맑은 고딕" w:cs="맑은 고딕" w:hint="eastAsia"/>
        </w:rPr>
      </w:pPr>
      <w:r w:rsidRPr="00F16418">
        <w:rPr>
          <w:rFonts w:ascii="맑은 고딕" w:hAnsi="맑은 고딕" w:cs="맑은 고딕" w:hint="eastAsia"/>
        </w:rPr>
        <w:t>전준우</w:t>
      </w:r>
      <w:r w:rsidRPr="00F16418">
        <w:rPr>
          <w:rFonts w:ascii="맑은 고딕" w:hAnsi="맑은 고딕" w:cs="맑은 고딕"/>
        </w:rPr>
        <w:t xml:space="preserve"> 교수는 데이터 사이언스를 기반으로 컨테이너 해운 시황을 연구하는 해운물류 전문가입니다. 삼성SDS, 해양수산부, 한국해양진흥공사, University of Liverpool 등 주요 기관과의 협력 프로젝트를 수행하며 해운산업 분석과 운임 예측 연구를 이끌고 있습니다.</w:t>
      </w:r>
    </w:p>
    <w:p w:rsidR="004F4BDA" w:rsidRDefault="004F4BDA" w:rsidP="004F4BDA">
      <w:pPr>
        <w:rPr>
          <w:rFonts w:ascii="맑은 고딕" w:hAnsi="맑은 고딕" w:cs="맑은 고딕"/>
        </w:rPr>
      </w:pPr>
    </w:p>
    <w:p w:rsidR="004F4BDA" w:rsidRPr="003F5295" w:rsidRDefault="004F4BDA" w:rsidP="004F4BDA">
      <w:pPr>
        <w:rPr>
          <w:rFonts w:ascii="맑은 고딕" w:hAnsi="맑은 고딕" w:cs="맑은 고딕"/>
          <w:b/>
        </w:rPr>
      </w:pPr>
      <w:r w:rsidRPr="003F5295">
        <w:rPr>
          <w:rFonts w:ascii="맑은 고딕" w:hAnsi="맑은 고딕" w:cs="맑은 고딕"/>
          <w:b/>
        </w:rPr>
        <w:t>주요</w:t>
      </w:r>
      <w:r w:rsidRPr="003F5295">
        <w:rPr>
          <w:rFonts w:ascii="맑은 고딕" w:hAnsi="맑은 고딕" w:cs="맑은 고딕" w:hint="eastAsia"/>
          <w:b/>
        </w:rPr>
        <w:t xml:space="preserve"> 개념 정의</w:t>
      </w:r>
    </w:p>
    <w:p w:rsidR="00F16418" w:rsidRPr="00F16418" w:rsidRDefault="00F16418" w:rsidP="00F16418">
      <w:pPr>
        <w:rPr>
          <w:rFonts w:ascii="맑은 고딕" w:hAnsi="맑은 고딕" w:cs="맑은 고딕"/>
        </w:rPr>
      </w:pPr>
      <w:r w:rsidRPr="00F16418">
        <w:rPr>
          <w:rFonts w:ascii="맑은 고딕" w:hAnsi="맑은 고딕" w:cs="맑은 고딕" w:hint="eastAsia"/>
        </w:rPr>
        <w:t>해운</w:t>
      </w:r>
      <w:r w:rsidRPr="00F16418">
        <w:rPr>
          <w:rFonts w:ascii="맑은 고딕" w:hAnsi="맑은 고딕" w:cs="맑은 고딕"/>
        </w:rPr>
        <w:t xml:space="preserve"> 얼라이언스</w:t>
      </w:r>
    </w:p>
    <w:p w:rsidR="00F16418" w:rsidRPr="00F16418" w:rsidRDefault="00F16418" w:rsidP="00F16418">
      <w:pPr>
        <w:rPr>
          <w:rFonts w:ascii="맑은 고딕" w:hAnsi="맑은 고딕" w:cs="맑은 고딕"/>
        </w:rPr>
      </w:pPr>
      <w:r w:rsidRPr="00F16418">
        <w:rPr>
          <w:rFonts w:ascii="맑은 고딕" w:hAnsi="맑은 고딕" w:cs="맑은 고딕" w:hint="eastAsia"/>
        </w:rPr>
        <w:t>해운</w:t>
      </w:r>
      <w:r w:rsidRPr="00F16418">
        <w:rPr>
          <w:rFonts w:ascii="맑은 고딕" w:hAnsi="맑은 고딕" w:cs="맑은 고딕"/>
        </w:rPr>
        <w:t xml:space="preserve"> 얼라이언스는 컨테이너 선사들이 선박, 항로, 선복, 네트워크 자원을 공유해 서비스 범위와 운영 효율성을 높이는 협력 구조입니다. 현대의 글로벌 얼라이언스는 단순한 선박 공유를 넘어 항로 조정, 공동 터미널 운영, 컨테이너 공동 관리, 선복 공유까지 포함합니다.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해운동맹</w:t>
      </w:r>
      <w:r w:rsidRPr="00F16418">
        <w:rPr>
          <w:rFonts w:ascii="맑은 고딕" w:hAnsi="맑은 고딕" w:cs="맑은 고딕"/>
        </w:rPr>
        <w:t>, Shipping Conference</w:t>
      </w:r>
    </w:p>
    <w:p w:rsidR="00F16418" w:rsidRPr="00F16418" w:rsidRDefault="00F16418" w:rsidP="00F16418">
      <w:pPr>
        <w:rPr>
          <w:rFonts w:ascii="맑은 고딕" w:hAnsi="맑은 고딕" w:cs="맑은 고딕"/>
        </w:rPr>
      </w:pPr>
      <w:r w:rsidRPr="00F16418">
        <w:rPr>
          <w:rFonts w:ascii="맑은 고딕" w:hAnsi="맑은 고딕" w:cs="맑은 고딕" w:hint="eastAsia"/>
        </w:rPr>
        <w:t>해운동맹은</w:t>
      </w:r>
      <w:r w:rsidRPr="00F16418">
        <w:rPr>
          <w:rFonts w:ascii="맑은 고딕" w:hAnsi="맑은 고딕" w:cs="맑은 고딕"/>
        </w:rPr>
        <w:t xml:space="preserve"> 동일 항로를 운항하는 선사들이 운임과 서비스 조건을 공동으로 설정해 경쟁을 제한하고 시장 질서를 유지하던 초기 협력 모델입니다. 1870년대 증기선 도입 이후 정기선 시장이 형성되면서 과도한 운임 경쟁을 완화하기 위한 방식으로 등장했습니다.</w:t>
      </w:r>
    </w:p>
    <w:p w:rsidR="00F16418" w:rsidRPr="00F16418" w:rsidRDefault="00F16418" w:rsidP="00F16418">
      <w:pPr>
        <w:rPr>
          <w:rFonts w:ascii="맑은 고딕" w:hAnsi="맑은 고딕" w:cs="맑은 고딕"/>
        </w:rPr>
      </w:pPr>
    </w:p>
    <w:p w:rsidR="00F16418" w:rsidRPr="00F16418" w:rsidRDefault="00F16418" w:rsidP="00F16418">
      <w:pPr>
        <w:rPr>
          <w:rFonts w:ascii="맑은 고딕" w:hAnsi="맑은 고딕" w:cs="맑은 고딕"/>
        </w:rPr>
      </w:pPr>
      <w:r w:rsidRPr="00F16418">
        <w:rPr>
          <w:rFonts w:ascii="맑은 고딕" w:hAnsi="맑은 고딕" w:cs="맑은 고딕" w:hint="eastAsia"/>
        </w:rPr>
        <w:lastRenderedPageBreak/>
        <w:t>컨소시엄</w:t>
      </w:r>
      <w:r w:rsidRPr="00F16418">
        <w:rPr>
          <w:rFonts w:ascii="맑은 고딕" w:hAnsi="맑은 고딕" w:cs="맑은 고딕"/>
        </w:rPr>
        <w:t>, Consortium</w:t>
      </w:r>
    </w:p>
    <w:p w:rsidR="00F16418" w:rsidRPr="00F16418" w:rsidRDefault="00F16418" w:rsidP="00F16418">
      <w:pPr>
        <w:rPr>
          <w:rFonts w:ascii="맑은 고딕" w:hAnsi="맑은 고딕" w:cs="맑은 고딕"/>
        </w:rPr>
      </w:pPr>
      <w:r w:rsidRPr="00F16418">
        <w:rPr>
          <w:rFonts w:ascii="맑은 고딕" w:hAnsi="맑은 고딕" w:cs="맑은 고딕" w:hint="eastAsia"/>
        </w:rPr>
        <w:t>컨소시엄은</w:t>
      </w:r>
      <w:r w:rsidRPr="00F16418">
        <w:rPr>
          <w:rFonts w:ascii="맑은 고딕" w:hAnsi="맑은 고딕" w:cs="맑은 고딕"/>
        </w:rPr>
        <w:t xml:space="preserve"> 선사들이 비용을 분담하고 서비스 범위를 확대하기 위해 도입한 다층적 협력 모델입니다. 선박 공유, 슬롯 차터, 슬롯 교환 등을 포함하며, 1960년대 컨테이너선 도입 이후 초기 투자와 운영 비용 부담을 줄이기 위한 협력 방식으로 발전했습니다.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선박</w:t>
      </w:r>
      <w:r w:rsidRPr="00F16418">
        <w:rPr>
          <w:rFonts w:ascii="맑은 고딕" w:hAnsi="맑은 고딕" w:cs="맑은 고딕"/>
        </w:rPr>
        <w:t xml:space="preserve"> 공유, Vessel Sharing</w:t>
      </w:r>
    </w:p>
    <w:p w:rsidR="00F16418" w:rsidRPr="00F16418" w:rsidRDefault="00F16418" w:rsidP="00F16418">
      <w:pPr>
        <w:rPr>
          <w:rFonts w:ascii="맑은 고딕" w:hAnsi="맑은 고딕" w:cs="맑은 고딕"/>
        </w:rPr>
      </w:pPr>
      <w:r w:rsidRPr="00F16418">
        <w:rPr>
          <w:rFonts w:ascii="맑은 고딕" w:hAnsi="맑은 고딕" w:cs="맑은 고딕" w:hint="eastAsia"/>
        </w:rPr>
        <w:t>선박</w:t>
      </w:r>
      <w:r w:rsidRPr="00F16418">
        <w:rPr>
          <w:rFonts w:ascii="맑은 고딕" w:hAnsi="맑은 고딕" w:cs="맑은 고딕"/>
        </w:rPr>
        <w:t xml:space="preserve"> 공유는 여러 선사가 특정 항로에서 선박을 공동으로 운항하는 방식입니다. 이를 통해 운항 빈도를 높이고 고정비를 줄이며, 더 넓은 네트워크 서비스를 제공할 수 있습니다.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슬롯</w:t>
      </w:r>
      <w:r w:rsidRPr="00F16418">
        <w:rPr>
          <w:rFonts w:ascii="맑은 고딕" w:hAnsi="맑은 고딕" w:cs="맑은 고딕"/>
        </w:rPr>
        <w:t xml:space="preserve"> 차터, Slot Charter</w:t>
      </w:r>
    </w:p>
    <w:p w:rsidR="00F16418" w:rsidRPr="00F16418" w:rsidRDefault="00F16418" w:rsidP="00F16418">
      <w:pPr>
        <w:rPr>
          <w:rFonts w:ascii="맑은 고딕" w:hAnsi="맑은 고딕" w:cs="맑은 고딕"/>
        </w:rPr>
      </w:pPr>
      <w:r w:rsidRPr="00F16418">
        <w:rPr>
          <w:rFonts w:ascii="맑은 고딕" w:hAnsi="맑은 고딕" w:cs="맑은 고딕" w:hint="eastAsia"/>
        </w:rPr>
        <w:t>슬롯</w:t>
      </w:r>
      <w:r w:rsidRPr="00F16418">
        <w:rPr>
          <w:rFonts w:ascii="맑은 고딕" w:hAnsi="맑은 고딕" w:cs="맑은 고딕"/>
        </w:rPr>
        <w:t xml:space="preserve"> 차터는 한 선사가 다른 선사의 선박 공간, 즉 선복을 임대해 화물을 운송하는 방식입니다. 모든 항로에 직접 선박을 투입하지 않아도 특정 노선의 서비스 커버리지를 확보할 수 있습니다.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슬롯</w:t>
      </w:r>
      <w:r w:rsidRPr="00F16418">
        <w:rPr>
          <w:rFonts w:ascii="맑은 고딕" w:hAnsi="맑은 고딕" w:cs="맑은 고딕"/>
        </w:rPr>
        <w:t xml:space="preserve"> 교환, Slot Exchange</w:t>
      </w:r>
    </w:p>
    <w:p w:rsidR="00F16418" w:rsidRPr="00F16418" w:rsidRDefault="00F16418" w:rsidP="00F16418">
      <w:pPr>
        <w:rPr>
          <w:rFonts w:ascii="맑은 고딕" w:hAnsi="맑은 고딕" w:cs="맑은 고딕"/>
        </w:rPr>
      </w:pPr>
      <w:r w:rsidRPr="00F16418">
        <w:rPr>
          <w:rFonts w:ascii="맑은 고딕" w:hAnsi="맑은 고딕" w:cs="맑은 고딕" w:hint="eastAsia"/>
        </w:rPr>
        <w:t>슬롯</w:t>
      </w:r>
      <w:r w:rsidRPr="00F16418">
        <w:rPr>
          <w:rFonts w:ascii="맑은 고딕" w:hAnsi="맑은 고딕" w:cs="맑은 고딕"/>
        </w:rPr>
        <w:t xml:space="preserve"> 교환은 선사들이 서로의 선박 공간을 교환해 사용하는 방식입니다. 각 선사는 핵심 항로에 집중하면서도 고객에게 더 넓은 항로 서비스를 제공할 수 있습니다.</w:t>
      </w:r>
    </w:p>
    <w:p w:rsidR="00F16418" w:rsidRPr="00F16418" w:rsidRDefault="00F16418" w:rsidP="00F16418">
      <w:pPr>
        <w:rPr>
          <w:rFonts w:ascii="맑은 고딕" w:hAnsi="맑은 고딕" w:cs="맑은 고딕"/>
        </w:rPr>
      </w:pPr>
      <w:r w:rsidRPr="00F16418">
        <w:rPr>
          <w:rFonts w:ascii="맑은 고딕" w:hAnsi="맑은 고딕" w:cs="맑은 고딕"/>
        </w:rPr>
        <w:t>2M 얼라이언스</w:t>
      </w:r>
    </w:p>
    <w:p w:rsidR="00F16418" w:rsidRPr="00F16418" w:rsidRDefault="00F16418" w:rsidP="00F16418">
      <w:pPr>
        <w:rPr>
          <w:rFonts w:ascii="맑은 고딕" w:hAnsi="맑은 고딕" w:cs="맑은 고딕"/>
        </w:rPr>
      </w:pPr>
      <w:r w:rsidRPr="00F16418">
        <w:rPr>
          <w:rFonts w:ascii="맑은 고딕" w:hAnsi="맑은 고딕" w:cs="맑은 고딕"/>
        </w:rPr>
        <w:t>2M 얼라이언스는 Maersk와 MSC가 구성했던 주요 글로벌 컨테이너 해운 얼라이언스입니다. 글로벌 무역의 중심축 역할을 해왔으나 2025년 초 공식적으로 종료되었고, 이후 글로벌 해운 얼라이언스 재편이 본격화되었습니다.</w:t>
      </w:r>
    </w:p>
    <w:p w:rsidR="00F16418" w:rsidRPr="00F16418" w:rsidRDefault="00F16418" w:rsidP="00F16418">
      <w:pPr>
        <w:rPr>
          <w:rFonts w:ascii="맑은 고딕" w:hAnsi="맑은 고딕" w:cs="맑은 고딕"/>
        </w:rPr>
      </w:pPr>
      <w:r w:rsidRPr="00F16418">
        <w:rPr>
          <w:rFonts w:ascii="맑은 고딕" w:hAnsi="맑은 고딕" w:cs="맑은 고딕"/>
        </w:rPr>
        <w:t>Gemini Cooperation</w:t>
      </w:r>
    </w:p>
    <w:p w:rsidR="00F16418" w:rsidRPr="00F16418" w:rsidRDefault="00F16418" w:rsidP="00F16418">
      <w:pPr>
        <w:rPr>
          <w:rFonts w:ascii="맑은 고딕" w:hAnsi="맑은 고딕" w:cs="맑은 고딕"/>
        </w:rPr>
      </w:pPr>
      <w:r w:rsidRPr="00F16418">
        <w:rPr>
          <w:rFonts w:ascii="맑은 고딕" w:hAnsi="맑은 고딕" w:cs="맑은 고딕"/>
        </w:rPr>
        <w:t>Gemini Cooperation은 2M 얼라이언스 종료 이후 Maersk와 Hapag-Lloyd가 출범한 전략적 협력체입니다. Hub-and-Spoke 모델을 기반으로 주요 허브 항만과 셔틀 서비스를 활용해 네트워크 효율성과 정시성을 높이는 것을 목표로 합니다.</w:t>
      </w:r>
    </w:p>
    <w:p w:rsidR="00F16418" w:rsidRPr="00F16418" w:rsidRDefault="00F16418" w:rsidP="00F16418">
      <w:pPr>
        <w:rPr>
          <w:rFonts w:ascii="맑은 고딕" w:hAnsi="맑은 고딕" w:cs="맑은 고딕"/>
        </w:rPr>
      </w:pPr>
      <w:r w:rsidRPr="00F16418">
        <w:rPr>
          <w:rFonts w:ascii="맑은 고딕" w:hAnsi="맑은 고딕" w:cs="맑은 고딕"/>
        </w:rPr>
        <w:t>Premier Alliance</w:t>
      </w:r>
    </w:p>
    <w:p w:rsidR="00F16418" w:rsidRPr="00F16418" w:rsidRDefault="00F16418" w:rsidP="00F16418">
      <w:pPr>
        <w:rPr>
          <w:rFonts w:ascii="맑은 고딕" w:hAnsi="맑은 고딕" w:cs="맑은 고딕"/>
        </w:rPr>
      </w:pPr>
      <w:r w:rsidRPr="00F16418">
        <w:rPr>
          <w:rFonts w:ascii="맑은 고딕" w:hAnsi="맑은 고딕" w:cs="맑은 고딕"/>
        </w:rPr>
        <w:t>Premier Alliance는 Hapag-Lloyd가 The Alliance를 탈퇴한 이후 ONE, HMM, Yang Ming이 구성한 새로운 협력체입니다. 태평양 및 아시아-중동 항로를 중심으로 협력을 강화하고, 아시아-유럽 항로에서는 MSC와의 선복 교환을 통해 전략적 유연성을 확보하고 있습니다.</w:t>
      </w:r>
    </w:p>
    <w:p w:rsidR="00F16418" w:rsidRPr="00F16418" w:rsidRDefault="00F16418" w:rsidP="00F16418">
      <w:pPr>
        <w:rPr>
          <w:rFonts w:ascii="맑은 고딕" w:hAnsi="맑은 고딕" w:cs="맑은 고딕"/>
        </w:rPr>
      </w:pPr>
      <w:r w:rsidRPr="00F16418">
        <w:rPr>
          <w:rFonts w:ascii="맑은 고딕" w:hAnsi="맑은 고딕" w:cs="맑은 고딕"/>
        </w:rPr>
        <w:t>Ocean Alliance</w:t>
      </w:r>
    </w:p>
    <w:p w:rsidR="00F16418" w:rsidRPr="00F16418" w:rsidRDefault="00F16418" w:rsidP="00F16418">
      <w:pPr>
        <w:rPr>
          <w:rFonts w:ascii="맑은 고딕" w:hAnsi="맑은 고딕" w:cs="맑은 고딕"/>
        </w:rPr>
      </w:pPr>
      <w:r w:rsidRPr="00F16418">
        <w:rPr>
          <w:rFonts w:ascii="맑은 고딕" w:hAnsi="맑은 고딕" w:cs="맑은 고딕"/>
        </w:rPr>
        <w:t>Ocean Alliance는 CMA CGM, COSCO Shipping, Evergreen, OOCL로 구성된 글로벌 해운 얼라이언스입니다. 기존 협력 체계를 유지하며 기술 혁신, 친환경 운항, 안정적 네트워크 운영을 중심으로 경쟁력을 강화하고 있습니다.</w:t>
      </w:r>
    </w:p>
    <w:p w:rsidR="00F16418" w:rsidRPr="00F16418" w:rsidRDefault="00F16418" w:rsidP="00F16418">
      <w:pPr>
        <w:rPr>
          <w:rFonts w:ascii="맑은 고딕" w:hAnsi="맑은 고딕" w:cs="맑은 고딕"/>
        </w:rPr>
      </w:pPr>
      <w:r w:rsidRPr="00F16418">
        <w:rPr>
          <w:rFonts w:ascii="맑은 고딕" w:hAnsi="맑은 고딕" w:cs="맑은 고딕"/>
        </w:rPr>
        <w:lastRenderedPageBreak/>
        <w:t>Hub-and-Spoke 모델</w:t>
      </w:r>
    </w:p>
    <w:p w:rsidR="00F16418" w:rsidRPr="00F16418" w:rsidRDefault="00F16418" w:rsidP="00F16418">
      <w:pPr>
        <w:rPr>
          <w:rFonts w:ascii="맑은 고딕" w:hAnsi="맑은 고딕" w:cs="맑은 고딕"/>
        </w:rPr>
      </w:pPr>
      <w:r w:rsidRPr="00F16418">
        <w:rPr>
          <w:rFonts w:ascii="맑은 고딕" w:hAnsi="맑은 고딕" w:cs="맑은 고딕"/>
        </w:rPr>
        <w:t>Hub-and-Spoke 모델은 주요 허브 항만에 화물을 집중한 뒤, 셔틀 또는 피더 서비스를 통해 개별 목적지로 분산 운송하는 네트워크 구조입니다. 해운에서는 선복 활용도, 운항 효율성, 스케줄 정시성을 높이는 방식으로 활용됩니다.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정시성</w:t>
      </w:r>
      <w:r w:rsidRPr="00F16418">
        <w:rPr>
          <w:rFonts w:ascii="맑은 고딕" w:hAnsi="맑은 고딕" w:cs="맑은 고딕"/>
        </w:rPr>
        <w:t>, Schedule Reliability</w:t>
      </w:r>
    </w:p>
    <w:p w:rsidR="00F16418" w:rsidRPr="00F16418" w:rsidRDefault="00F16418" w:rsidP="00F16418">
      <w:pPr>
        <w:rPr>
          <w:rFonts w:ascii="맑은 고딕" w:hAnsi="맑은 고딕" w:cs="맑은 고딕"/>
        </w:rPr>
      </w:pPr>
      <w:r w:rsidRPr="00F16418">
        <w:rPr>
          <w:rFonts w:ascii="맑은 고딕" w:hAnsi="맑은 고딕" w:cs="맑은 고딕" w:hint="eastAsia"/>
        </w:rPr>
        <w:t>정시성은</w:t>
      </w:r>
      <w:r w:rsidRPr="00F16418">
        <w:rPr>
          <w:rFonts w:ascii="맑은 고딕" w:hAnsi="맑은 고딕" w:cs="맑은 고딕"/>
        </w:rPr>
        <w:t xml:space="preserve"> 선사가 계획된 출항·도착 일정에 맞춰 서비스를 운영하는 능력을 의미합니다. 화주가 재고, 생산, 조달, 고객 납기 일정을 안정적으로 관리하기 위해 중요한 서비스 품질 지표입니다.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임시결항</w:t>
      </w:r>
      <w:r w:rsidRPr="00F16418">
        <w:rPr>
          <w:rFonts w:ascii="맑은 고딕" w:hAnsi="맑은 고딕" w:cs="맑은 고딕"/>
        </w:rPr>
        <w:t>, Blank Sailing</w:t>
      </w:r>
    </w:p>
    <w:p w:rsidR="00F16418" w:rsidRPr="00F16418" w:rsidRDefault="00F16418" w:rsidP="00F16418">
      <w:pPr>
        <w:rPr>
          <w:rFonts w:ascii="맑은 고딕" w:hAnsi="맑은 고딕" w:cs="맑은 고딕"/>
        </w:rPr>
      </w:pPr>
      <w:r w:rsidRPr="00F16418">
        <w:rPr>
          <w:rFonts w:ascii="맑은 고딕" w:hAnsi="맑은 고딕" w:cs="맑은 고딕" w:hint="eastAsia"/>
        </w:rPr>
        <w:t>임시결항은</w:t>
      </w:r>
      <w:r w:rsidRPr="00F16418">
        <w:rPr>
          <w:rFonts w:ascii="맑은 고딕" w:hAnsi="맑은 고딕" w:cs="맑은 고딕"/>
        </w:rPr>
        <w:t xml:space="preserve"> 예정된 선박 운항이 취소되는 것을 의미합니다. 선사들은 수요 둔화, 공급 과잉, 비용 부담 등에 대응하기 위해 임시결항을 활용하지만, 빈번한 임시결항은 화주의 공급망 불확실성을 높일 수 있습니다.</w:t>
      </w:r>
    </w:p>
    <w:p w:rsidR="00F16418" w:rsidRPr="00F16418" w:rsidRDefault="00F16418" w:rsidP="00F16418">
      <w:pPr>
        <w:rPr>
          <w:rFonts w:ascii="맑은 고딕" w:hAnsi="맑은 고딕" w:cs="맑은 고딕"/>
        </w:rPr>
      </w:pPr>
      <w:r w:rsidRPr="00F16418">
        <w:rPr>
          <w:rFonts w:ascii="맑은 고딕" w:hAnsi="맑은 고딕" w:cs="맑은 고딕" w:hint="eastAsia"/>
        </w:rPr>
        <w:t>가치</w:t>
      </w:r>
      <w:r w:rsidRPr="00F16418">
        <w:rPr>
          <w:rFonts w:ascii="맑은 고딕" w:hAnsi="맑은 고딕" w:cs="맑은 고딕"/>
        </w:rPr>
        <w:t xml:space="preserve"> 기반 경쟁</w:t>
      </w:r>
    </w:p>
    <w:p w:rsidR="004F4BDA" w:rsidRPr="00F16418" w:rsidRDefault="00F16418" w:rsidP="00F16418">
      <w:pPr>
        <w:rPr>
          <w:rFonts w:ascii="맑은 고딕" w:hAnsi="맑은 고딕" w:cs="맑은 고딕"/>
        </w:rPr>
      </w:pPr>
      <w:r w:rsidRPr="00F16418">
        <w:rPr>
          <w:rFonts w:ascii="맑은 고딕" w:hAnsi="맑은 고딕" w:cs="맑은 고딕" w:hint="eastAsia"/>
        </w:rPr>
        <w:t>가치</w:t>
      </w:r>
      <w:r w:rsidRPr="00F16418">
        <w:rPr>
          <w:rFonts w:ascii="맑은 고딕" w:hAnsi="맑은 고딕" w:cs="맑은 고딕"/>
        </w:rPr>
        <w:t xml:space="preserve"> 기반 경쟁은 운임과 시장점유율 중심의 경쟁에서 벗어나 정시성, 통합 물류, 디지털 가시성, 리스크 대응력, 친환경성, 공급망 안정성 등 실질적 가치를 중심으로 경쟁하는 방식입니다.</w:t>
      </w:r>
    </w:p>
    <w:p w:rsidR="004F4BDA" w:rsidRDefault="004F4BDA" w:rsidP="004F4BDA">
      <w:pPr>
        <w:rPr>
          <w:rFonts w:ascii="맑은 고딕" w:hAnsi="맑은 고딕" w:cs="맑은 고딕"/>
        </w:rPr>
      </w:pPr>
    </w:p>
    <w:p w:rsidR="00F16418" w:rsidRDefault="00F16418" w:rsidP="003F5295">
      <w:pPr>
        <w:rPr>
          <w:b/>
        </w:rPr>
      </w:pPr>
      <w:r w:rsidRPr="00F16418">
        <w:rPr>
          <w:rFonts w:hint="eastAsia"/>
          <w:b/>
        </w:rPr>
        <w:t>글로벌</w:t>
      </w:r>
      <w:r w:rsidRPr="00F16418">
        <w:rPr>
          <w:b/>
        </w:rPr>
        <w:t xml:space="preserve"> 해운 얼라이언스 재편, 핵심 질문으로 살펴보기 </w:t>
      </w:r>
    </w:p>
    <w:p w:rsidR="00F16418" w:rsidRDefault="00F16418" w:rsidP="00F16418">
      <w:r>
        <w:t>1.</w:t>
      </w:r>
      <w:r>
        <w:t xml:space="preserve"> </w:t>
      </w:r>
      <w:r>
        <w:rPr>
          <w:rFonts w:hint="eastAsia"/>
        </w:rPr>
        <w:t>글로벌</w:t>
      </w:r>
      <w:r>
        <w:t xml:space="preserve"> 해운 얼라이언스 재편이란 무엇인가요?</w:t>
      </w:r>
    </w:p>
    <w:p w:rsidR="00F16418" w:rsidRDefault="00F16418" w:rsidP="00F16418">
      <w:r>
        <w:rPr>
          <w:rFonts w:hint="eastAsia"/>
        </w:rPr>
        <w:t>글로벌</w:t>
      </w:r>
      <w:r>
        <w:t xml:space="preserve"> 해운 얼라이언스 재편은 주요 컨테이너 선사 간 협력 네트워크가 새롭게 reorganize되는 것을 의미합니다. 2025년에는 Maersk와 MSC의 2M 얼라이언스가 종료되고, MSC는 독자 운영을 선택했으며, Maersk와 Hapag-Lloyd는 Gemini Cooperation을 출범했습니다. 또한 ONE, HMM, Yang Ming이 Premier Alliance를 구성하면서 글로벌 해운시장의 협력 구도가 크게 바뀌었습니다.</w:t>
      </w:r>
    </w:p>
    <w:p w:rsidR="00F16418" w:rsidRDefault="00F16418" w:rsidP="00F16418">
      <w:r>
        <w:t>2.</w:t>
      </w:r>
      <w:r>
        <w:t xml:space="preserve"> </w:t>
      </w:r>
      <w:r>
        <w:t>2025년 해운 얼라이언스 재편이 중요한 이유는 무엇인가요?</w:t>
      </w:r>
    </w:p>
    <w:p w:rsidR="00F16418" w:rsidRDefault="00F16418" w:rsidP="00F16418">
      <w:r>
        <w:t>2025년 해운 얼라이언스 재편은 단순한 선사 간 협력 관계 변화가 아니라 항로 배치, 기항지, 선복 공유, 운임 변동성, 서비스 신뢰성, 공급망 리스크 관리에 직접적인 영향을 미치는 구조적 변화입니다. 화주는 더 이상 운임만을 기준으로 선사를 선택하기보다 정시성, 서비스 안정성, 대체 항로, 공급망 회복탄력성까지 함께 고려해야 합니다.</w:t>
      </w:r>
    </w:p>
    <w:p w:rsidR="00F16418" w:rsidRDefault="00F16418" w:rsidP="00F16418">
      <w:r>
        <w:t>3.</w:t>
      </w:r>
      <w:r>
        <w:t xml:space="preserve"> </w:t>
      </w:r>
      <w:r>
        <w:t>2M 얼라이언스에는 어떤 변화가 있었나요?</w:t>
      </w:r>
    </w:p>
    <w:p w:rsidR="00F16418" w:rsidRDefault="00F16418" w:rsidP="00F16418">
      <w:r>
        <w:t xml:space="preserve">Maersk와 MSC가 구성했던 2M 얼라이언스는 2025년 초 공식적으로 종료되었습니다. 이후 MSC는 독자 운영을 선택하며 자체 네트워크 확장 전략을 추진하고, Maersk는 Hapag-Lloyd와 Gemini Cooperation을 출범했습니다. 이 변화는 글로벌 컨테이너 해운 네트워크 재편의 핵심 출발점이 </w:t>
      </w:r>
      <w:r>
        <w:lastRenderedPageBreak/>
        <w:t>되었습니다.</w:t>
      </w:r>
    </w:p>
    <w:p w:rsidR="00F16418" w:rsidRDefault="00F16418" w:rsidP="00F16418">
      <w:r>
        <w:t>4.</w:t>
      </w:r>
      <w:r>
        <w:t xml:space="preserve"> </w:t>
      </w:r>
      <w:r>
        <w:t>Gemini Cooperation은 무엇인가요?</w:t>
      </w:r>
    </w:p>
    <w:p w:rsidR="00F16418" w:rsidRDefault="00F16418" w:rsidP="00F16418">
      <w:r>
        <w:t>Gemini Cooperation은 Maersk와 Hapag-Lloyd가 출범한 전략적 협력체입니다. 주요 허브 항만을 중심으로 화물을 집약하고 셔틀 네트워크로 연결하는 Hub-and-Spoke 모델을 기반으로 운영됩니다. 이를 통해 불필요한 기항을 줄이고, 운항 효율성과 스케줄 정시성을 높이며, 화주에게 더 예측 가능한 서비스를 제공하는 것을 목표로 합니다.</w:t>
      </w:r>
    </w:p>
    <w:p w:rsidR="00F16418" w:rsidRDefault="00F16418" w:rsidP="00F16418">
      <w:r>
        <w:t>5.</w:t>
      </w:r>
      <w:r>
        <w:t xml:space="preserve"> </w:t>
      </w:r>
      <w:r>
        <w:t>Premier Alliance는 무엇인가요?</w:t>
      </w:r>
    </w:p>
    <w:p w:rsidR="00F16418" w:rsidRDefault="00F16418" w:rsidP="00F16418">
      <w:r>
        <w:t>Premier Alliance는 Hapag-Lloyd가 The Alliance를 떠난 이후 ONE, HMM, Yang Ming이 구성한 새로운 해운 협력체입니다. 동북아시아를 기반으로 주요 동서 항로에서 네트워크 효율성을 높이고 있으며, 아시아-유럽 항로에서는 MSC와 선복 교환을 통해 일정 수준의 협력 관계를 유지하고 있습니다.</w:t>
      </w:r>
    </w:p>
    <w:p w:rsidR="00F16418" w:rsidRDefault="00F16418" w:rsidP="00F16418">
      <w:r>
        <w:t>6.</w:t>
      </w:r>
      <w:r>
        <w:t xml:space="preserve"> </w:t>
      </w:r>
      <w:r>
        <w:rPr>
          <w:rFonts w:hint="eastAsia"/>
        </w:rPr>
        <w:t>해운</w:t>
      </w:r>
      <w:r>
        <w:t xml:space="preserve"> 얼라이언스 재편은 화주에게 어떤 영향을 미치나요?</w:t>
      </w:r>
    </w:p>
    <w:p w:rsidR="00F16418" w:rsidRDefault="00F16418" w:rsidP="00F16418">
      <w:r>
        <w:rPr>
          <w:rFonts w:hint="eastAsia"/>
        </w:rPr>
        <w:t>해운</w:t>
      </w:r>
      <w:r>
        <w:t xml:space="preserve"> 얼라이언스 재편은 화주의 운송 일정, 기항 항만, 선복 확보, 운송 시간, 운임 계약, 서비스 신뢰성에 영향을 미칩니다. 화주는 운임 계약을 재협상하거나 운송 일정을 조정해야 할 수 있으며, 대체 항만과 대체 항로를 검토하고 공급망 리스크 관리 체계를 강화해야 합니다. 특히 정시성이 중요한 품질 지표로 부상하면서 선사 선택 기준도 운임 중심에서 정시성, 안정성, 복원력 중심으로 이동하고 있습니다.</w:t>
      </w:r>
    </w:p>
    <w:p w:rsidR="00F16418" w:rsidRDefault="00F16418" w:rsidP="00F16418">
      <w:r>
        <w:t>7.</w:t>
      </w:r>
      <w:r>
        <w:t xml:space="preserve"> </w:t>
      </w:r>
      <w:r>
        <w:rPr>
          <w:rFonts w:hint="eastAsia"/>
        </w:rPr>
        <w:t>해운</w:t>
      </w:r>
      <w:r>
        <w:t xml:space="preserve"> 얼라이언스 재편은 항만과 내륙 물류에 어떤 영향을 미치나요?</w:t>
      </w:r>
    </w:p>
    <w:p w:rsidR="00F16418" w:rsidRDefault="00F16418" w:rsidP="00F16418">
      <w:r>
        <w:rPr>
          <w:rFonts w:hint="eastAsia"/>
        </w:rPr>
        <w:t>해운</w:t>
      </w:r>
      <w:r>
        <w:t xml:space="preserve"> 얼라이언스 재편은 허브 항만과 기항지 조정을 통해 항만별 물동량 변화를 유발할 수 있습니다. 새로운 허브 항만이나 셔틀 네트워크 중심지로 편입되는 항만은 전략적 가치가 높아지는 반면, 주요 노선에서 제외되는 항만은 물동량 감소 리스크에 직면할 수 있습니다. 이에 따라 철도, 도로, 트럭 운송, 창고, 보관 시설 등 내륙 물류망도 새로운 항만 흐름에 맞춰 재설계될 필요가 있습니다.</w:t>
      </w:r>
    </w:p>
    <w:p w:rsidR="00F16418" w:rsidRDefault="00F16418" w:rsidP="00F16418">
      <w:r>
        <w:t>8.</w:t>
      </w:r>
      <w:r>
        <w:t xml:space="preserve"> </w:t>
      </w:r>
      <w:r>
        <w:rPr>
          <w:rFonts w:hint="eastAsia"/>
        </w:rPr>
        <w:t>해운산업은</w:t>
      </w:r>
      <w:r>
        <w:t xml:space="preserve"> 왜 가격 중심 경쟁에서 가치 기반 경쟁으로 전환하고 있나요?</w:t>
      </w:r>
    </w:p>
    <w:p w:rsidR="003F5295" w:rsidRPr="00F16418" w:rsidRDefault="00F16418" w:rsidP="00F16418">
      <w:r>
        <w:rPr>
          <w:rFonts w:hint="eastAsia"/>
        </w:rPr>
        <w:t>해운산업은</w:t>
      </w:r>
      <w:r>
        <w:t xml:space="preserve"> 과거 시장점유율 확대와 운임 경쟁 중심의 치킨게임을 반복하며 공급 과잉, 수익성 악화, 운임 불안정성, 서비스 지연 문제를 겪었습니다. 이제 선사들은 단순한 운송 제공자를 넘어 정시성, 통합 물류 서비스, 디지털 가시성, 글로벌 불확실성 대응력, 친환경 운항, 공급망 안정성을 제공하는 전략적 파트너로 전환해야 합니다. 이러한 변화가 해운산업의 가치 기반 경쟁을 가속화하고 있습니다.</w:t>
      </w:r>
    </w:p>
    <w:p w:rsidR="003F5295" w:rsidRDefault="003F5295" w:rsidP="003F5295"/>
    <w:p w:rsidR="00412CB8" w:rsidRDefault="00412CB8" w:rsidP="003F5295"/>
    <w:p w:rsidR="003F5295" w:rsidRDefault="00F16418" w:rsidP="00B640B5">
      <w:pPr>
        <w:rPr>
          <w:b/>
        </w:rPr>
      </w:pPr>
      <w:r w:rsidRPr="00F16418">
        <w:rPr>
          <w:rFonts w:hint="eastAsia"/>
          <w:b/>
        </w:rPr>
        <w:lastRenderedPageBreak/>
        <w:t>글로벌</w:t>
      </w:r>
      <w:r w:rsidRPr="00F16418">
        <w:rPr>
          <w:b/>
        </w:rPr>
        <w:t xml:space="preserve"> 해운 얼라이언스 재편 한눈에 보기</w:t>
      </w:r>
    </w:p>
    <w:tbl>
      <w:tblPr>
        <w:tblStyle w:val="a4"/>
        <w:tblW w:w="0" w:type="auto"/>
        <w:tblLook w:val="04A0" w:firstRow="1" w:lastRow="0" w:firstColumn="1" w:lastColumn="0" w:noHBand="0" w:noVBand="1"/>
      </w:tblPr>
      <w:tblGrid>
        <w:gridCol w:w="1855"/>
        <w:gridCol w:w="7161"/>
      </w:tblGrid>
      <w:tr w:rsidR="00F16418" w:rsidTr="00F16418">
        <w:tc>
          <w:tcPr>
            <w:tcW w:w="0" w:type="auto"/>
            <w:hideMark/>
          </w:tcPr>
          <w:p w:rsidR="00F16418" w:rsidRPr="00F16418" w:rsidRDefault="00F16418">
            <w:pPr>
              <w:widowControl/>
              <w:wordWrap/>
              <w:autoSpaceDE/>
              <w:autoSpaceDN/>
              <w:jc w:val="center"/>
              <w:rPr>
                <w:bCs/>
                <w:sz w:val="20"/>
                <w:szCs w:val="20"/>
              </w:rPr>
            </w:pPr>
            <w:r w:rsidRPr="00F16418">
              <w:rPr>
                <w:bCs/>
                <w:sz w:val="20"/>
                <w:szCs w:val="20"/>
              </w:rPr>
              <w:t>구분</w:t>
            </w:r>
          </w:p>
        </w:tc>
        <w:tc>
          <w:tcPr>
            <w:tcW w:w="0" w:type="auto"/>
            <w:hideMark/>
          </w:tcPr>
          <w:p w:rsidR="00F16418" w:rsidRPr="00F16418" w:rsidRDefault="00F16418">
            <w:pPr>
              <w:jc w:val="center"/>
              <w:rPr>
                <w:bCs/>
                <w:sz w:val="20"/>
                <w:szCs w:val="20"/>
              </w:rPr>
            </w:pPr>
            <w:r w:rsidRPr="00F16418">
              <w:rPr>
                <w:bCs/>
                <w:sz w:val="20"/>
                <w:szCs w:val="20"/>
              </w:rPr>
              <w:t>핵심 내용</w:t>
            </w:r>
          </w:p>
        </w:tc>
      </w:tr>
      <w:tr w:rsidR="00F16418" w:rsidTr="00F16418">
        <w:tc>
          <w:tcPr>
            <w:tcW w:w="0" w:type="auto"/>
            <w:hideMark/>
          </w:tcPr>
          <w:p w:rsidR="00F16418" w:rsidRPr="00F16418" w:rsidRDefault="00F16418">
            <w:pPr>
              <w:rPr>
                <w:sz w:val="20"/>
                <w:szCs w:val="20"/>
              </w:rPr>
            </w:pPr>
            <w:r w:rsidRPr="00F16418">
              <w:rPr>
                <w:sz w:val="20"/>
                <w:szCs w:val="20"/>
              </w:rPr>
              <w:t>주요 주제</w:t>
            </w:r>
          </w:p>
        </w:tc>
        <w:tc>
          <w:tcPr>
            <w:tcW w:w="0" w:type="auto"/>
            <w:hideMark/>
          </w:tcPr>
          <w:p w:rsidR="00F16418" w:rsidRPr="00F16418" w:rsidRDefault="00F16418">
            <w:pPr>
              <w:rPr>
                <w:sz w:val="20"/>
                <w:szCs w:val="20"/>
                <w:lang w:eastAsia="ko-KR"/>
              </w:rPr>
            </w:pPr>
            <w:r w:rsidRPr="00F16418">
              <w:rPr>
                <w:sz w:val="20"/>
                <w:szCs w:val="20"/>
                <w:lang w:eastAsia="ko-KR"/>
              </w:rPr>
              <w:t>2025년 글로벌 컨테이너 해운 얼라이언스 재편</w:t>
            </w:r>
          </w:p>
        </w:tc>
      </w:tr>
      <w:tr w:rsidR="00F16418" w:rsidTr="00F16418">
        <w:tc>
          <w:tcPr>
            <w:tcW w:w="0" w:type="auto"/>
            <w:hideMark/>
          </w:tcPr>
          <w:p w:rsidR="00F16418" w:rsidRPr="00F16418" w:rsidRDefault="00F16418">
            <w:pPr>
              <w:rPr>
                <w:sz w:val="20"/>
                <w:szCs w:val="20"/>
              </w:rPr>
            </w:pPr>
            <w:r w:rsidRPr="00F16418">
              <w:rPr>
                <w:sz w:val="20"/>
                <w:szCs w:val="20"/>
              </w:rPr>
              <w:t>핵심 변화</w:t>
            </w:r>
          </w:p>
        </w:tc>
        <w:tc>
          <w:tcPr>
            <w:tcW w:w="0" w:type="auto"/>
            <w:hideMark/>
          </w:tcPr>
          <w:p w:rsidR="00F16418" w:rsidRPr="00F16418" w:rsidRDefault="00F16418">
            <w:pPr>
              <w:rPr>
                <w:sz w:val="20"/>
                <w:szCs w:val="20"/>
              </w:rPr>
            </w:pPr>
            <w:r w:rsidRPr="00F16418">
              <w:rPr>
                <w:sz w:val="20"/>
                <w:szCs w:val="20"/>
              </w:rPr>
              <w:t>2M 얼라이언스 종료, MSC 독자 운영, Gemini Cooperation 출범, Premier Alliance 등장</w:t>
            </w:r>
          </w:p>
        </w:tc>
      </w:tr>
      <w:tr w:rsidR="00F16418" w:rsidTr="00F16418">
        <w:tc>
          <w:tcPr>
            <w:tcW w:w="0" w:type="auto"/>
            <w:hideMark/>
          </w:tcPr>
          <w:p w:rsidR="00F16418" w:rsidRPr="00F16418" w:rsidRDefault="00F16418">
            <w:pPr>
              <w:rPr>
                <w:sz w:val="20"/>
                <w:szCs w:val="20"/>
              </w:rPr>
            </w:pPr>
            <w:r w:rsidRPr="00F16418">
              <w:rPr>
                <w:sz w:val="20"/>
                <w:szCs w:val="20"/>
              </w:rPr>
              <w:t>주요 얼라이언스</w:t>
            </w:r>
          </w:p>
        </w:tc>
        <w:tc>
          <w:tcPr>
            <w:tcW w:w="0" w:type="auto"/>
            <w:hideMark/>
          </w:tcPr>
          <w:p w:rsidR="00F16418" w:rsidRPr="00F16418" w:rsidRDefault="00F16418">
            <w:pPr>
              <w:rPr>
                <w:sz w:val="20"/>
                <w:szCs w:val="20"/>
              </w:rPr>
            </w:pPr>
            <w:r w:rsidRPr="00F16418">
              <w:rPr>
                <w:sz w:val="20"/>
                <w:szCs w:val="20"/>
              </w:rPr>
              <w:t>Gemini Cooperation, Premier Alliance, Ocean Alliance</w:t>
            </w:r>
          </w:p>
        </w:tc>
      </w:tr>
      <w:tr w:rsidR="00F16418" w:rsidTr="00F16418">
        <w:tc>
          <w:tcPr>
            <w:tcW w:w="0" w:type="auto"/>
            <w:hideMark/>
          </w:tcPr>
          <w:p w:rsidR="00F16418" w:rsidRPr="00F16418" w:rsidRDefault="00F16418">
            <w:pPr>
              <w:rPr>
                <w:sz w:val="20"/>
                <w:szCs w:val="20"/>
              </w:rPr>
            </w:pPr>
            <w:r w:rsidRPr="00F16418">
              <w:rPr>
                <w:sz w:val="20"/>
                <w:szCs w:val="20"/>
              </w:rPr>
              <w:t>Gemini Cooperation</w:t>
            </w:r>
          </w:p>
        </w:tc>
        <w:tc>
          <w:tcPr>
            <w:tcW w:w="0" w:type="auto"/>
            <w:hideMark/>
          </w:tcPr>
          <w:p w:rsidR="00F16418" w:rsidRPr="00F16418" w:rsidRDefault="00F16418">
            <w:pPr>
              <w:rPr>
                <w:sz w:val="20"/>
                <w:szCs w:val="20"/>
                <w:lang w:eastAsia="ko-KR"/>
              </w:rPr>
            </w:pPr>
            <w:r w:rsidRPr="00F16418">
              <w:rPr>
                <w:sz w:val="20"/>
                <w:szCs w:val="20"/>
                <w:lang w:eastAsia="ko-KR"/>
              </w:rPr>
              <w:t>Maersk와 Hapag-Lloyd의 협력체로, Hub-and-Spoke 모델과 높은 정시성을 중심으로 운영</w:t>
            </w:r>
          </w:p>
        </w:tc>
      </w:tr>
      <w:tr w:rsidR="00F16418" w:rsidTr="00F16418">
        <w:tc>
          <w:tcPr>
            <w:tcW w:w="0" w:type="auto"/>
            <w:hideMark/>
          </w:tcPr>
          <w:p w:rsidR="00F16418" w:rsidRPr="00F16418" w:rsidRDefault="00F16418">
            <w:pPr>
              <w:rPr>
                <w:sz w:val="20"/>
                <w:szCs w:val="20"/>
              </w:rPr>
            </w:pPr>
            <w:r w:rsidRPr="00F16418">
              <w:rPr>
                <w:sz w:val="20"/>
                <w:szCs w:val="20"/>
              </w:rPr>
              <w:t>Premier Alliance</w:t>
            </w:r>
          </w:p>
        </w:tc>
        <w:tc>
          <w:tcPr>
            <w:tcW w:w="0" w:type="auto"/>
            <w:hideMark/>
          </w:tcPr>
          <w:p w:rsidR="00F16418" w:rsidRPr="00F16418" w:rsidRDefault="00F16418">
            <w:pPr>
              <w:rPr>
                <w:sz w:val="20"/>
                <w:szCs w:val="20"/>
                <w:lang w:eastAsia="ko-KR"/>
              </w:rPr>
            </w:pPr>
            <w:r w:rsidRPr="00F16418">
              <w:rPr>
                <w:sz w:val="20"/>
                <w:szCs w:val="20"/>
                <w:lang w:eastAsia="ko-KR"/>
              </w:rPr>
              <w:t>ONE, HMM, Yang Ming의 협력체로, 주요 동서 항로를 중심으로 네트워크 효율성 강화</w:t>
            </w:r>
          </w:p>
        </w:tc>
      </w:tr>
      <w:tr w:rsidR="00F16418" w:rsidTr="00F16418">
        <w:tc>
          <w:tcPr>
            <w:tcW w:w="0" w:type="auto"/>
            <w:hideMark/>
          </w:tcPr>
          <w:p w:rsidR="00F16418" w:rsidRPr="00F16418" w:rsidRDefault="00F16418">
            <w:pPr>
              <w:rPr>
                <w:sz w:val="20"/>
                <w:szCs w:val="20"/>
              </w:rPr>
            </w:pPr>
            <w:r w:rsidRPr="00F16418">
              <w:rPr>
                <w:sz w:val="20"/>
                <w:szCs w:val="20"/>
              </w:rPr>
              <w:t>Ocean Alliance</w:t>
            </w:r>
          </w:p>
        </w:tc>
        <w:tc>
          <w:tcPr>
            <w:tcW w:w="0" w:type="auto"/>
            <w:hideMark/>
          </w:tcPr>
          <w:p w:rsidR="00F16418" w:rsidRPr="00F16418" w:rsidRDefault="00F16418">
            <w:pPr>
              <w:rPr>
                <w:sz w:val="20"/>
                <w:szCs w:val="20"/>
              </w:rPr>
            </w:pPr>
            <w:r w:rsidRPr="00F16418">
              <w:rPr>
                <w:sz w:val="20"/>
                <w:szCs w:val="20"/>
              </w:rPr>
              <w:t>CMA CGM, COSCO Shipping, Evergreen, OOCL로 구성되며 안정적 운영 유지</w:t>
            </w:r>
          </w:p>
        </w:tc>
      </w:tr>
      <w:tr w:rsidR="00F16418" w:rsidTr="00F16418">
        <w:tc>
          <w:tcPr>
            <w:tcW w:w="0" w:type="auto"/>
            <w:hideMark/>
          </w:tcPr>
          <w:p w:rsidR="00F16418" w:rsidRPr="00F16418" w:rsidRDefault="00F16418">
            <w:pPr>
              <w:rPr>
                <w:sz w:val="20"/>
                <w:szCs w:val="20"/>
              </w:rPr>
            </w:pPr>
            <w:r w:rsidRPr="00F16418">
              <w:rPr>
                <w:sz w:val="20"/>
                <w:szCs w:val="20"/>
              </w:rPr>
              <w:t>MSC 전략</w:t>
            </w:r>
          </w:p>
        </w:tc>
        <w:tc>
          <w:tcPr>
            <w:tcW w:w="0" w:type="auto"/>
            <w:hideMark/>
          </w:tcPr>
          <w:p w:rsidR="00F16418" w:rsidRPr="00F16418" w:rsidRDefault="00F16418">
            <w:pPr>
              <w:rPr>
                <w:sz w:val="20"/>
                <w:szCs w:val="20"/>
                <w:lang w:eastAsia="ko-KR"/>
              </w:rPr>
            </w:pPr>
            <w:r w:rsidRPr="00F16418">
              <w:rPr>
                <w:sz w:val="20"/>
                <w:szCs w:val="20"/>
                <w:lang w:eastAsia="ko-KR"/>
              </w:rPr>
              <w:t>독자 운영을 통한 자체 네트워크 확장과 시장점유율 확대 가능성</w:t>
            </w:r>
          </w:p>
        </w:tc>
      </w:tr>
      <w:tr w:rsidR="00F16418" w:rsidTr="00F16418">
        <w:tc>
          <w:tcPr>
            <w:tcW w:w="0" w:type="auto"/>
            <w:hideMark/>
          </w:tcPr>
          <w:p w:rsidR="00F16418" w:rsidRPr="00F16418" w:rsidRDefault="00F16418">
            <w:pPr>
              <w:rPr>
                <w:sz w:val="20"/>
                <w:szCs w:val="20"/>
              </w:rPr>
            </w:pPr>
            <w:r w:rsidRPr="00F16418">
              <w:rPr>
                <w:sz w:val="20"/>
                <w:szCs w:val="20"/>
              </w:rPr>
              <w:t>시장 영향</w:t>
            </w:r>
          </w:p>
        </w:tc>
        <w:tc>
          <w:tcPr>
            <w:tcW w:w="0" w:type="auto"/>
            <w:hideMark/>
          </w:tcPr>
          <w:p w:rsidR="00F16418" w:rsidRPr="00F16418" w:rsidRDefault="00F16418">
            <w:pPr>
              <w:rPr>
                <w:sz w:val="20"/>
                <w:szCs w:val="20"/>
                <w:lang w:eastAsia="ko-KR"/>
              </w:rPr>
            </w:pPr>
            <w:r w:rsidRPr="00F16418">
              <w:rPr>
                <w:sz w:val="20"/>
                <w:szCs w:val="20"/>
                <w:lang w:eastAsia="ko-KR"/>
              </w:rPr>
              <w:t>항로 배치, 기항지, 선복 공유, 선복량 배분, 운임 변동성 변화</w:t>
            </w:r>
          </w:p>
        </w:tc>
        <w:bookmarkStart w:id="0" w:name="_GoBack"/>
        <w:bookmarkEnd w:id="0"/>
      </w:tr>
      <w:tr w:rsidR="00F16418" w:rsidTr="00F16418">
        <w:tc>
          <w:tcPr>
            <w:tcW w:w="0" w:type="auto"/>
            <w:hideMark/>
          </w:tcPr>
          <w:p w:rsidR="00F16418" w:rsidRPr="00F16418" w:rsidRDefault="00F16418">
            <w:pPr>
              <w:rPr>
                <w:sz w:val="20"/>
                <w:szCs w:val="20"/>
              </w:rPr>
            </w:pPr>
            <w:r w:rsidRPr="00F16418">
              <w:rPr>
                <w:sz w:val="20"/>
                <w:szCs w:val="20"/>
              </w:rPr>
              <w:t>화주 영향</w:t>
            </w:r>
          </w:p>
        </w:tc>
        <w:tc>
          <w:tcPr>
            <w:tcW w:w="0" w:type="auto"/>
            <w:hideMark/>
          </w:tcPr>
          <w:p w:rsidR="00F16418" w:rsidRPr="00F16418" w:rsidRDefault="00F16418">
            <w:pPr>
              <w:rPr>
                <w:sz w:val="20"/>
                <w:szCs w:val="20"/>
                <w:lang w:eastAsia="ko-KR"/>
              </w:rPr>
            </w:pPr>
            <w:r w:rsidRPr="00F16418">
              <w:rPr>
                <w:sz w:val="20"/>
                <w:szCs w:val="20"/>
                <w:lang w:eastAsia="ko-KR"/>
              </w:rPr>
              <w:t>선사 선택, 운임 계약, 운송 일정, 대체 항로, 공급망 리스크 재검토 필요</w:t>
            </w:r>
          </w:p>
        </w:tc>
      </w:tr>
      <w:tr w:rsidR="00F16418" w:rsidTr="00F16418">
        <w:tc>
          <w:tcPr>
            <w:tcW w:w="0" w:type="auto"/>
            <w:hideMark/>
          </w:tcPr>
          <w:p w:rsidR="00F16418" w:rsidRPr="00F16418" w:rsidRDefault="00F16418">
            <w:pPr>
              <w:rPr>
                <w:sz w:val="20"/>
                <w:szCs w:val="20"/>
              </w:rPr>
            </w:pPr>
            <w:r w:rsidRPr="00F16418">
              <w:rPr>
                <w:sz w:val="20"/>
                <w:szCs w:val="20"/>
              </w:rPr>
              <w:t>항만 영향</w:t>
            </w:r>
          </w:p>
        </w:tc>
        <w:tc>
          <w:tcPr>
            <w:tcW w:w="0" w:type="auto"/>
            <w:hideMark/>
          </w:tcPr>
          <w:p w:rsidR="00F16418" w:rsidRPr="00F16418" w:rsidRDefault="00F16418">
            <w:pPr>
              <w:rPr>
                <w:sz w:val="20"/>
                <w:szCs w:val="20"/>
                <w:lang w:eastAsia="ko-KR"/>
              </w:rPr>
            </w:pPr>
            <w:r w:rsidRPr="00F16418">
              <w:rPr>
                <w:sz w:val="20"/>
                <w:szCs w:val="20"/>
                <w:lang w:eastAsia="ko-KR"/>
              </w:rPr>
              <w:t>물동량 이동, 허브 항만 경쟁 심화, 터미널 전략 변화, 인프라 투자 필요성 증가</w:t>
            </w:r>
          </w:p>
        </w:tc>
      </w:tr>
      <w:tr w:rsidR="00F16418" w:rsidTr="00F16418">
        <w:tc>
          <w:tcPr>
            <w:tcW w:w="0" w:type="auto"/>
            <w:hideMark/>
          </w:tcPr>
          <w:p w:rsidR="00F16418" w:rsidRPr="00F16418" w:rsidRDefault="00F16418">
            <w:pPr>
              <w:rPr>
                <w:sz w:val="20"/>
                <w:szCs w:val="20"/>
              </w:rPr>
            </w:pPr>
            <w:r w:rsidRPr="00F16418">
              <w:rPr>
                <w:sz w:val="20"/>
                <w:szCs w:val="20"/>
              </w:rPr>
              <w:t>내륙 물류 영향</w:t>
            </w:r>
          </w:p>
        </w:tc>
        <w:tc>
          <w:tcPr>
            <w:tcW w:w="0" w:type="auto"/>
            <w:hideMark/>
          </w:tcPr>
          <w:p w:rsidR="00F16418" w:rsidRPr="00F16418" w:rsidRDefault="00F16418">
            <w:pPr>
              <w:rPr>
                <w:sz w:val="20"/>
                <w:szCs w:val="20"/>
                <w:lang w:eastAsia="ko-KR"/>
              </w:rPr>
            </w:pPr>
            <w:r w:rsidRPr="00F16418">
              <w:rPr>
                <w:sz w:val="20"/>
                <w:szCs w:val="20"/>
                <w:lang w:eastAsia="ko-KR"/>
              </w:rPr>
              <w:t>철도, 트럭 운송, 창고, 보관, 복합운송 네트워크 재설계 필요</w:t>
            </w:r>
          </w:p>
        </w:tc>
      </w:tr>
      <w:tr w:rsidR="00F16418" w:rsidTr="00F16418">
        <w:tc>
          <w:tcPr>
            <w:tcW w:w="0" w:type="auto"/>
            <w:hideMark/>
          </w:tcPr>
          <w:p w:rsidR="00F16418" w:rsidRPr="00F16418" w:rsidRDefault="00F16418">
            <w:pPr>
              <w:rPr>
                <w:sz w:val="20"/>
                <w:szCs w:val="20"/>
              </w:rPr>
            </w:pPr>
            <w:r w:rsidRPr="00F16418">
              <w:rPr>
                <w:sz w:val="20"/>
                <w:szCs w:val="20"/>
              </w:rPr>
              <w:t>핵심 서비스 지표</w:t>
            </w:r>
          </w:p>
        </w:tc>
        <w:tc>
          <w:tcPr>
            <w:tcW w:w="0" w:type="auto"/>
            <w:hideMark/>
          </w:tcPr>
          <w:p w:rsidR="00F16418" w:rsidRPr="00F16418" w:rsidRDefault="00F16418">
            <w:pPr>
              <w:rPr>
                <w:sz w:val="20"/>
                <w:szCs w:val="20"/>
                <w:lang w:eastAsia="ko-KR"/>
              </w:rPr>
            </w:pPr>
            <w:r w:rsidRPr="00F16418">
              <w:rPr>
                <w:sz w:val="20"/>
                <w:szCs w:val="20"/>
                <w:lang w:eastAsia="ko-KR"/>
              </w:rPr>
              <w:t>정시성, 운송 예측 가능성, 서비스 신뢰성</w:t>
            </w:r>
          </w:p>
        </w:tc>
      </w:tr>
      <w:tr w:rsidR="00F16418" w:rsidTr="00F16418">
        <w:tc>
          <w:tcPr>
            <w:tcW w:w="0" w:type="auto"/>
            <w:hideMark/>
          </w:tcPr>
          <w:p w:rsidR="00F16418" w:rsidRPr="00F16418" w:rsidRDefault="00F16418">
            <w:pPr>
              <w:rPr>
                <w:sz w:val="20"/>
                <w:szCs w:val="20"/>
              </w:rPr>
            </w:pPr>
            <w:r w:rsidRPr="00F16418">
              <w:rPr>
                <w:sz w:val="20"/>
                <w:szCs w:val="20"/>
              </w:rPr>
              <w:t>정책 리스크</w:t>
            </w:r>
          </w:p>
        </w:tc>
        <w:tc>
          <w:tcPr>
            <w:tcW w:w="0" w:type="auto"/>
            <w:hideMark/>
          </w:tcPr>
          <w:p w:rsidR="00F16418" w:rsidRPr="00F16418" w:rsidRDefault="00F16418">
            <w:pPr>
              <w:rPr>
                <w:sz w:val="20"/>
                <w:szCs w:val="20"/>
                <w:lang w:eastAsia="ko-KR"/>
              </w:rPr>
            </w:pPr>
            <w:r w:rsidRPr="00F16418">
              <w:rPr>
                <w:sz w:val="20"/>
                <w:szCs w:val="20"/>
                <w:lang w:eastAsia="ko-KR"/>
              </w:rPr>
              <w:t>중국 관련 선박에 대한 USTR 입항 수수료, 미중 무역 불확실성</w:t>
            </w:r>
          </w:p>
        </w:tc>
      </w:tr>
      <w:tr w:rsidR="00F16418" w:rsidTr="00F16418">
        <w:tc>
          <w:tcPr>
            <w:tcW w:w="0" w:type="auto"/>
            <w:hideMark/>
          </w:tcPr>
          <w:p w:rsidR="00F16418" w:rsidRPr="00F16418" w:rsidRDefault="00F16418">
            <w:pPr>
              <w:rPr>
                <w:sz w:val="20"/>
                <w:szCs w:val="20"/>
              </w:rPr>
            </w:pPr>
            <w:r w:rsidRPr="00F16418">
              <w:rPr>
                <w:sz w:val="20"/>
                <w:szCs w:val="20"/>
              </w:rPr>
              <w:t>전략 방향</w:t>
            </w:r>
          </w:p>
        </w:tc>
        <w:tc>
          <w:tcPr>
            <w:tcW w:w="0" w:type="auto"/>
            <w:hideMark/>
          </w:tcPr>
          <w:p w:rsidR="00F16418" w:rsidRPr="00F16418" w:rsidRDefault="00F16418">
            <w:pPr>
              <w:rPr>
                <w:sz w:val="20"/>
                <w:szCs w:val="20"/>
                <w:lang w:eastAsia="ko-KR"/>
              </w:rPr>
            </w:pPr>
            <w:r w:rsidRPr="00F16418">
              <w:rPr>
                <w:sz w:val="20"/>
                <w:szCs w:val="20"/>
                <w:lang w:eastAsia="ko-KR"/>
              </w:rPr>
              <w:t>가격 중심 경쟁에서 가치 기반 경쟁으로 전환</w:t>
            </w:r>
          </w:p>
        </w:tc>
      </w:tr>
      <w:tr w:rsidR="00F16418" w:rsidTr="00F16418">
        <w:tc>
          <w:tcPr>
            <w:tcW w:w="0" w:type="auto"/>
            <w:hideMark/>
          </w:tcPr>
          <w:p w:rsidR="00F16418" w:rsidRPr="00F16418" w:rsidRDefault="00F16418">
            <w:pPr>
              <w:rPr>
                <w:sz w:val="20"/>
                <w:szCs w:val="20"/>
              </w:rPr>
            </w:pPr>
            <w:r w:rsidRPr="00F16418">
              <w:rPr>
                <w:sz w:val="20"/>
                <w:szCs w:val="20"/>
              </w:rPr>
              <w:t>가치 기반 경쟁 요소</w:t>
            </w:r>
          </w:p>
        </w:tc>
        <w:tc>
          <w:tcPr>
            <w:tcW w:w="0" w:type="auto"/>
            <w:hideMark/>
          </w:tcPr>
          <w:p w:rsidR="00F16418" w:rsidRPr="00F16418" w:rsidRDefault="00F16418">
            <w:pPr>
              <w:rPr>
                <w:sz w:val="20"/>
                <w:szCs w:val="20"/>
                <w:lang w:eastAsia="ko-KR"/>
              </w:rPr>
            </w:pPr>
            <w:r w:rsidRPr="00F16418">
              <w:rPr>
                <w:sz w:val="20"/>
                <w:szCs w:val="20"/>
                <w:lang w:eastAsia="ko-KR"/>
              </w:rPr>
              <w:t>정시성, 통합 물류, 디지털 가시성, 회복탄력성, 친환경 대응, ESG</w:t>
            </w:r>
          </w:p>
        </w:tc>
      </w:tr>
      <w:tr w:rsidR="00F16418" w:rsidTr="00F16418">
        <w:tc>
          <w:tcPr>
            <w:tcW w:w="0" w:type="auto"/>
            <w:hideMark/>
          </w:tcPr>
          <w:p w:rsidR="00F16418" w:rsidRPr="00F16418" w:rsidRDefault="00F16418">
            <w:pPr>
              <w:rPr>
                <w:sz w:val="20"/>
                <w:szCs w:val="20"/>
              </w:rPr>
            </w:pPr>
            <w:r w:rsidRPr="00F16418">
              <w:rPr>
                <w:sz w:val="20"/>
                <w:szCs w:val="20"/>
              </w:rPr>
              <w:t>향후 전망</w:t>
            </w:r>
          </w:p>
        </w:tc>
        <w:tc>
          <w:tcPr>
            <w:tcW w:w="0" w:type="auto"/>
            <w:hideMark/>
          </w:tcPr>
          <w:p w:rsidR="00F16418" w:rsidRPr="00F16418" w:rsidRDefault="00F16418">
            <w:pPr>
              <w:rPr>
                <w:sz w:val="20"/>
                <w:szCs w:val="20"/>
                <w:lang w:eastAsia="ko-KR"/>
              </w:rPr>
            </w:pPr>
            <w:r w:rsidRPr="00F16418">
              <w:rPr>
                <w:sz w:val="20"/>
                <w:szCs w:val="20"/>
                <w:lang w:eastAsia="ko-KR"/>
              </w:rPr>
              <w:t>해운사는 단순 운송 제공자에서 글로벌 공급망의 전략적 파트너로 진화</w:t>
            </w:r>
          </w:p>
        </w:tc>
      </w:tr>
    </w:tbl>
    <w:p w:rsidR="00B640B5" w:rsidRPr="00B640B5" w:rsidRDefault="00B640B5" w:rsidP="00B640B5"/>
    <w:sectPr w:rsidR="00B640B5" w:rsidRPr="00B640B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418" w:rsidRDefault="00F16418" w:rsidP="00F16418">
      <w:pPr>
        <w:spacing w:after="0" w:line="240" w:lineRule="auto"/>
      </w:pPr>
      <w:r>
        <w:separator/>
      </w:r>
    </w:p>
  </w:endnote>
  <w:endnote w:type="continuationSeparator" w:id="0">
    <w:p w:rsidR="00F16418" w:rsidRDefault="00F16418" w:rsidP="00F1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418" w:rsidRDefault="00F16418" w:rsidP="00F16418">
      <w:pPr>
        <w:spacing w:after="0" w:line="240" w:lineRule="auto"/>
      </w:pPr>
      <w:r>
        <w:separator/>
      </w:r>
    </w:p>
  </w:footnote>
  <w:footnote w:type="continuationSeparator" w:id="0">
    <w:p w:rsidR="00F16418" w:rsidRDefault="00F16418" w:rsidP="00F164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E27C3"/>
    <w:rsid w:val="002D629C"/>
    <w:rsid w:val="003834FF"/>
    <w:rsid w:val="003F5295"/>
    <w:rsid w:val="00412CB8"/>
    <w:rsid w:val="004F4BDA"/>
    <w:rsid w:val="00667A24"/>
    <w:rsid w:val="007B5515"/>
    <w:rsid w:val="00B640B5"/>
    <w:rsid w:val="00F164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E1EF42"/>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16418"/>
    <w:pPr>
      <w:tabs>
        <w:tab w:val="center" w:pos="4513"/>
        <w:tab w:val="right" w:pos="9026"/>
      </w:tabs>
      <w:snapToGrid w:val="0"/>
    </w:pPr>
  </w:style>
  <w:style w:type="character" w:customStyle="1" w:styleId="Char">
    <w:name w:val="머리글 Char"/>
    <w:basedOn w:val="a0"/>
    <w:link w:val="a5"/>
    <w:uiPriority w:val="99"/>
    <w:rsid w:val="00F16418"/>
  </w:style>
  <w:style w:type="paragraph" w:styleId="a6">
    <w:name w:val="footer"/>
    <w:basedOn w:val="a"/>
    <w:link w:val="Char0"/>
    <w:uiPriority w:val="99"/>
    <w:unhideWhenUsed/>
    <w:rsid w:val="00F16418"/>
    <w:pPr>
      <w:tabs>
        <w:tab w:val="center" w:pos="4513"/>
        <w:tab w:val="right" w:pos="9026"/>
      </w:tabs>
      <w:snapToGrid w:val="0"/>
    </w:pPr>
  </w:style>
  <w:style w:type="character" w:customStyle="1" w:styleId="Char0">
    <w:name w:val="바닥글 Char"/>
    <w:basedOn w:val="a0"/>
    <w:link w:val="a6"/>
    <w:uiPriority w:val="99"/>
    <w:rsid w:val="00F16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45993915">
      <w:bodyDiv w:val="1"/>
      <w:marLeft w:val="0"/>
      <w:marRight w:val="0"/>
      <w:marTop w:val="0"/>
      <w:marBottom w:val="0"/>
      <w:divBdr>
        <w:top w:val="none" w:sz="0" w:space="0" w:color="auto"/>
        <w:left w:val="none" w:sz="0" w:space="0" w:color="auto"/>
        <w:bottom w:val="none" w:sz="0" w:space="0" w:color="auto"/>
        <w:right w:val="none" w:sz="0" w:space="0" w:color="auto"/>
      </w:divBdr>
    </w:div>
    <w:div w:id="770395715">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867714094">
      <w:bodyDiv w:val="1"/>
      <w:marLeft w:val="0"/>
      <w:marRight w:val="0"/>
      <w:marTop w:val="0"/>
      <w:marBottom w:val="0"/>
      <w:divBdr>
        <w:top w:val="none" w:sz="0" w:space="0" w:color="auto"/>
        <w:left w:val="none" w:sz="0" w:space="0" w:color="auto"/>
        <w:bottom w:val="none" w:sz="0" w:space="0" w:color="auto"/>
        <w:right w:val="none" w:sz="0" w:space="0" w:color="auto"/>
      </w:divBdr>
    </w:div>
    <w:div w:id="199013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5</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10</cp:revision>
  <dcterms:created xsi:type="dcterms:W3CDTF">2026-04-09T04:29:00Z</dcterms:created>
  <dcterms:modified xsi:type="dcterms:W3CDTF">2026-05-22T01:38:00Z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596789ED9E76BB39E9F1EEFE331275A5DEC5B5314DD5DE036ABF610C9DA75947236FCD6D3B629CCA2D0ADA287B617169E06B627321384E063A6EFAF0DD759B58</vt:lpwstr>
  </property>
</Properties>
</file>