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D83" w:rsidRDefault="00CC0D83" w:rsidP="00A92AC9">
      <w:pPr>
        <w:rPr>
          <w:b/>
        </w:rPr>
      </w:pPr>
      <w:r w:rsidRPr="00CC0D83">
        <w:rPr>
          <w:b/>
        </w:rPr>
        <w:t xml:space="preserve">Global Shipping Alliance Restructuring </w:t>
      </w:r>
    </w:p>
    <w:p w:rsidR="00CC0D83" w:rsidRPr="00A92AC9" w:rsidRDefault="002E6AF0" w:rsidP="00A92AC9">
      <w:pPr>
        <w:rPr>
          <w:b/>
        </w:rPr>
      </w:pPr>
      <w:r w:rsidRPr="002E6AF0">
        <w:t>How the 2025 alliance reshuffle is reshaping ocean shipping, supply chains, and carrier competition</w:t>
      </w:r>
    </w:p>
    <w:p w:rsidR="002E6AF0" w:rsidRDefault="002E6AF0" w:rsidP="00A92AC9">
      <w:pPr>
        <w:rPr>
          <w:b/>
        </w:rPr>
      </w:pPr>
    </w:p>
    <w:p w:rsidR="002E6AF0" w:rsidRDefault="002E6AF0" w:rsidP="00A92AC9">
      <w:pPr>
        <w:rPr>
          <w:b/>
        </w:rPr>
      </w:pPr>
      <w:r w:rsidRPr="002E6AF0">
        <w:rPr>
          <w:b/>
        </w:rPr>
        <w:t xml:space="preserve">A New Competitive Order in Global Shipping </w:t>
      </w:r>
    </w:p>
    <w:p w:rsidR="002E6AF0" w:rsidRDefault="002E6AF0" w:rsidP="002E6AF0">
      <w:r>
        <w:t>The global shipping industry is entering a structural turning point in 2025. As the 2M Alliance comes to an end, MSC shifts to independent operations, Maersk and Hapag-Lloyd launch Gemini Cooperation, and ONE, HMM, and Yang Ming form the Premier Alliance, the competitive landscape of container shipping is being reorganized around service reliability, network efficiency, sustainability, and supply chain resilience.</w:t>
      </w:r>
    </w:p>
    <w:p w:rsidR="004F4BDA" w:rsidRPr="002E6AF0" w:rsidRDefault="002E6AF0" w:rsidP="002E6AF0">
      <w:r>
        <w:t>This white paper explains the evolution of global shipping alliances, the strategic meaning of the 2025 alliance restructuring, and its impact on carriers, shippers, ports, inland logistics, and global supply chains. It also explores why the shipping industry is shifting from price-based competition to value-based competition.</w:t>
      </w:r>
    </w:p>
    <w:p w:rsidR="001E27C3" w:rsidRDefault="00A92AC9" w:rsidP="004F4BDA">
      <w:pPr>
        <w:rPr>
          <w:rFonts w:ascii="맑은 고딕" w:hAnsi="맑은 고딕" w:cs="맑은 고딕"/>
        </w:rPr>
      </w:pPr>
      <w:r>
        <w:t>Publication Date</w:t>
      </w:r>
      <w:r w:rsidR="004F4BDA">
        <w:t xml:space="preserve">: </w:t>
      </w:r>
      <w:r w:rsidR="002E6AF0">
        <w:t>July</w:t>
      </w:r>
      <w:r w:rsidRPr="00A92AC9">
        <w:t xml:space="preserve"> ○, 2026</w:t>
      </w:r>
    </w:p>
    <w:p w:rsidR="004F4BDA" w:rsidRDefault="004F4BDA" w:rsidP="004F4BDA">
      <w:pPr>
        <w:rPr>
          <w:rFonts w:ascii="맑은 고딕" w:hAnsi="맑은 고딕" w:cs="맑은 고딕"/>
        </w:rPr>
      </w:pPr>
    </w:p>
    <w:p w:rsidR="00BE7E09" w:rsidRDefault="004F4BDA" w:rsidP="004F4BDA">
      <w:pPr>
        <w:rPr>
          <w:rFonts w:ascii="맑은 고딕" w:hAnsi="맑은 고딕" w:cs="맑은 고딕"/>
        </w:rPr>
      </w:pPr>
      <w:r>
        <w:rPr>
          <w:rFonts w:ascii="맑은 고딕" w:hAnsi="맑은 고딕" w:cs="맑은 고딕" w:hint="eastAsia"/>
        </w:rPr>
        <w:t>저자 배너</w:t>
      </w:r>
      <w:r w:rsidR="00BE7E09">
        <w:rPr>
          <w:rFonts w:ascii="맑은 고딕" w:hAnsi="맑은 고딕" w:cs="맑은 고딕" w:hint="eastAsia"/>
        </w:rPr>
        <w:t>:</w:t>
      </w:r>
    </w:p>
    <w:p w:rsidR="00BE7E09" w:rsidRDefault="00BE7E09" w:rsidP="004F4BDA">
      <w:pPr>
        <w:rPr>
          <w:rFonts w:ascii="맑은 고딕" w:hAnsi="맑은 고딕" w:cs="맑은 고딕"/>
        </w:rPr>
      </w:pPr>
      <w:r w:rsidRPr="00BE7E09">
        <w:rPr>
          <w:rStyle w:val="a7"/>
        </w:rPr>
        <w:t>About the Author</w:t>
      </w:r>
      <w:r>
        <w:br/>
      </w:r>
      <w:r>
        <w:rPr>
          <w:rStyle w:val="a7"/>
        </w:rPr>
        <w:t xml:space="preserve">Prof. </w:t>
      </w:r>
      <w:r w:rsidR="0099427E" w:rsidRPr="0099427E">
        <w:rPr>
          <w:rStyle w:val="a7"/>
        </w:rPr>
        <w:t>Jeon Jun-woo</w:t>
      </w:r>
      <w:r>
        <w:br/>
      </w:r>
      <w:r w:rsidR="0033508B" w:rsidRPr="0033508B">
        <w:t>A data-driven shipping and logistics researcher specializing in container shipping market analysis, with research experience across Samsung SDS, the Ministry of Oceans and Fisheries, and Korea Ocean Business Corporation.</w:t>
      </w:r>
    </w:p>
    <w:p w:rsidR="004F4BDA" w:rsidRDefault="004F4BDA" w:rsidP="004F4BDA">
      <w:pPr>
        <w:rPr>
          <w:rFonts w:ascii="맑은 고딕" w:hAnsi="맑은 고딕" w:cs="맑은 고딕"/>
        </w:rPr>
      </w:pPr>
      <w:bookmarkStart w:id="0" w:name="_GoBack"/>
      <w:bookmarkEnd w:id="0"/>
    </w:p>
    <w:p w:rsidR="00A92AC9" w:rsidRPr="00A92AC9" w:rsidRDefault="00A92AC9" w:rsidP="00A92AC9">
      <w:pPr>
        <w:rPr>
          <w:rFonts w:ascii="맑은 고딕" w:hAnsi="맑은 고딕" w:cs="맑은 고딕"/>
          <w:b/>
        </w:rPr>
      </w:pPr>
      <w:r w:rsidRPr="00A92AC9">
        <w:rPr>
          <w:rFonts w:ascii="맑은 고딕" w:hAnsi="맑은 고딕" w:cs="맑은 고딕"/>
          <w:b/>
        </w:rPr>
        <w:t>Key Concepts</w:t>
      </w:r>
    </w:p>
    <w:p w:rsidR="0099427E" w:rsidRPr="0099427E" w:rsidRDefault="0099427E" w:rsidP="0099427E">
      <w:pPr>
        <w:rPr>
          <w:rFonts w:ascii="맑은 고딕" w:hAnsi="맑은 고딕" w:cs="맑은 고딕"/>
        </w:rPr>
      </w:pPr>
      <w:r w:rsidRPr="0099427E">
        <w:rPr>
          <w:rFonts w:ascii="맑은 고딕" w:hAnsi="맑은 고딕" w:cs="맑은 고딕"/>
        </w:rPr>
        <w:t>Shipping Alliance</w:t>
      </w:r>
    </w:p>
    <w:p w:rsidR="0099427E" w:rsidRPr="0099427E" w:rsidRDefault="0099427E" w:rsidP="0099427E">
      <w:pPr>
        <w:rPr>
          <w:rFonts w:ascii="맑은 고딕" w:hAnsi="맑은 고딕" w:cs="맑은 고딕"/>
        </w:rPr>
      </w:pPr>
      <w:r w:rsidRPr="0099427E">
        <w:rPr>
          <w:rFonts w:ascii="맑은 고딕" w:hAnsi="맑은 고딕" w:cs="맑은 고딕"/>
        </w:rPr>
        <w:t>A shipping alliance is a cooperative structure in which container shipping companies share vessels, routes, slots, and network resources to improve service coverage and operational efficiency. Modern global alliances go beyond simple vessel sharing and include network coordination, terminal cooperation, and shared capacity management.</w:t>
      </w:r>
    </w:p>
    <w:p w:rsidR="0099427E" w:rsidRPr="0099427E" w:rsidRDefault="0099427E" w:rsidP="0099427E">
      <w:pPr>
        <w:rPr>
          <w:rFonts w:ascii="맑은 고딕" w:hAnsi="맑은 고딕" w:cs="맑은 고딕"/>
        </w:rPr>
      </w:pPr>
      <w:r w:rsidRPr="0099427E">
        <w:rPr>
          <w:rFonts w:ascii="맑은 고딕" w:hAnsi="맑은 고딕" w:cs="맑은 고딕"/>
        </w:rPr>
        <w:t>Shipping Conference</w:t>
      </w:r>
    </w:p>
    <w:p w:rsidR="0099427E" w:rsidRPr="0099427E" w:rsidRDefault="0099427E" w:rsidP="0099427E">
      <w:pPr>
        <w:rPr>
          <w:rFonts w:ascii="맑은 고딕" w:hAnsi="맑은 고딕" w:cs="맑은 고딕"/>
        </w:rPr>
      </w:pPr>
      <w:r w:rsidRPr="0099427E">
        <w:rPr>
          <w:rFonts w:ascii="맑은 고딕" w:hAnsi="맑은 고딕" w:cs="맑은 고딕"/>
        </w:rPr>
        <w:t xml:space="preserve">A shipping conference was an early cooperative model in liner shipping where carriers operating </w:t>
      </w:r>
      <w:r w:rsidRPr="0099427E">
        <w:rPr>
          <w:rFonts w:ascii="맑은 고딕" w:hAnsi="맑은 고딕" w:cs="맑은 고딕"/>
        </w:rPr>
        <w:lastRenderedPageBreak/>
        <w:t>on the same route jointly set freight rates and service conditions. It emerged as a way to maintain market order and reduce destructive price competition.</w:t>
      </w:r>
    </w:p>
    <w:p w:rsidR="0099427E" w:rsidRPr="0099427E" w:rsidRDefault="0099427E" w:rsidP="0099427E">
      <w:pPr>
        <w:rPr>
          <w:rFonts w:ascii="맑은 고딕" w:hAnsi="맑은 고딕" w:cs="맑은 고딕"/>
        </w:rPr>
      </w:pPr>
      <w:r w:rsidRPr="0099427E">
        <w:rPr>
          <w:rFonts w:ascii="맑은 고딕" w:hAnsi="맑은 고딕" w:cs="맑은 고딕"/>
        </w:rPr>
        <w:t>Consortium</w:t>
      </w:r>
    </w:p>
    <w:p w:rsidR="0099427E" w:rsidRPr="0099427E" w:rsidRDefault="0099427E" w:rsidP="0099427E">
      <w:pPr>
        <w:rPr>
          <w:rFonts w:ascii="맑은 고딕" w:hAnsi="맑은 고딕" w:cs="맑은 고딕"/>
        </w:rPr>
      </w:pPr>
      <w:r w:rsidRPr="0099427E">
        <w:rPr>
          <w:rFonts w:ascii="맑은 고딕" w:hAnsi="맑은 고딕" w:cs="맑은 고딕"/>
        </w:rPr>
        <w:t>A consortium is a cooperative model that allows carriers to share costs and expand service scope through vessel sharing, slot charter, and slot exchange. It became important after the introduction of container ships, which required significant investment in vessels and operations.</w:t>
      </w:r>
    </w:p>
    <w:p w:rsidR="0099427E" w:rsidRPr="0099427E" w:rsidRDefault="0099427E" w:rsidP="0099427E">
      <w:pPr>
        <w:rPr>
          <w:rFonts w:ascii="맑은 고딕" w:hAnsi="맑은 고딕" w:cs="맑은 고딕"/>
        </w:rPr>
      </w:pPr>
      <w:r w:rsidRPr="0099427E">
        <w:rPr>
          <w:rFonts w:ascii="맑은 고딕" w:hAnsi="맑은 고딕" w:cs="맑은 고딕"/>
        </w:rPr>
        <w:t>Vessel Sharing</w:t>
      </w:r>
    </w:p>
    <w:p w:rsidR="0099427E" w:rsidRPr="0099427E" w:rsidRDefault="0099427E" w:rsidP="0099427E">
      <w:pPr>
        <w:rPr>
          <w:rFonts w:ascii="맑은 고딕" w:hAnsi="맑은 고딕" w:cs="맑은 고딕"/>
        </w:rPr>
      </w:pPr>
      <w:r w:rsidRPr="0099427E">
        <w:rPr>
          <w:rFonts w:ascii="맑은 고딕" w:hAnsi="맑은 고딕" w:cs="맑은 고딕"/>
        </w:rPr>
        <w:t>Vessel sharing is a cooperation method in which carriers jointly operate vessels on specific routes. It helps improve service frequency, reduce fixed costs, and expand network coverage.</w:t>
      </w:r>
    </w:p>
    <w:p w:rsidR="0099427E" w:rsidRPr="0099427E" w:rsidRDefault="0099427E" w:rsidP="0099427E">
      <w:pPr>
        <w:rPr>
          <w:rFonts w:ascii="맑은 고딕" w:hAnsi="맑은 고딕" w:cs="맑은 고딕"/>
        </w:rPr>
      </w:pPr>
      <w:r w:rsidRPr="0099427E">
        <w:rPr>
          <w:rFonts w:ascii="맑은 고딕" w:hAnsi="맑은 고딕" w:cs="맑은 고딕"/>
        </w:rPr>
        <w:t>Slot Charter</w:t>
      </w:r>
    </w:p>
    <w:p w:rsidR="0099427E" w:rsidRPr="0099427E" w:rsidRDefault="0099427E" w:rsidP="0099427E">
      <w:pPr>
        <w:rPr>
          <w:rFonts w:ascii="맑은 고딕" w:hAnsi="맑은 고딕" w:cs="맑은 고딕"/>
        </w:rPr>
      </w:pPr>
      <w:r w:rsidRPr="0099427E">
        <w:rPr>
          <w:rFonts w:ascii="맑은 고딕" w:hAnsi="맑은 고딕" w:cs="맑은 고딕"/>
        </w:rPr>
        <w:t>Slot charter refers to a carrier leasing cargo space, or slots, on another carrier’s vessel. It allows shipping companies to serve routes without operating their own ships on every lane.</w:t>
      </w:r>
    </w:p>
    <w:p w:rsidR="0099427E" w:rsidRPr="0099427E" w:rsidRDefault="0099427E" w:rsidP="0099427E">
      <w:pPr>
        <w:rPr>
          <w:rFonts w:ascii="맑은 고딕" w:hAnsi="맑은 고딕" w:cs="맑은 고딕"/>
        </w:rPr>
      </w:pPr>
      <w:r w:rsidRPr="0099427E">
        <w:rPr>
          <w:rFonts w:ascii="맑은 고딕" w:hAnsi="맑은 고딕" w:cs="맑은 고딕"/>
        </w:rPr>
        <w:t>Slot Exchange</w:t>
      </w:r>
    </w:p>
    <w:p w:rsidR="0099427E" w:rsidRPr="0099427E" w:rsidRDefault="0099427E" w:rsidP="0099427E">
      <w:pPr>
        <w:rPr>
          <w:rFonts w:ascii="맑은 고딕" w:hAnsi="맑은 고딕" w:cs="맑은 고딕"/>
        </w:rPr>
      </w:pPr>
      <w:r w:rsidRPr="0099427E">
        <w:rPr>
          <w:rFonts w:ascii="맑은 고딕" w:hAnsi="맑은 고딕" w:cs="맑은 고딕"/>
        </w:rPr>
        <w:t>Slot exchange is an arrangement where carriers exchange cargo space on each other’s vessels. It enables carriers to focus on core routes while still offering broader service coverage to shippers.</w:t>
      </w:r>
    </w:p>
    <w:p w:rsidR="0099427E" w:rsidRPr="0099427E" w:rsidRDefault="0099427E" w:rsidP="0099427E">
      <w:pPr>
        <w:rPr>
          <w:rFonts w:ascii="맑은 고딕" w:hAnsi="맑은 고딕" w:cs="맑은 고딕"/>
        </w:rPr>
      </w:pPr>
      <w:r w:rsidRPr="0099427E">
        <w:rPr>
          <w:rFonts w:ascii="맑은 고딕" w:hAnsi="맑은 고딕" w:cs="맑은 고딕"/>
        </w:rPr>
        <w:t>2M Alliance</w:t>
      </w:r>
    </w:p>
    <w:p w:rsidR="0099427E" w:rsidRPr="0099427E" w:rsidRDefault="0099427E" w:rsidP="0099427E">
      <w:pPr>
        <w:rPr>
          <w:rFonts w:ascii="맑은 고딕" w:hAnsi="맑은 고딕" w:cs="맑은 고딕"/>
        </w:rPr>
      </w:pPr>
      <w:r w:rsidRPr="0099427E">
        <w:rPr>
          <w:rFonts w:ascii="맑은 고딕" w:hAnsi="맑은 고딕" w:cs="맑은 고딕"/>
        </w:rPr>
        <w:t>The 2M Alliance was a major container shipping alliance formed by Maersk and MSC. It played a central role in global container trade but officially ended in early 2025, leading to a major restructuring of global shipping alliances.</w:t>
      </w:r>
    </w:p>
    <w:p w:rsidR="0099427E" w:rsidRPr="0099427E" w:rsidRDefault="0099427E" w:rsidP="0099427E">
      <w:pPr>
        <w:rPr>
          <w:rFonts w:ascii="맑은 고딕" w:hAnsi="맑은 고딕" w:cs="맑은 고딕"/>
        </w:rPr>
      </w:pPr>
      <w:r w:rsidRPr="0099427E">
        <w:rPr>
          <w:rFonts w:ascii="맑은 고딕" w:hAnsi="맑은 고딕" w:cs="맑은 고딕"/>
        </w:rPr>
        <w:t>Gemini Cooperation</w:t>
      </w:r>
    </w:p>
    <w:p w:rsidR="0099427E" w:rsidRPr="0099427E" w:rsidRDefault="0099427E" w:rsidP="0099427E">
      <w:pPr>
        <w:rPr>
          <w:rFonts w:ascii="맑은 고딕" w:hAnsi="맑은 고딕" w:cs="맑은 고딕"/>
        </w:rPr>
      </w:pPr>
      <w:r w:rsidRPr="0099427E">
        <w:rPr>
          <w:rFonts w:ascii="맑은 고딕" w:hAnsi="맑은 고딕" w:cs="맑은 고딕"/>
        </w:rPr>
        <w:t>Gemini Cooperation is a strategic cooperation between Maersk and Hapag-Lloyd launched after the end of the 2M Alliance. It is built around a hub-and-spoke model and aims to improve schedule reliability, network efficiency, and service predictability.</w:t>
      </w:r>
    </w:p>
    <w:p w:rsidR="0099427E" w:rsidRPr="0099427E" w:rsidRDefault="0099427E" w:rsidP="0099427E">
      <w:pPr>
        <w:rPr>
          <w:rFonts w:ascii="맑은 고딕" w:hAnsi="맑은 고딕" w:cs="맑은 고딕"/>
        </w:rPr>
      </w:pPr>
      <w:r w:rsidRPr="0099427E">
        <w:rPr>
          <w:rFonts w:ascii="맑은 고딕" w:hAnsi="맑은 고딕" w:cs="맑은 고딕"/>
        </w:rPr>
        <w:t>Premier Alliance</w:t>
      </w:r>
    </w:p>
    <w:p w:rsidR="0099427E" w:rsidRPr="0099427E" w:rsidRDefault="0099427E" w:rsidP="0099427E">
      <w:pPr>
        <w:rPr>
          <w:rFonts w:ascii="맑은 고딕" w:hAnsi="맑은 고딕" w:cs="맑은 고딕"/>
        </w:rPr>
      </w:pPr>
      <w:r w:rsidRPr="0099427E">
        <w:rPr>
          <w:rFonts w:ascii="맑은 고딕" w:hAnsi="맑은 고딕" w:cs="맑은 고딕"/>
        </w:rPr>
        <w:t>Premier Alliance is a new cooperation formed by ONE, HMM, and Yang Ming after Hapag-Lloyd left THE Alliance. It focuses on strengthening cooperation on major east-west routes, including Trans-Pacific and Asia-Middle East services, while maintaining strategic flexibility through slot exchanges.</w:t>
      </w:r>
    </w:p>
    <w:p w:rsidR="0099427E" w:rsidRPr="0099427E" w:rsidRDefault="0099427E" w:rsidP="0099427E">
      <w:pPr>
        <w:rPr>
          <w:rFonts w:ascii="맑은 고딕" w:hAnsi="맑은 고딕" w:cs="맑은 고딕"/>
        </w:rPr>
      </w:pPr>
      <w:r w:rsidRPr="0099427E">
        <w:rPr>
          <w:rFonts w:ascii="맑은 고딕" w:hAnsi="맑은 고딕" w:cs="맑은 고딕"/>
        </w:rPr>
        <w:t>Ocean Alliance</w:t>
      </w:r>
    </w:p>
    <w:p w:rsidR="0099427E" w:rsidRPr="0099427E" w:rsidRDefault="0099427E" w:rsidP="0099427E">
      <w:pPr>
        <w:rPr>
          <w:rFonts w:ascii="맑은 고딕" w:hAnsi="맑은 고딕" w:cs="맑은 고딕"/>
        </w:rPr>
      </w:pPr>
    </w:p>
    <w:p w:rsidR="0099427E" w:rsidRPr="0099427E" w:rsidRDefault="0099427E" w:rsidP="0099427E">
      <w:pPr>
        <w:rPr>
          <w:rFonts w:ascii="맑은 고딕" w:hAnsi="맑은 고딕" w:cs="맑은 고딕"/>
        </w:rPr>
      </w:pPr>
      <w:r w:rsidRPr="0099427E">
        <w:rPr>
          <w:rFonts w:ascii="맑은 고딕" w:hAnsi="맑은 고딕" w:cs="맑은 고딕"/>
        </w:rPr>
        <w:lastRenderedPageBreak/>
        <w:t>Ocean Alliance is a global shipping alliance composed of CMA CGM, COSCO Shipping, Evergreen, and OOCL. The alliance has extended its cooperation and is expected to maintain stable operations while pursuing technology innovation and sustainable operating strategies.</w:t>
      </w:r>
    </w:p>
    <w:p w:rsidR="0099427E" w:rsidRPr="0099427E" w:rsidRDefault="0099427E" w:rsidP="0099427E">
      <w:pPr>
        <w:rPr>
          <w:rFonts w:ascii="맑은 고딕" w:hAnsi="맑은 고딕" w:cs="맑은 고딕"/>
        </w:rPr>
      </w:pPr>
      <w:r w:rsidRPr="0099427E">
        <w:rPr>
          <w:rFonts w:ascii="맑은 고딕" w:hAnsi="맑은 고딕" w:cs="맑은 고딕"/>
        </w:rPr>
        <w:t>Hub-and-Spoke Model</w:t>
      </w:r>
    </w:p>
    <w:p w:rsidR="0099427E" w:rsidRPr="0099427E" w:rsidRDefault="0099427E" w:rsidP="0099427E">
      <w:pPr>
        <w:rPr>
          <w:rFonts w:ascii="맑은 고딕" w:hAnsi="맑은 고딕" w:cs="맑은 고딕"/>
        </w:rPr>
      </w:pPr>
      <w:r w:rsidRPr="0099427E">
        <w:rPr>
          <w:rFonts w:ascii="맑은 고딕" w:hAnsi="맑은 고딕" w:cs="맑은 고딕"/>
        </w:rPr>
        <w:t>The hub-and-spoke model is a network structure that consolidates cargo at major transshipment hubs and redistributes it to individual destinations through feeder or shuttle services. In shipping, this model can improve capacity utilization, schedule reliability, and operational efficiency.</w:t>
      </w:r>
    </w:p>
    <w:p w:rsidR="0099427E" w:rsidRPr="0099427E" w:rsidRDefault="0099427E" w:rsidP="0099427E">
      <w:pPr>
        <w:rPr>
          <w:rFonts w:ascii="맑은 고딕" w:hAnsi="맑은 고딕" w:cs="맑은 고딕"/>
        </w:rPr>
      </w:pPr>
      <w:r w:rsidRPr="0099427E">
        <w:rPr>
          <w:rFonts w:ascii="맑은 고딕" w:hAnsi="맑은 고딕" w:cs="맑은 고딕"/>
        </w:rPr>
        <w:t>Schedule Reliability</w:t>
      </w:r>
    </w:p>
    <w:p w:rsidR="0099427E" w:rsidRPr="0099427E" w:rsidRDefault="0099427E" w:rsidP="0099427E">
      <w:pPr>
        <w:rPr>
          <w:rFonts w:ascii="맑은 고딕" w:hAnsi="맑은 고딕" w:cs="맑은 고딕"/>
        </w:rPr>
      </w:pPr>
      <w:r w:rsidRPr="0099427E">
        <w:rPr>
          <w:rFonts w:ascii="맑은 고딕" w:hAnsi="맑은 고딕" w:cs="맑은 고딕"/>
        </w:rPr>
        <w:t>Schedule reliability refers to the ability of carriers to operate according to planned sailing and arrival schedules. It is becoming a key service quality indicator as shippers prioritize supply chain stability, inventory planning, and delivery predictability.</w:t>
      </w:r>
    </w:p>
    <w:p w:rsidR="0099427E" w:rsidRPr="0099427E" w:rsidRDefault="0099427E" w:rsidP="0099427E">
      <w:pPr>
        <w:rPr>
          <w:rFonts w:ascii="맑은 고딕" w:hAnsi="맑은 고딕" w:cs="맑은 고딕"/>
        </w:rPr>
      </w:pPr>
      <w:r w:rsidRPr="0099427E">
        <w:rPr>
          <w:rFonts w:ascii="맑은 고딕" w:hAnsi="맑은 고딕" w:cs="맑은 고딕"/>
        </w:rPr>
        <w:t>Blank Sailing</w:t>
      </w:r>
    </w:p>
    <w:p w:rsidR="0099427E" w:rsidRPr="0099427E" w:rsidRDefault="0099427E" w:rsidP="0099427E">
      <w:pPr>
        <w:rPr>
          <w:rFonts w:ascii="맑은 고딕" w:hAnsi="맑은 고딕" w:cs="맑은 고딕"/>
        </w:rPr>
      </w:pPr>
      <w:r w:rsidRPr="0099427E">
        <w:rPr>
          <w:rFonts w:ascii="맑은 고딕" w:hAnsi="맑은 고딕" w:cs="맑은 고딕"/>
        </w:rPr>
        <w:t>Blank sailing refers to the cancellation of a scheduled vessel service. Carriers may use blank sailings to manage oversupply, weak demand, or cost pressure, but frequent blank sailings can increase supply chain uncertainty for shippers.</w:t>
      </w:r>
    </w:p>
    <w:p w:rsidR="0099427E" w:rsidRPr="0099427E" w:rsidRDefault="0099427E" w:rsidP="0099427E">
      <w:pPr>
        <w:rPr>
          <w:rFonts w:ascii="맑은 고딕" w:hAnsi="맑은 고딕" w:cs="맑은 고딕"/>
        </w:rPr>
      </w:pPr>
      <w:r w:rsidRPr="0099427E">
        <w:rPr>
          <w:rFonts w:ascii="맑은 고딕" w:hAnsi="맑은 고딕" w:cs="맑은 고딕"/>
        </w:rPr>
        <w:t>Value-Based Competition</w:t>
      </w:r>
    </w:p>
    <w:p w:rsidR="00A92AC9" w:rsidRPr="0099427E" w:rsidRDefault="0099427E" w:rsidP="0099427E">
      <w:pPr>
        <w:rPr>
          <w:rFonts w:ascii="맑은 고딕" w:hAnsi="맑은 고딕" w:cs="맑은 고딕"/>
        </w:rPr>
      </w:pPr>
      <w:r w:rsidRPr="0099427E">
        <w:rPr>
          <w:rFonts w:ascii="맑은 고딕" w:hAnsi="맑은 고딕" w:cs="맑은 고딕"/>
        </w:rPr>
        <w:t>Value-based competition refers to a shift away from competing mainly on freight rates and market share. In shipping, it means competing through service reliability, integrated logistics, digital visibility, resilience, sustainability, and contribution to shippers’ supply chain performance.</w:t>
      </w:r>
    </w:p>
    <w:p w:rsidR="00A92AC9" w:rsidRPr="00A92AC9" w:rsidRDefault="00A92AC9" w:rsidP="00A92AC9">
      <w:pPr>
        <w:rPr>
          <w:rFonts w:ascii="맑은 고딕" w:hAnsi="맑은 고딕" w:cs="맑은 고딕"/>
          <w:b/>
        </w:rPr>
      </w:pPr>
    </w:p>
    <w:p w:rsidR="008D550F" w:rsidRDefault="008D550F" w:rsidP="00A92AC9">
      <w:pPr>
        <w:rPr>
          <w:rFonts w:ascii="맑은 고딕" w:hAnsi="맑은 고딕" w:cs="맑은 고딕"/>
          <w:b/>
        </w:rPr>
      </w:pPr>
      <w:r w:rsidRPr="008D550F">
        <w:rPr>
          <w:rFonts w:ascii="맑은 고딕" w:hAnsi="맑은 고딕" w:cs="맑은 고딕"/>
          <w:b/>
        </w:rPr>
        <w:t xml:space="preserve">Global Shipping Alliance Restructuring, Explained Through Key Questions </w:t>
      </w:r>
    </w:p>
    <w:p w:rsidR="008D550F" w:rsidRPr="008D550F" w:rsidRDefault="008D550F" w:rsidP="008D550F">
      <w:pPr>
        <w:rPr>
          <w:rFonts w:ascii="맑은 고딕" w:hAnsi="맑은 고딕" w:cs="맑은 고딕"/>
        </w:rPr>
      </w:pPr>
      <w:r w:rsidRPr="008D550F">
        <w:rPr>
          <w:rFonts w:ascii="맑은 고딕" w:hAnsi="맑은 고딕" w:cs="맑은 고딕"/>
        </w:rPr>
        <w:t>1.</w:t>
      </w:r>
      <w:r>
        <w:rPr>
          <w:rFonts w:ascii="맑은 고딕" w:hAnsi="맑은 고딕" w:cs="맑은 고딕"/>
        </w:rPr>
        <w:t xml:space="preserve"> </w:t>
      </w:r>
      <w:r w:rsidRPr="008D550F">
        <w:rPr>
          <w:rFonts w:ascii="맑은 고딕" w:hAnsi="맑은 고딕" w:cs="맑은 고딕"/>
        </w:rPr>
        <w:t>What is global shipping alliance restructuring?</w:t>
      </w:r>
    </w:p>
    <w:p w:rsidR="008D550F" w:rsidRPr="008D550F" w:rsidRDefault="008D550F" w:rsidP="008D550F">
      <w:pPr>
        <w:rPr>
          <w:rFonts w:ascii="맑은 고딕" w:hAnsi="맑은 고딕" w:cs="맑은 고딕"/>
        </w:rPr>
      </w:pPr>
      <w:r w:rsidRPr="008D550F">
        <w:rPr>
          <w:rFonts w:ascii="맑은 고딕" w:hAnsi="맑은 고딕" w:cs="맑은 고딕"/>
        </w:rPr>
        <w:t>Global shipping alliance restructuring refers to the reorganization of cooperative networks among major container shipping companies. In 2025, this restructuring includes the end of the 2M Alliance, MSC’s move to independent operations, the launch of Gemini Cooperation by Maersk and Hapag-Lloyd, and the formation of Premier Alliance by ONE, HMM, and Yang Ming.</w:t>
      </w:r>
    </w:p>
    <w:p w:rsidR="008D550F" w:rsidRPr="008D550F" w:rsidRDefault="008D550F" w:rsidP="008D550F">
      <w:pPr>
        <w:rPr>
          <w:rFonts w:ascii="맑은 고딕" w:hAnsi="맑은 고딕" w:cs="맑은 고딕"/>
        </w:rPr>
      </w:pPr>
      <w:r w:rsidRPr="008D550F">
        <w:rPr>
          <w:rFonts w:ascii="맑은 고딕" w:hAnsi="맑은 고딕" w:cs="맑은 고딕"/>
        </w:rPr>
        <w:t>2.</w:t>
      </w:r>
      <w:r>
        <w:rPr>
          <w:rFonts w:ascii="맑은 고딕" w:hAnsi="맑은 고딕" w:cs="맑은 고딕"/>
        </w:rPr>
        <w:t xml:space="preserve"> </w:t>
      </w:r>
      <w:r w:rsidRPr="008D550F">
        <w:rPr>
          <w:rFonts w:ascii="맑은 고딕" w:hAnsi="맑은 고딕" w:cs="맑은 고딕"/>
        </w:rPr>
        <w:t>Why is the 2025 shipping alliance restructuring important?</w:t>
      </w:r>
    </w:p>
    <w:p w:rsidR="008D550F" w:rsidRPr="008D550F" w:rsidRDefault="008D550F" w:rsidP="008D550F">
      <w:pPr>
        <w:rPr>
          <w:rFonts w:ascii="맑은 고딕" w:hAnsi="맑은 고딕" w:cs="맑은 고딕"/>
        </w:rPr>
      </w:pPr>
      <w:r w:rsidRPr="008D550F">
        <w:rPr>
          <w:rFonts w:ascii="맑은 고딕" w:hAnsi="맑은 고딕" w:cs="맑은 고딕"/>
        </w:rPr>
        <w:t xml:space="preserve">The 2025 restructuring is important because it changes more than carrier partnerships. It affects route deployment, port calls, slot sharing, vessel capacity, freight rate volatility, service reliability, and supply chain risk management. For shippers, this means carrier selection can no longer be </w:t>
      </w:r>
      <w:r w:rsidRPr="008D550F">
        <w:rPr>
          <w:rFonts w:ascii="맑은 고딕" w:hAnsi="맑은 고딕" w:cs="맑은 고딕"/>
        </w:rPr>
        <w:lastRenderedPageBreak/>
        <w:t>based only on freight rates.</w:t>
      </w:r>
    </w:p>
    <w:p w:rsidR="008D550F" w:rsidRPr="008D550F" w:rsidRDefault="008D550F" w:rsidP="008D550F">
      <w:pPr>
        <w:rPr>
          <w:rFonts w:ascii="맑은 고딕" w:hAnsi="맑은 고딕" w:cs="맑은 고딕"/>
        </w:rPr>
      </w:pPr>
      <w:r w:rsidRPr="008D550F">
        <w:rPr>
          <w:rFonts w:ascii="맑은 고딕" w:hAnsi="맑은 고딕" w:cs="맑은 고딕"/>
        </w:rPr>
        <w:t>3.</w:t>
      </w:r>
      <w:r>
        <w:rPr>
          <w:rFonts w:ascii="맑은 고딕" w:hAnsi="맑은 고딕" w:cs="맑은 고딕"/>
        </w:rPr>
        <w:t xml:space="preserve"> </w:t>
      </w:r>
      <w:r w:rsidRPr="008D550F">
        <w:rPr>
          <w:rFonts w:ascii="맑은 고딕" w:hAnsi="맑은 고딕" w:cs="맑은 고딕"/>
        </w:rPr>
        <w:t>What happened to the 2M Alliance?</w:t>
      </w:r>
    </w:p>
    <w:p w:rsidR="008D550F" w:rsidRPr="008D550F" w:rsidRDefault="008D550F" w:rsidP="008D550F">
      <w:pPr>
        <w:rPr>
          <w:rFonts w:ascii="맑은 고딕" w:hAnsi="맑은 고딕" w:cs="맑은 고딕"/>
        </w:rPr>
      </w:pPr>
      <w:r w:rsidRPr="008D550F">
        <w:rPr>
          <w:rFonts w:ascii="맑은 고딕" w:hAnsi="맑은 고딕" w:cs="맑은 고딕"/>
        </w:rPr>
        <w:t>The 2M Alliance between Maersk and MSC officially ended in early 2025. After the dissolution, MSC chose to operate independently, while Maersk formed Gemini Cooperation with Hapag-Lloyd. This change created a major shift in the global container shipping network and accelerated the reorganization of global carrier strategies.</w:t>
      </w:r>
    </w:p>
    <w:p w:rsidR="008D550F" w:rsidRPr="008D550F" w:rsidRDefault="008D550F" w:rsidP="008D550F">
      <w:pPr>
        <w:rPr>
          <w:rFonts w:ascii="맑은 고딕" w:hAnsi="맑은 고딕" w:cs="맑은 고딕"/>
        </w:rPr>
      </w:pPr>
      <w:r w:rsidRPr="008D550F">
        <w:rPr>
          <w:rFonts w:ascii="맑은 고딕" w:hAnsi="맑은 고딕" w:cs="맑은 고딕"/>
        </w:rPr>
        <w:t>4.</w:t>
      </w:r>
      <w:r>
        <w:rPr>
          <w:rFonts w:ascii="맑은 고딕" w:hAnsi="맑은 고딕" w:cs="맑은 고딕"/>
        </w:rPr>
        <w:t xml:space="preserve"> </w:t>
      </w:r>
      <w:r w:rsidRPr="008D550F">
        <w:rPr>
          <w:rFonts w:ascii="맑은 고딕" w:hAnsi="맑은 고딕" w:cs="맑은 고딕"/>
        </w:rPr>
        <w:t>What is Gemini Cooperation?</w:t>
      </w:r>
    </w:p>
    <w:p w:rsidR="008D550F" w:rsidRPr="008D550F" w:rsidRDefault="008D550F" w:rsidP="008D550F">
      <w:pPr>
        <w:rPr>
          <w:rFonts w:ascii="맑은 고딕" w:hAnsi="맑은 고딕" w:cs="맑은 고딕"/>
        </w:rPr>
      </w:pPr>
      <w:r w:rsidRPr="008D550F">
        <w:rPr>
          <w:rFonts w:ascii="맑은 고딕" w:hAnsi="맑은 고딕" w:cs="맑은 고딕"/>
        </w:rPr>
        <w:t>Gemini Cooperation is a strategic cooperation between Maersk and Hapag-Lloyd. It is designed around a hub-and-spoke model, using major hub ports and shuttle services to improve network efficiency, reduce unnecessary port calls, and target higher schedule reliability. The white paper notes that Gemini Cooperation aims for service reliability of around or above 90%.</w:t>
      </w:r>
    </w:p>
    <w:p w:rsidR="008D550F" w:rsidRPr="008D550F" w:rsidRDefault="008D550F" w:rsidP="008D550F">
      <w:pPr>
        <w:rPr>
          <w:rFonts w:ascii="맑은 고딕" w:hAnsi="맑은 고딕" w:cs="맑은 고딕"/>
        </w:rPr>
      </w:pPr>
      <w:r w:rsidRPr="008D550F">
        <w:rPr>
          <w:rFonts w:ascii="맑은 고딕" w:hAnsi="맑은 고딕" w:cs="맑은 고딕"/>
        </w:rPr>
        <w:t>5.</w:t>
      </w:r>
      <w:r>
        <w:rPr>
          <w:rFonts w:ascii="맑은 고딕" w:hAnsi="맑은 고딕" w:cs="맑은 고딕"/>
        </w:rPr>
        <w:t xml:space="preserve"> </w:t>
      </w:r>
      <w:r w:rsidRPr="008D550F">
        <w:rPr>
          <w:rFonts w:ascii="맑은 고딕" w:hAnsi="맑은 고딕" w:cs="맑은 고딕"/>
        </w:rPr>
        <w:t>What is Premier Alliance?</w:t>
      </w:r>
    </w:p>
    <w:p w:rsidR="008D550F" w:rsidRPr="008D550F" w:rsidRDefault="008D550F" w:rsidP="008D550F">
      <w:pPr>
        <w:rPr>
          <w:rFonts w:ascii="맑은 고딕" w:hAnsi="맑은 고딕" w:cs="맑은 고딕"/>
        </w:rPr>
      </w:pPr>
      <w:r w:rsidRPr="008D550F">
        <w:rPr>
          <w:rFonts w:ascii="맑은 고딕" w:hAnsi="맑은 고딕" w:cs="맑은 고딕"/>
        </w:rPr>
        <w:t>Premier Alliance is a new shipping cooperation formed by ONE, HMM, and Yang Ming after Hapag-Lloyd left THE Alliance. It operates a large network focused on major east-west routes and uses strategic cooperation, including slot exchanges with MSC on the Asia-Europe route, to maintain service coverage and flexibility.</w:t>
      </w:r>
    </w:p>
    <w:p w:rsidR="008D550F" w:rsidRPr="008D550F" w:rsidRDefault="008D550F" w:rsidP="008D550F">
      <w:pPr>
        <w:rPr>
          <w:rFonts w:ascii="맑은 고딕" w:hAnsi="맑은 고딕" w:cs="맑은 고딕"/>
        </w:rPr>
      </w:pPr>
      <w:r w:rsidRPr="008D550F">
        <w:rPr>
          <w:rFonts w:ascii="맑은 고딕" w:hAnsi="맑은 고딕" w:cs="맑은 고딕"/>
        </w:rPr>
        <w:t>6.</w:t>
      </w:r>
      <w:r>
        <w:rPr>
          <w:rFonts w:ascii="맑은 고딕" w:hAnsi="맑은 고딕" w:cs="맑은 고딕"/>
        </w:rPr>
        <w:t xml:space="preserve"> </w:t>
      </w:r>
      <w:r w:rsidRPr="008D550F">
        <w:rPr>
          <w:rFonts w:ascii="맑은 고딕" w:hAnsi="맑은 고딕" w:cs="맑은 고딕"/>
        </w:rPr>
        <w:t>How does alliance restructuring affect shippers?</w:t>
      </w:r>
    </w:p>
    <w:p w:rsidR="008D550F" w:rsidRPr="008D550F" w:rsidRDefault="008D550F" w:rsidP="008D550F">
      <w:pPr>
        <w:rPr>
          <w:rFonts w:ascii="맑은 고딕" w:hAnsi="맑은 고딕" w:cs="맑은 고딕"/>
        </w:rPr>
      </w:pPr>
      <w:r w:rsidRPr="008D550F">
        <w:rPr>
          <w:rFonts w:ascii="맑은 고딕" w:hAnsi="맑은 고딕" w:cs="맑은 고딕"/>
        </w:rPr>
        <w:t>Alliance restructuring affects shippers by changing sailing schedules, port calls, available capacity, transit times, and service reliability. Shippers may need to renegotiate freight contracts, adjust shipping schedules, review alternative ports, and strengthen supply chain risk management. As schedule reliability becomes more important, carrier selection is shifting from rate-centered decisions to a balance of cost, reliability, and resilience.</w:t>
      </w:r>
    </w:p>
    <w:p w:rsidR="008D550F" w:rsidRPr="008D550F" w:rsidRDefault="008D550F" w:rsidP="008D550F">
      <w:pPr>
        <w:rPr>
          <w:rFonts w:ascii="맑은 고딕" w:hAnsi="맑은 고딕" w:cs="맑은 고딕"/>
        </w:rPr>
      </w:pPr>
      <w:r w:rsidRPr="008D550F">
        <w:rPr>
          <w:rFonts w:ascii="맑은 고딕" w:hAnsi="맑은 고딕" w:cs="맑은 고딕"/>
        </w:rPr>
        <w:t>7.</w:t>
      </w:r>
      <w:r>
        <w:rPr>
          <w:rFonts w:ascii="맑은 고딕" w:hAnsi="맑은 고딕" w:cs="맑은 고딕"/>
        </w:rPr>
        <w:t xml:space="preserve"> </w:t>
      </w:r>
      <w:r w:rsidRPr="008D550F">
        <w:rPr>
          <w:rFonts w:ascii="맑은 고딕" w:hAnsi="맑은 고딕" w:cs="맑은 고딕"/>
        </w:rPr>
        <w:t>How does alliance restructuring affect ports and inland logistics?</w:t>
      </w:r>
    </w:p>
    <w:p w:rsidR="008D550F" w:rsidRPr="008D550F" w:rsidRDefault="008D550F" w:rsidP="008D550F">
      <w:pPr>
        <w:rPr>
          <w:rFonts w:ascii="맑은 고딕" w:hAnsi="맑은 고딕" w:cs="맑은 고딕"/>
        </w:rPr>
      </w:pPr>
      <w:r w:rsidRPr="008D550F">
        <w:rPr>
          <w:rFonts w:ascii="맑은 고딕" w:hAnsi="맑은 고딕" w:cs="맑은 고딕"/>
        </w:rPr>
        <w:t>Alliance restructuring can shift cargo volumes between ports as carriers reorganize hub ports and calling networks. Ports included in new hub-and-spoke networks may gain strategic importance, while others may face reduced volumes. Inland logistics networks, including rail, trucking, warehousing, and storage, may also need to be redesigned around new port flows.</w:t>
      </w:r>
    </w:p>
    <w:p w:rsidR="008D550F" w:rsidRPr="008D550F" w:rsidRDefault="008D550F" w:rsidP="008D550F">
      <w:pPr>
        <w:rPr>
          <w:rFonts w:ascii="맑은 고딕" w:hAnsi="맑은 고딕" w:cs="맑은 고딕"/>
        </w:rPr>
      </w:pPr>
      <w:r w:rsidRPr="008D550F">
        <w:rPr>
          <w:rFonts w:ascii="맑은 고딕" w:hAnsi="맑은 고딕" w:cs="맑은 고딕"/>
        </w:rPr>
        <w:t>8.</w:t>
      </w:r>
      <w:r>
        <w:rPr>
          <w:rFonts w:ascii="맑은 고딕" w:hAnsi="맑은 고딕" w:cs="맑은 고딕"/>
        </w:rPr>
        <w:t xml:space="preserve"> </w:t>
      </w:r>
      <w:r w:rsidRPr="008D550F">
        <w:rPr>
          <w:rFonts w:ascii="맑은 고딕" w:hAnsi="맑은 고딕" w:cs="맑은 고딕"/>
        </w:rPr>
        <w:t>Why is the shipping industry shifting from price-based competition to value-based competition?</w:t>
      </w:r>
    </w:p>
    <w:p w:rsidR="003F5295" w:rsidRPr="008D550F" w:rsidRDefault="008D550F" w:rsidP="008D550F">
      <w:r w:rsidRPr="008D550F">
        <w:rPr>
          <w:rFonts w:ascii="맑은 고딕" w:hAnsi="맑은 고딕" w:cs="맑은 고딕"/>
        </w:rPr>
        <w:t xml:space="preserve">The shipping industry is shifting to value-based competition because price-centered competition and excessive capacity expansion have led to oversupply, weak profitability, freight rate instability, and service disruptions. Carriers now need to compete through schedule reliability, integrated </w:t>
      </w:r>
      <w:r w:rsidRPr="008D550F">
        <w:rPr>
          <w:rFonts w:ascii="맑은 고딕" w:hAnsi="맑은 고딕" w:cs="맑은 고딕"/>
        </w:rPr>
        <w:lastRenderedPageBreak/>
        <w:t>logistics services, digital visibility, resilience against global uncertainty, and sustainability. This shift is redefining shipping companies from transport providers into strategic supply chain partners.</w:t>
      </w:r>
    </w:p>
    <w:p w:rsidR="00412CB8" w:rsidRDefault="00412CB8" w:rsidP="003F5295"/>
    <w:p w:rsidR="003F5295" w:rsidRDefault="008D550F" w:rsidP="00B640B5">
      <w:pPr>
        <w:rPr>
          <w:b/>
        </w:rPr>
      </w:pPr>
      <w:r w:rsidRPr="008D550F">
        <w:rPr>
          <w:b/>
        </w:rPr>
        <w:t>Global Shipping Alliance Restructuring at a Glance</w:t>
      </w:r>
    </w:p>
    <w:tbl>
      <w:tblPr>
        <w:tblStyle w:val="a4"/>
        <w:tblW w:w="0" w:type="auto"/>
        <w:tblLook w:val="04A0" w:firstRow="1" w:lastRow="0" w:firstColumn="1" w:lastColumn="0" w:noHBand="0" w:noVBand="1"/>
      </w:tblPr>
      <w:tblGrid>
        <w:gridCol w:w="2079"/>
        <w:gridCol w:w="6937"/>
      </w:tblGrid>
      <w:tr w:rsidR="008D550F" w:rsidTr="008D550F">
        <w:tc>
          <w:tcPr>
            <w:tcW w:w="0" w:type="auto"/>
            <w:hideMark/>
          </w:tcPr>
          <w:p w:rsidR="008D550F" w:rsidRPr="008D550F" w:rsidRDefault="008D550F">
            <w:pPr>
              <w:widowControl/>
              <w:wordWrap/>
              <w:autoSpaceDE/>
              <w:autoSpaceDN/>
              <w:jc w:val="center"/>
              <w:rPr>
                <w:bCs/>
                <w:sz w:val="20"/>
                <w:szCs w:val="20"/>
              </w:rPr>
            </w:pPr>
            <w:r w:rsidRPr="008D550F">
              <w:rPr>
                <w:bCs/>
                <w:sz w:val="20"/>
                <w:szCs w:val="20"/>
              </w:rPr>
              <w:t>Category</w:t>
            </w:r>
          </w:p>
        </w:tc>
        <w:tc>
          <w:tcPr>
            <w:tcW w:w="0" w:type="auto"/>
            <w:hideMark/>
          </w:tcPr>
          <w:p w:rsidR="008D550F" w:rsidRPr="008D550F" w:rsidRDefault="008D550F">
            <w:pPr>
              <w:jc w:val="center"/>
              <w:rPr>
                <w:bCs/>
                <w:sz w:val="20"/>
                <w:szCs w:val="20"/>
              </w:rPr>
            </w:pPr>
            <w:r w:rsidRPr="008D550F">
              <w:rPr>
                <w:bCs/>
                <w:sz w:val="20"/>
                <w:szCs w:val="20"/>
              </w:rPr>
              <w:t>Key Takeaway</w:t>
            </w:r>
          </w:p>
        </w:tc>
      </w:tr>
      <w:tr w:rsidR="008D550F" w:rsidTr="008D550F">
        <w:tc>
          <w:tcPr>
            <w:tcW w:w="0" w:type="auto"/>
            <w:hideMark/>
          </w:tcPr>
          <w:p w:rsidR="008D550F" w:rsidRPr="008D550F" w:rsidRDefault="008D550F">
            <w:pPr>
              <w:rPr>
                <w:sz w:val="20"/>
                <w:szCs w:val="20"/>
              </w:rPr>
            </w:pPr>
            <w:r w:rsidRPr="008D550F">
              <w:rPr>
                <w:sz w:val="20"/>
                <w:szCs w:val="20"/>
              </w:rPr>
              <w:t>Main Topic</w:t>
            </w:r>
          </w:p>
        </w:tc>
        <w:tc>
          <w:tcPr>
            <w:tcW w:w="0" w:type="auto"/>
            <w:hideMark/>
          </w:tcPr>
          <w:p w:rsidR="008D550F" w:rsidRPr="008D550F" w:rsidRDefault="008D550F">
            <w:pPr>
              <w:rPr>
                <w:sz w:val="20"/>
                <w:szCs w:val="20"/>
              </w:rPr>
            </w:pPr>
            <w:r w:rsidRPr="008D550F">
              <w:rPr>
                <w:sz w:val="20"/>
                <w:szCs w:val="20"/>
              </w:rPr>
              <w:t>2025 restructuring of global container shipping alliances</w:t>
            </w:r>
          </w:p>
        </w:tc>
      </w:tr>
      <w:tr w:rsidR="008D550F" w:rsidTr="008D550F">
        <w:tc>
          <w:tcPr>
            <w:tcW w:w="0" w:type="auto"/>
            <w:hideMark/>
          </w:tcPr>
          <w:p w:rsidR="008D550F" w:rsidRPr="008D550F" w:rsidRDefault="008D550F">
            <w:pPr>
              <w:rPr>
                <w:sz w:val="20"/>
                <w:szCs w:val="20"/>
              </w:rPr>
            </w:pPr>
            <w:r w:rsidRPr="008D550F">
              <w:rPr>
                <w:sz w:val="20"/>
                <w:szCs w:val="20"/>
              </w:rPr>
              <w:t>Key Change</w:t>
            </w:r>
          </w:p>
        </w:tc>
        <w:tc>
          <w:tcPr>
            <w:tcW w:w="0" w:type="auto"/>
            <w:hideMark/>
          </w:tcPr>
          <w:p w:rsidR="008D550F" w:rsidRPr="008D550F" w:rsidRDefault="008D550F">
            <w:pPr>
              <w:rPr>
                <w:sz w:val="20"/>
                <w:szCs w:val="20"/>
              </w:rPr>
            </w:pPr>
            <w:r w:rsidRPr="008D550F">
              <w:rPr>
                <w:sz w:val="20"/>
                <w:szCs w:val="20"/>
              </w:rPr>
              <w:t>End of 2M Alliance, MSC independent operations, launch of Gemini Cooperation, formation of Premier Alliance</w:t>
            </w:r>
          </w:p>
        </w:tc>
      </w:tr>
      <w:tr w:rsidR="008D550F" w:rsidTr="008D550F">
        <w:tc>
          <w:tcPr>
            <w:tcW w:w="0" w:type="auto"/>
            <w:hideMark/>
          </w:tcPr>
          <w:p w:rsidR="008D550F" w:rsidRPr="008D550F" w:rsidRDefault="008D550F">
            <w:pPr>
              <w:rPr>
                <w:sz w:val="20"/>
                <w:szCs w:val="20"/>
              </w:rPr>
            </w:pPr>
            <w:r w:rsidRPr="008D550F">
              <w:rPr>
                <w:sz w:val="20"/>
                <w:szCs w:val="20"/>
              </w:rPr>
              <w:t>Major Alliances</w:t>
            </w:r>
          </w:p>
        </w:tc>
        <w:tc>
          <w:tcPr>
            <w:tcW w:w="0" w:type="auto"/>
            <w:hideMark/>
          </w:tcPr>
          <w:p w:rsidR="008D550F" w:rsidRPr="008D550F" w:rsidRDefault="008D550F">
            <w:pPr>
              <w:rPr>
                <w:sz w:val="20"/>
                <w:szCs w:val="20"/>
              </w:rPr>
            </w:pPr>
            <w:r w:rsidRPr="008D550F">
              <w:rPr>
                <w:sz w:val="20"/>
                <w:szCs w:val="20"/>
              </w:rPr>
              <w:t>Gemini Cooperation, Premier Alliance, Ocean Alliance</w:t>
            </w:r>
          </w:p>
        </w:tc>
      </w:tr>
      <w:tr w:rsidR="008D550F" w:rsidTr="008D550F">
        <w:tc>
          <w:tcPr>
            <w:tcW w:w="0" w:type="auto"/>
            <w:hideMark/>
          </w:tcPr>
          <w:p w:rsidR="008D550F" w:rsidRPr="008D550F" w:rsidRDefault="008D550F">
            <w:pPr>
              <w:rPr>
                <w:sz w:val="20"/>
                <w:szCs w:val="20"/>
              </w:rPr>
            </w:pPr>
            <w:r w:rsidRPr="008D550F">
              <w:rPr>
                <w:sz w:val="20"/>
                <w:szCs w:val="20"/>
              </w:rPr>
              <w:t>Gemini Cooperation</w:t>
            </w:r>
          </w:p>
        </w:tc>
        <w:tc>
          <w:tcPr>
            <w:tcW w:w="0" w:type="auto"/>
            <w:hideMark/>
          </w:tcPr>
          <w:p w:rsidR="008D550F" w:rsidRPr="008D550F" w:rsidRDefault="008D550F">
            <w:pPr>
              <w:rPr>
                <w:sz w:val="20"/>
                <w:szCs w:val="20"/>
              </w:rPr>
            </w:pPr>
            <w:r w:rsidRPr="008D550F">
              <w:rPr>
                <w:sz w:val="20"/>
                <w:szCs w:val="20"/>
              </w:rPr>
              <w:t>Maersk and Hapag-Lloyd cooperation based on a hub-and-spoke model and higher schedule reliability</w:t>
            </w:r>
          </w:p>
        </w:tc>
      </w:tr>
      <w:tr w:rsidR="008D550F" w:rsidTr="008D550F">
        <w:tc>
          <w:tcPr>
            <w:tcW w:w="0" w:type="auto"/>
            <w:hideMark/>
          </w:tcPr>
          <w:p w:rsidR="008D550F" w:rsidRPr="008D550F" w:rsidRDefault="008D550F">
            <w:pPr>
              <w:rPr>
                <w:sz w:val="20"/>
                <w:szCs w:val="20"/>
              </w:rPr>
            </w:pPr>
            <w:r w:rsidRPr="008D550F">
              <w:rPr>
                <w:sz w:val="20"/>
                <w:szCs w:val="20"/>
              </w:rPr>
              <w:t>Premier Alliance</w:t>
            </w:r>
          </w:p>
        </w:tc>
        <w:tc>
          <w:tcPr>
            <w:tcW w:w="0" w:type="auto"/>
            <w:hideMark/>
          </w:tcPr>
          <w:p w:rsidR="008D550F" w:rsidRPr="008D550F" w:rsidRDefault="008D550F">
            <w:pPr>
              <w:rPr>
                <w:sz w:val="20"/>
                <w:szCs w:val="20"/>
              </w:rPr>
            </w:pPr>
            <w:r w:rsidRPr="008D550F">
              <w:rPr>
                <w:sz w:val="20"/>
                <w:szCs w:val="20"/>
              </w:rPr>
              <w:t>ONE, HMM, and Yang Ming cooperation focused on major east-west routes</w:t>
            </w:r>
          </w:p>
        </w:tc>
      </w:tr>
      <w:tr w:rsidR="008D550F" w:rsidTr="008D550F">
        <w:tc>
          <w:tcPr>
            <w:tcW w:w="0" w:type="auto"/>
            <w:hideMark/>
          </w:tcPr>
          <w:p w:rsidR="008D550F" w:rsidRPr="008D550F" w:rsidRDefault="008D550F">
            <w:pPr>
              <w:rPr>
                <w:sz w:val="20"/>
                <w:szCs w:val="20"/>
              </w:rPr>
            </w:pPr>
            <w:r w:rsidRPr="008D550F">
              <w:rPr>
                <w:sz w:val="20"/>
                <w:szCs w:val="20"/>
              </w:rPr>
              <w:t>Ocean Alliance</w:t>
            </w:r>
          </w:p>
        </w:tc>
        <w:tc>
          <w:tcPr>
            <w:tcW w:w="0" w:type="auto"/>
            <w:hideMark/>
          </w:tcPr>
          <w:p w:rsidR="008D550F" w:rsidRPr="008D550F" w:rsidRDefault="008D550F">
            <w:pPr>
              <w:rPr>
                <w:sz w:val="20"/>
                <w:szCs w:val="20"/>
              </w:rPr>
            </w:pPr>
            <w:r w:rsidRPr="008D550F">
              <w:rPr>
                <w:sz w:val="20"/>
                <w:szCs w:val="20"/>
              </w:rPr>
              <w:t>CMA CGM, COSCO Shipping, Evergreen, and OOCL alliance maintaining stable operations</w:t>
            </w:r>
          </w:p>
        </w:tc>
      </w:tr>
      <w:tr w:rsidR="008D550F" w:rsidTr="008D550F">
        <w:tc>
          <w:tcPr>
            <w:tcW w:w="0" w:type="auto"/>
            <w:hideMark/>
          </w:tcPr>
          <w:p w:rsidR="008D550F" w:rsidRPr="008D550F" w:rsidRDefault="008D550F">
            <w:pPr>
              <w:rPr>
                <w:sz w:val="20"/>
                <w:szCs w:val="20"/>
              </w:rPr>
            </w:pPr>
            <w:r w:rsidRPr="008D550F">
              <w:rPr>
                <w:sz w:val="20"/>
                <w:szCs w:val="20"/>
              </w:rPr>
              <w:t>MSC Strategy</w:t>
            </w:r>
          </w:p>
        </w:tc>
        <w:tc>
          <w:tcPr>
            <w:tcW w:w="0" w:type="auto"/>
            <w:hideMark/>
          </w:tcPr>
          <w:p w:rsidR="008D550F" w:rsidRPr="008D550F" w:rsidRDefault="008D550F">
            <w:pPr>
              <w:rPr>
                <w:sz w:val="20"/>
                <w:szCs w:val="20"/>
              </w:rPr>
            </w:pPr>
            <w:r w:rsidRPr="008D550F">
              <w:rPr>
                <w:sz w:val="20"/>
                <w:szCs w:val="20"/>
              </w:rPr>
              <w:t>Independent operation with flexible network expansion and potential market share growth</w:t>
            </w:r>
          </w:p>
        </w:tc>
      </w:tr>
      <w:tr w:rsidR="008D550F" w:rsidTr="008D550F">
        <w:tc>
          <w:tcPr>
            <w:tcW w:w="0" w:type="auto"/>
            <w:hideMark/>
          </w:tcPr>
          <w:p w:rsidR="008D550F" w:rsidRPr="008D550F" w:rsidRDefault="008D550F">
            <w:pPr>
              <w:rPr>
                <w:sz w:val="20"/>
                <w:szCs w:val="20"/>
              </w:rPr>
            </w:pPr>
            <w:r w:rsidRPr="008D550F">
              <w:rPr>
                <w:sz w:val="20"/>
                <w:szCs w:val="20"/>
              </w:rPr>
              <w:t>Core Market Impact</w:t>
            </w:r>
          </w:p>
        </w:tc>
        <w:tc>
          <w:tcPr>
            <w:tcW w:w="0" w:type="auto"/>
            <w:hideMark/>
          </w:tcPr>
          <w:p w:rsidR="008D550F" w:rsidRPr="008D550F" w:rsidRDefault="008D550F">
            <w:pPr>
              <w:rPr>
                <w:sz w:val="20"/>
                <w:szCs w:val="20"/>
              </w:rPr>
            </w:pPr>
            <w:r w:rsidRPr="008D550F">
              <w:rPr>
                <w:sz w:val="20"/>
                <w:szCs w:val="20"/>
              </w:rPr>
              <w:t>Changes in route deployment, port calls, slot sharing, capacity allocation, and freight rate volatility</w:t>
            </w:r>
          </w:p>
        </w:tc>
      </w:tr>
      <w:tr w:rsidR="008D550F" w:rsidTr="008D550F">
        <w:tc>
          <w:tcPr>
            <w:tcW w:w="0" w:type="auto"/>
            <w:hideMark/>
          </w:tcPr>
          <w:p w:rsidR="008D550F" w:rsidRPr="008D550F" w:rsidRDefault="008D550F">
            <w:pPr>
              <w:rPr>
                <w:sz w:val="20"/>
                <w:szCs w:val="20"/>
              </w:rPr>
            </w:pPr>
            <w:r w:rsidRPr="008D550F">
              <w:rPr>
                <w:sz w:val="20"/>
                <w:szCs w:val="20"/>
              </w:rPr>
              <w:t>Impact on Shippers</w:t>
            </w:r>
          </w:p>
        </w:tc>
        <w:tc>
          <w:tcPr>
            <w:tcW w:w="0" w:type="auto"/>
            <w:hideMark/>
          </w:tcPr>
          <w:p w:rsidR="008D550F" w:rsidRPr="008D550F" w:rsidRDefault="008D550F">
            <w:pPr>
              <w:rPr>
                <w:sz w:val="20"/>
                <w:szCs w:val="20"/>
              </w:rPr>
            </w:pPr>
            <w:r w:rsidRPr="008D550F">
              <w:rPr>
                <w:sz w:val="20"/>
                <w:szCs w:val="20"/>
              </w:rPr>
              <w:t>Need to review carrier selection, contracts, schedules, alternative routes, and supply chain risks</w:t>
            </w:r>
          </w:p>
        </w:tc>
      </w:tr>
      <w:tr w:rsidR="008D550F" w:rsidTr="008D550F">
        <w:tc>
          <w:tcPr>
            <w:tcW w:w="0" w:type="auto"/>
            <w:hideMark/>
          </w:tcPr>
          <w:p w:rsidR="008D550F" w:rsidRPr="008D550F" w:rsidRDefault="008D550F">
            <w:pPr>
              <w:rPr>
                <w:sz w:val="20"/>
                <w:szCs w:val="20"/>
              </w:rPr>
            </w:pPr>
            <w:r w:rsidRPr="008D550F">
              <w:rPr>
                <w:sz w:val="20"/>
                <w:szCs w:val="20"/>
              </w:rPr>
              <w:t>Impact on Ports</w:t>
            </w:r>
          </w:p>
        </w:tc>
        <w:tc>
          <w:tcPr>
            <w:tcW w:w="0" w:type="auto"/>
            <w:hideMark/>
          </w:tcPr>
          <w:p w:rsidR="008D550F" w:rsidRPr="008D550F" w:rsidRDefault="008D550F">
            <w:pPr>
              <w:rPr>
                <w:sz w:val="20"/>
                <w:szCs w:val="20"/>
              </w:rPr>
            </w:pPr>
            <w:r w:rsidRPr="008D550F">
              <w:rPr>
                <w:sz w:val="20"/>
                <w:szCs w:val="20"/>
              </w:rPr>
              <w:t>Cargo volume shifts, hub port competition, terminal strategy changes, and infrastructure investment needs</w:t>
            </w:r>
          </w:p>
        </w:tc>
      </w:tr>
      <w:tr w:rsidR="008D550F" w:rsidTr="008D550F">
        <w:tc>
          <w:tcPr>
            <w:tcW w:w="0" w:type="auto"/>
            <w:hideMark/>
          </w:tcPr>
          <w:p w:rsidR="008D550F" w:rsidRPr="008D550F" w:rsidRDefault="008D550F">
            <w:pPr>
              <w:rPr>
                <w:sz w:val="20"/>
                <w:szCs w:val="20"/>
              </w:rPr>
            </w:pPr>
            <w:r w:rsidRPr="008D550F">
              <w:rPr>
                <w:sz w:val="20"/>
                <w:szCs w:val="20"/>
              </w:rPr>
              <w:t>Impact on Inland Logistics</w:t>
            </w:r>
          </w:p>
        </w:tc>
        <w:tc>
          <w:tcPr>
            <w:tcW w:w="0" w:type="auto"/>
            <w:hideMark/>
          </w:tcPr>
          <w:p w:rsidR="008D550F" w:rsidRPr="008D550F" w:rsidRDefault="008D550F">
            <w:pPr>
              <w:rPr>
                <w:sz w:val="20"/>
                <w:szCs w:val="20"/>
              </w:rPr>
            </w:pPr>
            <w:r w:rsidRPr="008D550F">
              <w:rPr>
                <w:sz w:val="20"/>
                <w:szCs w:val="20"/>
              </w:rPr>
              <w:t>Redesign of rail, trucking, warehousing, and intermodal networks around new port flows</w:t>
            </w:r>
          </w:p>
        </w:tc>
      </w:tr>
      <w:tr w:rsidR="008D550F" w:rsidTr="008D550F">
        <w:tc>
          <w:tcPr>
            <w:tcW w:w="0" w:type="auto"/>
            <w:hideMark/>
          </w:tcPr>
          <w:p w:rsidR="008D550F" w:rsidRPr="008D550F" w:rsidRDefault="008D550F">
            <w:pPr>
              <w:rPr>
                <w:sz w:val="20"/>
                <w:szCs w:val="20"/>
              </w:rPr>
            </w:pPr>
            <w:r w:rsidRPr="008D550F">
              <w:rPr>
                <w:sz w:val="20"/>
                <w:szCs w:val="20"/>
              </w:rPr>
              <w:t>Key Service Indicator</w:t>
            </w:r>
          </w:p>
        </w:tc>
        <w:tc>
          <w:tcPr>
            <w:tcW w:w="0" w:type="auto"/>
            <w:hideMark/>
          </w:tcPr>
          <w:p w:rsidR="008D550F" w:rsidRPr="008D550F" w:rsidRDefault="008D550F">
            <w:pPr>
              <w:rPr>
                <w:sz w:val="20"/>
                <w:szCs w:val="20"/>
              </w:rPr>
            </w:pPr>
            <w:r w:rsidRPr="008D550F">
              <w:rPr>
                <w:sz w:val="20"/>
                <w:szCs w:val="20"/>
              </w:rPr>
              <w:t>Schedule reliability and transportation predictability</w:t>
            </w:r>
          </w:p>
        </w:tc>
      </w:tr>
      <w:tr w:rsidR="008D550F" w:rsidTr="008D550F">
        <w:tc>
          <w:tcPr>
            <w:tcW w:w="0" w:type="auto"/>
            <w:hideMark/>
          </w:tcPr>
          <w:p w:rsidR="008D550F" w:rsidRPr="008D550F" w:rsidRDefault="008D550F">
            <w:pPr>
              <w:rPr>
                <w:sz w:val="20"/>
                <w:szCs w:val="20"/>
              </w:rPr>
            </w:pPr>
            <w:r w:rsidRPr="008D550F">
              <w:rPr>
                <w:sz w:val="20"/>
                <w:szCs w:val="20"/>
              </w:rPr>
              <w:t>Policy Risk</w:t>
            </w:r>
          </w:p>
        </w:tc>
        <w:tc>
          <w:tcPr>
            <w:tcW w:w="0" w:type="auto"/>
            <w:hideMark/>
          </w:tcPr>
          <w:p w:rsidR="008D550F" w:rsidRPr="008D550F" w:rsidRDefault="008D550F">
            <w:pPr>
              <w:rPr>
                <w:sz w:val="20"/>
                <w:szCs w:val="20"/>
              </w:rPr>
            </w:pPr>
            <w:r w:rsidRPr="008D550F">
              <w:rPr>
                <w:sz w:val="20"/>
                <w:szCs w:val="20"/>
              </w:rPr>
              <w:t>USTR port fee measures on Chinese-related vessels and broader U.S.-China trade uncertainty</w:t>
            </w:r>
          </w:p>
        </w:tc>
      </w:tr>
      <w:tr w:rsidR="008D550F" w:rsidTr="008D550F">
        <w:tc>
          <w:tcPr>
            <w:tcW w:w="0" w:type="auto"/>
            <w:hideMark/>
          </w:tcPr>
          <w:p w:rsidR="008D550F" w:rsidRPr="008D550F" w:rsidRDefault="008D550F">
            <w:pPr>
              <w:rPr>
                <w:sz w:val="20"/>
                <w:szCs w:val="20"/>
              </w:rPr>
            </w:pPr>
            <w:r w:rsidRPr="008D550F">
              <w:rPr>
                <w:sz w:val="20"/>
                <w:szCs w:val="20"/>
              </w:rPr>
              <w:t>Strategic Direction</w:t>
            </w:r>
          </w:p>
        </w:tc>
        <w:tc>
          <w:tcPr>
            <w:tcW w:w="0" w:type="auto"/>
            <w:hideMark/>
          </w:tcPr>
          <w:p w:rsidR="008D550F" w:rsidRPr="008D550F" w:rsidRDefault="008D550F">
            <w:pPr>
              <w:rPr>
                <w:sz w:val="20"/>
                <w:szCs w:val="20"/>
              </w:rPr>
            </w:pPr>
            <w:r w:rsidRPr="008D550F">
              <w:rPr>
                <w:sz w:val="20"/>
                <w:szCs w:val="20"/>
              </w:rPr>
              <w:t>Shift from price-based competition to value-based competition</w:t>
            </w:r>
          </w:p>
        </w:tc>
      </w:tr>
      <w:tr w:rsidR="008D550F" w:rsidTr="008D550F">
        <w:tc>
          <w:tcPr>
            <w:tcW w:w="0" w:type="auto"/>
            <w:hideMark/>
          </w:tcPr>
          <w:p w:rsidR="008D550F" w:rsidRPr="008D550F" w:rsidRDefault="008D550F">
            <w:pPr>
              <w:rPr>
                <w:sz w:val="20"/>
                <w:szCs w:val="20"/>
              </w:rPr>
            </w:pPr>
            <w:r w:rsidRPr="008D550F">
              <w:rPr>
                <w:sz w:val="20"/>
                <w:szCs w:val="20"/>
              </w:rPr>
              <w:t>Value-Based Competition</w:t>
            </w:r>
          </w:p>
        </w:tc>
        <w:tc>
          <w:tcPr>
            <w:tcW w:w="0" w:type="auto"/>
            <w:hideMark/>
          </w:tcPr>
          <w:p w:rsidR="008D550F" w:rsidRPr="008D550F" w:rsidRDefault="008D550F">
            <w:pPr>
              <w:rPr>
                <w:sz w:val="20"/>
                <w:szCs w:val="20"/>
              </w:rPr>
            </w:pPr>
            <w:r w:rsidRPr="008D550F">
              <w:rPr>
                <w:sz w:val="20"/>
                <w:szCs w:val="20"/>
              </w:rPr>
              <w:t>Reliability, integrated logistics, digital visibility, resilience, sustainability, and ESG response</w:t>
            </w:r>
          </w:p>
        </w:tc>
      </w:tr>
      <w:tr w:rsidR="008D550F" w:rsidTr="008D550F">
        <w:tc>
          <w:tcPr>
            <w:tcW w:w="0" w:type="auto"/>
            <w:hideMark/>
          </w:tcPr>
          <w:p w:rsidR="008D550F" w:rsidRPr="008D550F" w:rsidRDefault="008D550F">
            <w:pPr>
              <w:rPr>
                <w:sz w:val="20"/>
                <w:szCs w:val="20"/>
              </w:rPr>
            </w:pPr>
            <w:r w:rsidRPr="008D550F">
              <w:rPr>
                <w:sz w:val="20"/>
                <w:szCs w:val="20"/>
              </w:rPr>
              <w:t>Future Outlook</w:t>
            </w:r>
          </w:p>
        </w:tc>
        <w:tc>
          <w:tcPr>
            <w:tcW w:w="0" w:type="auto"/>
            <w:hideMark/>
          </w:tcPr>
          <w:p w:rsidR="008D550F" w:rsidRPr="008D550F" w:rsidRDefault="008D550F">
            <w:pPr>
              <w:rPr>
                <w:sz w:val="20"/>
                <w:szCs w:val="20"/>
              </w:rPr>
            </w:pPr>
            <w:r w:rsidRPr="008D550F">
              <w:rPr>
                <w:sz w:val="20"/>
                <w:szCs w:val="20"/>
              </w:rPr>
              <w:t>Shipping companies are evolving from transport providers into strategic supply chain partners</w:t>
            </w:r>
          </w:p>
        </w:tc>
      </w:tr>
    </w:tbl>
    <w:p w:rsidR="003D557F" w:rsidRPr="003D557F" w:rsidRDefault="003D557F" w:rsidP="008D550F"/>
    <w:sectPr w:rsidR="003D557F" w:rsidRPr="003D557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2AC9" w:rsidRDefault="00A92AC9" w:rsidP="00A92AC9">
      <w:pPr>
        <w:spacing w:after="0" w:line="240" w:lineRule="auto"/>
      </w:pPr>
      <w:r>
        <w:separator/>
      </w:r>
    </w:p>
  </w:endnote>
  <w:endnote w:type="continuationSeparator" w:id="0">
    <w:p w:rsidR="00A92AC9" w:rsidRDefault="00A92AC9" w:rsidP="00A92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2AC9" w:rsidRDefault="00A92AC9" w:rsidP="00A92AC9">
      <w:pPr>
        <w:spacing w:after="0" w:line="240" w:lineRule="auto"/>
      </w:pPr>
      <w:r>
        <w:separator/>
      </w:r>
    </w:p>
  </w:footnote>
  <w:footnote w:type="continuationSeparator" w:id="0">
    <w:p w:rsidR="00A92AC9" w:rsidRDefault="00A92AC9" w:rsidP="00A92AC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BDA"/>
    <w:rsid w:val="001E27C3"/>
    <w:rsid w:val="002D629C"/>
    <w:rsid w:val="002E6AF0"/>
    <w:rsid w:val="0033508B"/>
    <w:rsid w:val="003834FF"/>
    <w:rsid w:val="003D557F"/>
    <w:rsid w:val="003F5295"/>
    <w:rsid w:val="00412CB8"/>
    <w:rsid w:val="004F4BDA"/>
    <w:rsid w:val="005A2D69"/>
    <w:rsid w:val="00606423"/>
    <w:rsid w:val="00667A24"/>
    <w:rsid w:val="007B5515"/>
    <w:rsid w:val="008D550F"/>
    <w:rsid w:val="0099427E"/>
    <w:rsid w:val="00A92AC9"/>
    <w:rsid w:val="00B640B5"/>
    <w:rsid w:val="00BE7E09"/>
    <w:rsid w:val="00CC0D8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15:docId w15:val="{5F72E756-0042-4466-87E0-968983E69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F4BDA"/>
    <w:pPr>
      <w:ind w:leftChars="400" w:left="800"/>
    </w:pPr>
  </w:style>
  <w:style w:type="table" w:styleId="a4">
    <w:name w:val="Table Grid"/>
    <w:basedOn w:val="a1"/>
    <w:uiPriority w:val="59"/>
    <w:rsid w:val="00B640B5"/>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A92AC9"/>
    <w:pPr>
      <w:tabs>
        <w:tab w:val="center" w:pos="4513"/>
        <w:tab w:val="right" w:pos="9026"/>
      </w:tabs>
      <w:snapToGrid w:val="0"/>
    </w:pPr>
  </w:style>
  <w:style w:type="character" w:customStyle="1" w:styleId="Char">
    <w:name w:val="머리글 Char"/>
    <w:basedOn w:val="a0"/>
    <w:link w:val="a5"/>
    <w:uiPriority w:val="99"/>
    <w:rsid w:val="00A92AC9"/>
  </w:style>
  <w:style w:type="paragraph" w:styleId="a6">
    <w:name w:val="footer"/>
    <w:basedOn w:val="a"/>
    <w:link w:val="Char0"/>
    <w:uiPriority w:val="99"/>
    <w:unhideWhenUsed/>
    <w:rsid w:val="00A92AC9"/>
    <w:pPr>
      <w:tabs>
        <w:tab w:val="center" w:pos="4513"/>
        <w:tab w:val="right" w:pos="9026"/>
      </w:tabs>
      <w:snapToGrid w:val="0"/>
    </w:pPr>
  </w:style>
  <w:style w:type="character" w:customStyle="1" w:styleId="Char0">
    <w:name w:val="바닥글 Char"/>
    <w:basedOn w:val="a0"/>
    <w:link w:val="a6"/>
    <w:uiPriority w:val="99"/>
    <w:rsid w:val="00A92AC9"/>
  </w:style>
  <w:style w:type="character" w:styleId="a7">
    <w:name w:val="Strong"/>
    <w:basedOn w:val="a0"/>
    <w:uiPriority w:val="22"/>
    <w:qFormat/>
    <w:rsid w:val="003D55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57153">
      <w:bodyDiv w:val="1"/>
      <w:marLeft w:val="0"/>
      <w:marRight w:val="0"/>
      <w:marTop w:val="0"/>
      <w:marBottom w:val="0"/>
      <w:divBdr>
        <w:top w:val="none" w:sz="0" w:space="0" w:color="auto"/>
        <w:left w:val="none" w:sz="0" w:space="0" w:color="auto"/>
        <w:bottom w:val="none" w:sz="0" w:space="0" w:color="auto"/>
        <w:right w:val="none" w:sz="0" w:space="0" w:color="auto"/>
      </w:divBdr>
    </w:div>
    <w:div w:id="103622000">
      <w:bodyDiv w:val="1"/>
      <w:marLeft w:val="0"/>
      <w:marRight w:val="0"/>
      <w:marTop w:val="0"/>
      <w:marBottom w:val="0"/>
      <w:divBdr>
        <w:top w:val="none" w:sz="0" w:space="0" w:color="auto"/>
        <w:left w:val="none" w:sz="0" w:space="0" w:color="auto"/>
        <w:bottom w:val="none" w:sz="0" w:space="0" w:color="auto"/>
        <w:right w:val="none" w:sz="0" w:space="0" w:color="auto"/>
      </w:divBdr>
    </w:div>
    <w:div w:id="435713313">
      <w:bodyDiv w:val="1"/>
      <w:marLeft w:val="0"/>
      <w:marRight w:val="0"/>
      <w:marTop w:val="0"/>
      <w:marBottom w:val="0"/>
      <w:divBdr>
        <w:top w:val="none" w:sz="0" w:space="0" w:color="auto"/>
        <w:left w:val="none" w:sz="0" w:space="0" w:color="auto"/>
        <w:bottom w:val="none" w:sz="0" w:space="0" w:color="auto"/>
        <w:right w:val="none" w:sz="0" w:space="0" w:color="auto"/>
      </w:divBdr>
    </w:div>
    <w:div w:id="519778229">
      <w:bodyDiv w:val="1"/>
      <w:marLeft w:val="0"/>
      <w:marRight w:val="0"/>
      <w:marTop w:val="0"/>
      <w:marBottom w:val="0"/>
      <w:divBdr>
        <w:top w:val="none" w:sz="0" w:space="0" w:color="auto"/>
        <w:left w:val="none" w:sz="0" w:space="0" w:color="auto"/>
        <w:bottom w:val="none" w:sz="0" w:space="0" w:color="auto"/>
        <w:right w:val="none" w:sz="0" w:space="0" w:color="auto"/>
      </w:divBdr>
    </w:div>
    <w:div w:id="744229876">
      <w:bodyDiv w:val="1"/>
      <w:marLeft w:val="0"/>
      <w:marRight w:val="0"/>
      <w:marTop w:val="0"/>
      <w:marBottom w:val="0"/>
      <w:divBdr>
        <w:top w:val="none" w:sz="0" w:space="0" w:color="auto"/>
        <w:left w:val="none" w:sz="0" w:space="0" w:color="auto"/>
        <w:bottom w:val="none" w:sz="0" w:space="0" w:color="auto"/>
        <w:right w:val="none" w:sz="0" w:space="0" w:color="auto"/>
      </w:divBdr>
    </w:div>
    <w:div w:id="844593168">
      <w:bodyDiv w:val="1"/>
      <w:marLeft w:val="0"/>
      <w:marRight w:val="0"/>
      <w:marTop w:val="0"/>
      <w:marBottom w:val="0"/>
      <w:divBdr>
        <w:top w:val="none" w:sz="0" w:space="0" w:color="auto"/>
        <w:left w:val="none" w:sz="0" w:space="0" w:color="auto"/>
        <w:bottom w:val="none" w:sz="0" w:space="0" w:color="auto"/>
        <w:right w:val="none" w:sz="0" w:space="0" w:color="auto"/>
      </w:divBdr>
    </w:div>
    <w:div w:id="1052538077">
      <w:bodyDiv w:val="1"/>
      <w:marLeft w:val="0"/>
      <w:marRight w:val="0"/>
      <w:marTop w:val="0"/>
      <w:marBottom w:val="0"/>
      <w:divBdr>
        <w:top w:val="none" w:sz="0" w:space="0" w:color="auto"/>
        <w:left w:val="none" w:sz="0" w:space="0" w:color="auto"/>
        <w:bottom w:val="none" w:sz="0" w:space="0" w:color="auto"/>
        <w:right w:val="none" w:sz="0" w:space="0" w:color="auto"/>
      </w:divBdr>
    </w:div>
    <w:div w:id="1113399328">
      <w:bodyDiv w:val="1"/>
      <w:marLeft w:val="0"/>
      <w:marRight w:val="0"/>
      <w:marTop w:val="0"/>
      <w:marBottom w:val="0"/>
      <w:divBdr>
        <w:top w:val="none" w:sz="0" w:space="0" w:color="auto"/>
        <w:left w:val="none" w:sz="0" w:space="0" w:color="auto"/>
        <w:bottom w:val="none" w:sz="0" w:space="0" w:color="auto"/>
        <w:right w:val="none" w:sz="0" w:space="0" w:color="auto"/>
      </w:divBdr>
    </w:div>
    <w:div w:id="1137844569">
      <w:bodyDiv w:val="1"/>
      <w:marLeft w:val="0"/>
      <w:marRight w:val="0"/>
      <w:marTop w:val="0"/>
      <w:marBottom w:val="0"/>
      <w:divBdr>
        <w:top w:val="none" w:sz="0" w:space="0" w:color="auto"/>
        <w:left w:val="none" w:sz="0" w:space="0" w:color="auto"/>
        <w:bottom w:val="none" w:sz="0" w:space="0" w:color="auto"/>
        <w:right w:val="none" w:sz="0" w:space="0" w:color="auto"/>
      </w:divBdr>
    </w:div>
    <w:div w:id="1262840998">
      <w:bodyDiv w:val="1"/>
      <w:marLeft w:val="0"/>
      <w:marRight w:val="0"/>
      <w:marTop w:val="0"/>
      <w:marBottom w:val="0"/>
      <w:divBdr>
        <w:top w:val="none" w:sz="0" w:space="0" w:color="auto"/>
        <w:left w:val="none" w:sz="0" w:space="0" w:color="auto"/>
        <w:bottom w:val="none" w:sz="0" w:space="0" w:color="auto"/>
        <w:right w:val="none" w:sz="0" w:space="0" w:color="auto"/>
      </w:divBdr>
    </w:div>
    <w:div w:id="1276667666">
      <w:bodyDiv w:val="1"/>
      <w:marLeft w:val="0"/>
      <w:marRight w:val="0"/>
      <w:marTop w:val="0"/>
      <w:marBottom w:val="0"/>
      <w:divBdr>
        <w:top w:val="none" w:sz="0" w:space="0" w:color="auto"/>
        <w:left w:val="none" w:sz="0" w:space="0" w:color="auto"/>
        <w:bottom w:val="none" w:sz="0" w:space="0" w:color="auto"/>
        <w:right w:val="none" w:sz="0" w:space="0" w:color="auto"/>
      </w:divBdr>
    </w:div>
    <w:div w:id="1319723544">
      <w:bodyDiv w:val="1"/>
      <w:marLeft w:val="0"/>
      <w:marRight w:val="0"/>
      <w:marTop w:val="0"/>
      <w:marBottom w:val="0"/>
      <w:divBdr>
        <w:top w:val="none" w:sz="0" w:space="0" w:color="auto"/>
        <w:left w:val="none" w:sz="0" w:space="0" w:color="auto"/>
        <w:bottom w:val="none" w:sz="0" w:space="0" w:color="auto"/>
        <w:right w:val="none" w:sz="0" w:space="0" w:color="auto"/>
      </w:divBdr>
    </w:div>
    <w:div w:id="1413576498">
      <w:bodyDiv w:val="1"/>
      <w:marLeft w:val="0"/>
      <w:marRight w:val="0"/>
      <w:marTop w:val="0"/>
      <w:marBottom w:val="0"/>
      <w:divBdr>
        <w:top w:val="none" w:sz="0" w:space="0" w:color="auto"/>
        <w:left w:val="none" w:sz="0" w:space="0" w:color="auto"/>
        <w:bottom w:val="none" w:sz="0" w:space="0" w:color="auto"/>
        <w:right w:val="none" w:sz="0" w:space="0" w:color="auto"/>
      </w:divBdr>
    </w:div>
    <w:div w:id="1609387933">
      <w:bodyDiv w:val="1"/>
      <w:marLeft w:val="0"/>
      <w:marRight w:val="0"/>
      <w:marTop w:val="0"/>
      <w:marBottom w:val="0"/>
      <w:divBdr>
        <w:top w:val="none" w:sz="0" w:space="0" w:color="auto"/>
        <w:left w:val="none" w:sz="0" w:space="0" w:color="auto"/>
        <w:bottom w:val="none" w:sz="0" w:space="0" w:color="auto"/>
        <w:right w:val="none" w:sz="0" w:space="0" w:color="auto"/>
      </w:divBdr>
    </w:div>
    <w:div w:id="1709184618">
      <w:bodyDiv w:val="1"/>
      <w:marLeft w:val="0"/>
      <w:marRight w:val="0"/>
      <w:marTop w:val="0"/>
      <w:marBottom w:val="0"/>
      <w:divBdr>
        <w:top w:val="none" w:sz="0" w:space="0" w:color="auto"/>
        <w:left w:val="none" w:sz="0" w:space="0" w:color="auto"/>
        <w:bottom w:val="none" w:sz="0" w:space="0" w:color="auto"/>
        <w:right w:val="none" w:sz="0" w:space="0" w:color="auto"/>
      </w:divBdr>
    </w:div>
    <w:div w:id="1845245214">
      <w:bodyDiv w:val="1"/>
      <w:marLeft w:val="0"/>
      <w:marRight w:val="0"/>
      <w:marTop w:val="0"/>
      <w:marBottom w:val="0"/>
      <w:divBdr>
        <w:top w:val="none" w:sz="0" w:space="0" w:color="auto"/>
        <w:left w:val="none" w:sz="0" w:space="0" w:color="auto"/>
        <w:bottom w:val="none" w:sz="0" w:space="0" w:color="auto"/>
        <w:right w:val="none" w:sz="0" w:space="0" w:color="auto"/>
      </w:divBdr>
    </w:div>
    <w:div w:id="1897082778">
      <w:bodyDiv w:val="1"/>
      <w:marLeft w:val="0"/>
      <w:marRight w:val="0"/>
      <w:marTop w:val="0"/>
      <w:marBottom w:val="0"/>
      <w:divBdr>
        <w:top w:val="none" w:sz="0" w:space="0" w:color="auto"/>
        <w:left w:val="none" w:sz="0" w:space="0" w:color="auto"/>
        <w:bottom w:val="none" w:sz="0" w:space="0" w:color="auto"/>
        <w:right w:val="none" w:sz="0" w:space="0" w:color="auto"/>
      </w:divBdr>
    </w:div>
    <w:div w:id="1906452159">
      <w:bodyDiv w:val="1"/>
      <w:marLeft w:val="0"/>
      <w:marRight w:val="0"/>
      <w:marTop w:val="0"/>
      <w:marBottom w:val="0"/>
      <w:divBdr>
        <w:top w:val="none" w:sz="0" w:space="0" w:color="auto"/>
        <w:left w:val="none" w:sz="0" w:space="0" w:color="auto"/>
        <w:bottom w:val="none" w:sz="0" w:space="0" w:color="auto"/>
        <w:right w:val="none" w:sz="0" w:space="0" w:color="auto"/>
      </w:divBdr>
    </w:div>
    <w:div w:id="2081978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5</Pages>
  <Words>1535</Words>
  <Characters>8751</Characters>
  <Application>Microsoft Office Word</Application>
  <DocSecurity>0</DocSecurity>
  <Lines>72</Lines>
  <Paragraphs>20</Paragraphs>
  <ScaleCrop>false</ScaleCrop>
  <Company/>
  <LinksUpToDate>false</LinksUpToDate>
  <CharactersWithSpaces>10266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조지은/채널IT파트(화재IT)</dc:creator>
  <cp:keywords/>
  <dc:description/>
  <cp:lastModifiedBy>SDS</cp:lastModifiedBy>
  <cp:revision>19</cp:revision>
  <dcterms:created xsi:type="dcterms:W3CDTF">2026-04-09T04:29:00Z</dcterms:created>
  <dcterms:modified xsi:type="dcterms:W3CDTF">2026-05-22T07:27:00Z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7F41AB80F3FDFE97EFC47F85C824105A7EE050590DD0F85F743C69529996BAEDD87F4930AC769BD6C3B8BD533FF5B4D60FBC70EF63C382B6A72AA9D3027CA82A</vt:lpwstr>
  </property>
</Properties>
</file>