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2D29D9E2" w:rsidR="00D97E11" w:rsidRPr="007D1319" w:rsidRDefault="00621966" w:rsidP="00496A69">
      <w:pPr>
        <w:jc w:val="left"/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</w:pPr>
      <w:r w:rsidRPr="007D1319"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  <w:t xml:space="preserve">2026 물류 현황 보고서: </w:t>
      </w:r>
      <w:proofErr w:type="spellStart"/>
      <w:r w:rsidR="00480F5A" w:rsidRPr="007D1319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뉴노멀이</w:t>
      </w:r>
      <w:proofErr w:type="spellEnd"/>
      <w:r w:rsidRPr="007D1319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 xml:space="preserve"> </w:t>
      </w:r>
      <w:r w:rsidR="00480F5A" w:rsidRPr="007D1319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 xml:space="preserve">된 </w:t>
      </w:r>
      <w:r w:rsidRPr="007D1319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변동성</w:t>
      </w:r>
    </w:p>
    <w:p w14:paraId="6C889110" w14:textId="77777777" w:rsidR="00651C57" w:rsidRPr="007D1319" w:rsidRDefault="00651C57" w:rsidP="00651C57">
      <w:pPr>
        <w:jc w:val="left"/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</w:pPr>
    </w:p>
    <w:p w14:paraId="4CC8516F" w14:textId="63A6FE5D" w:rsidR="004B1EA2" w:rsidRPr="007D1319" w:rsidRDefault="005019C1" w:rsidP="00651C57">
      <w:pPr>
        <w:jc w:val="left"/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</w:pPr>
      <w:r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>Thomas Wasson</w:t>
      </w:r>
      <w:r w:rsidR="00651C57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 xml:space="preserve">, </w:t>
      </w:r>
      <w:r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>Tuesday, June 16, 2026</w:t>
      </w:r>
    </w:p>
    <w:p w14:paraId="465E0E7A" w14:textId="4677190E" w:rsidR="00A807B5" w:rsidRPr="007D1319" w:rsidRDefault="004C2756" w:rsidP="004B1EA2">
      <w:pPr>
        <w:jc w:val="left"/>
        <w:rPr>
          <w:rStyle w:val="a3"/>
          <w:rFonts w:ascii="Noto Sans KR" w:eastAsia="Noto Sans KR" w:hAnsi="Noto Sans KR"/>
          <w:color w:val="000000" w:themeColor="text1"/>
          <w:kern w:val="0"/>
          <w:sz w:val="21"/>
          <w:szCs w:val="21"/>
        </w:rPr>
      </w:pPr>
      <w:r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 xml:space="preserve">Original </w:t>
      </w:r>
      <w:r w:rsidR="0033301F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>Article</w:t>
      </w:r>
      <w:r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 xml:space="preserve">: </w:t>
      </w:r>
      <w:hyperlink r:id="rId8" w:history="1">
        <w:r w:rsidR="005019C1" w:rsidRPr="007D1319">
          <w:rPr>
            <w:rStyle w:val="a3"/>
            <w:rFonts w:ascii="Noto Sans KR" w:eastAsia="Noto Sans KR" w:hAnsi="Noto Sans KR"/>
            <w:color w:val="000000" w:themeColor="text1"/>
            <w:kern w:val="0"/>
            <w:sz w:val="21"/>
            <w:szCs w:val="21"/>
          </w:rPr>
          <w:t>https://www.freightwaves.com</w:t>
        </w:r>
        <w:r w:rsidR="005019C1" w:rsidRPr="007D1319">
          <w:rPr>
            <w:rStyle w:val="a3"/>
            <w:rFonts w:ascii="Noto Sans KR" w:eastAsia="Noto Sans KR" w:hAnsi="Noto Sans KR"/>
            <w:color w:val="000000" w:themeColor="text1"/>
            <w:kern w:val="0"/>
            <w:sz w:val="21"/>
            <w:szCs w:val="21"/>
          </w:rPr>
          <w:t>/</w:t>
        </w:r>
        <w:r w:rsidR="005019C1" w:rsidRPr="007D1319">
          <w:rPr>
            <w:rStyle w:val="a3"/>
            <w:rFonts w:ascii="Noto Sans KR" w:eastAsia="Noto Sans KR" w:hAnsi="Noto Sans KR"/>
            <w:color w:val="000000" w:themeColor="text1"/>
            <w:kern w:val="0"/>
            <w:sz w:val="21"/>
            <w:szCs w:val="21"/>
          </w:rPr>
          <w:t>news/2026-state-of-logistics-report-volatility-new-normal</w:t>
        </w:r>
      </w:hyperlink>
      <w:r w:rsidR="00496A69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fldChar w:fldCharType="begin"/>
      </w:r>
      <w:r w:rsidR="00496A69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</w:r>
      <w:r w:rsidR="00496A69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fldChar w:fldCharType="separate"/>
      </w:r>
    </w:p>
    <w:p w14:paraId="102467D4" w14:textId="2434B221" w:rsidR="00D904C6" w:rsidRPr="007D1319" w:rsidRDefault="00496A69" w:rsidP="00D1046C">
      <w:pPr>
        <w:jc w:val="left"/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</w:pPr>
      <w:r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fldChar w:fldCharType="end"/>
      </w:r>
      <w:r w:rsidR="00D904C6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 xml:space="preserve">Articles Reproduced by Permission of </w:t>
      </w:r>
      <w:proofErr w:type="spellStart"/>
      <w:r w:rsidR="00D904C6" w:rsidRPr="007D1319">
        <w:rPr>
          <w:rFonts w:ascii="Noto Sans KR" w:eastAsia="Noto Sans KR" w:hAnsi="Noto Sans KR"/>
          <w:color w:val="000000" w:themeColor="text1"/>
          <w:kern w:val="0"/>
          <w:sz w:val="21"/>
          <w:szCs w:val="21"/>
        </w:rPr>
        <w:t>FreightWaves</w:t>
      </w:r>
      <w:proofErr w:type="spellEnd"/>
    </w:p>
    <w:p w14:paraId="2C82428E" w14:textId="643BD51D" w:rsidR="00821E70" w:rsidRPr="007D1319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  <w:color w:val="000000" w:themeColor="text1"/>
        </w:rPr>
      </w:pPr>
    </w:p>
    <w:p w14:paraId="1BD6692C" w14:textId="586B1FA8" w:rsidR="00F73A41" w:rsidRPr="007D1319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color w:val="000000" w:themeColor="text1"/>
        </w:rPr>
      </w:pPr>
      <w:r w:rsidRPr="007D1319">
        <w:rPr>
          <w:rFonts w:ascii="Noto Sans KR" w:eastAsia="Noto Sans KR" w:hAnsi="Noto Sans KR"/>
          <w:noProof/>
          <w:color w:val="000000" w:themeColor="text1"/>
        </w:rPr>
        <w:drawing>
          <wp:inline distT="0" distB="0" distL="0" distR="0" wp14:anchorId="0CF82DC9" wp14:editId="0E5FA012">
            <wp:extent cx="5349110" cy="3008788"/>
            <wp:effectExtent l="0" t="0" r="4445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110" cy="300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5A9F0675" w:rsidR="00B82BDB" w:rsidRPr="007D1319" w:rsidRDefault="005019C1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</w:pPr>
      <w:bookmarkStart w:id="0" w:name="_Hlk228197516"/>
      <w:r w:rsidRPr="007D1319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(</w:t>
      </w:r>
      <w:r w:rsidR="00621966" w:rsidRPr="007D1319">
        <w:rPr>
          <w:rFonts w:ascii="Noto Sans KR" w:eastAsia="Noto Sans KR" w:hAnsi="Noto Sans KR" w:cstheme="minorBidi" w:hint="eastAsia"/>
          <w:color w:val="000000" w:themeColor="text1"/>
          <w:kern w:val="2"/>
          <w:sz w:val="18"/>
          <w:szCs w:val="18"/>
        </w:rPr>
        <w:t>사진</w:t>
      </w:r>
      <w:r w:rsidRPr="007D1319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: Jim Allen/</w:t>
      </w:r>
      <w:proofErr w:type="spellStart"/>
      <w:r w:rsidRPr="007D1319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FreightWaves</w:t>
      </w:r>
      <w:proofErr w:type="spellEnd"/>
      <w:r w:rsidRPr="007D1319">
        <w:rPr>
          <w:rFonts w:ascii="Noto Sans KR" w:eastAsia="Noto Sans KR" w:hAnsi="Noto Sans KR" w:cstheme="minorBidi"/>
          <w:color w:val="000000" w:themeColor="text1"/>
          <w:kern w:val="2"/>
          <w:sz w:val="18"/>
          <w:szCs w:val="18"/>
        </w:rPr>
        <w:t>)</w:t>
      </w:r>
    </w:p>
    <w:bookmarkEnd w:id="0"/>
    <w:p w14:paraId="3E01A050" w14:textId="77777777" w:rsidR="00651C57" w:rsidRPr="007D1319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A2FE60B" w14:textId="77777777" w:rsidR="006846AE" w:rsidRPr="007D1319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960A89B" w14:textId="3F4A3ED6" w:rsidR="006846AE" w:rsidRPr="007D1319" w:rsidRDefault="008A04DF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proofErr w:type="spellStart"/>
      <w:r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커니</w:t>
      </w:r>
      <w:proofErr w:type="spellEnd"/>
      <w:r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(</w:t>
      </w:r>
      <w:r w:rsidR="00621966"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Kearney</w:t>
      </w:r>
      <w:r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)</w:t>
      </w:r>
      <w:r w:rsidR="00621966"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와 </w:t>
      </w:r>
      <w:proofErr w:type="spellStart"/>
      <w:r w:rsidR="003A510A"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펜스케</w:t>
      </w:r>
      <w:proofErr w:type="spellEnd"/>
      <w:r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(</w:t>
      </w:r>
      <w:r w:rsidR="00621966"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Penske</w:t>
      </w:r>
      <w:r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)</w:t>
      </w:r>
      <w:r w:rsidR="00480F5A"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 xml:space="preserve">의 </w:t>
      </w:r>
      <w:r w:rsidR="00621966"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CSCMP </w:t>
      </w:r>
      <w:r w:rsidR="00480F5A"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보고서</w:t>
      </w:r>
      <w:r w:rsidR="00480F5A"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:</w:t>
      </w:r>
      <w:r w:rsidR="00621966"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회복탄력성을 요구하는 다섯 가지 구조적 요인, AI 발전, 그리고 산업별 </w:t>
      </w:r>
      <w:r w:rsidR="00480F5A"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재편</w:t>
      </w:r>
    </w:p>
    <w:p w14:paraId="06F2033C" w14:textId="77777777" w:rsidR="00185F76" w:rsidRPr="007D1319" w:rsidRDefault="00185F76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453A4CC" w14:textId="452E56DF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화요일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발표된 2026 물류 현황 보고서(State of Logistics Report)에 따르면, 공급망 변동성은 일시적인 혼란을 넘어 운영 환경의 영구적인 특징으로 자리 잡았다. 지난해 미국 기업 물류비는 총 2조 4,000억 달러로, 국내총생산(GDP)의 7.8%를 차지했다. 이는 2025년의 2조 6,000억 달러, GDP 대비 8.7%에서 감소한 수치다.</w:t>
      </w:r>
    </w:p>
    <w:p w14:paraId="27E618AD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53726996" w14:textId="4CFC65C2" w:rsidR="005019C1" w:rsidRPr="007D1319" w:rsidRDefault="008A04DF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proofErr w:type="spellStart"/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커니</w:t>
      </w:r>
      <w:proofErr w:type="spellEnd"/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(</w:t>
      </w:r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Kearney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)</w:t>
      </w:r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가 작성하고 </w:t>
      </w:r>
      <w:proofErr w:type="spellStart"/>
      <w:r w:rsidR="003A510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펜스케</w:t>
      </w:r>
      <w:proofErr w:type="spellEnd"/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proofErr w:type="spellStart"/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로지스틱스</w:t>
      </w:r>
      <w:proofErr w:type="spellEnd"/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(</w:t>
      </w:r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Penske Logistics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)</w:t>
      </w:r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가 미국 </w:t>
      </w:r>
      <w:proofErr w:type="spellStart"/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공급망관리전문가협회</w:t>
      </w:r>
      <w:proofErr w:type="spellEnd"/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(CSCMP)를 위해 </w:t>
      </w: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발간한</w:t>
      </w:r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보고서는 거시 환경을 계속해서 재편하고 있는 다섯 가지 구조적 요인을 제시한다. 여기에는 </w:t>
      </w:r>
      <w:proofErr w:type="spellStart"/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비대칭적인</w:t>
      </w:r>
      <w:proofErr w:type="spellEnd"/>
      <w:r w:rsidR="0062196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글로벌 성장, 금융 여건의 긴축, 지경학적 재편, 노동 및 생산성 제약, 에너지 가격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변동성</w:t>
      </w: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을 포함한다.</w:t>
      </w:r>
    </w:p>
    <w:p w14:paraId="67497642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84AA8DB" w14:textId="6FDB68CA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지역별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성장세는 여전히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불균형하다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미국, 인도, 동남아시아는 유럽과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걸프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지역 </w:t>
      </w:r>
      <w:r w:rsidR="00524ED3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경제</w:t>
      </w:r>
      <w:r w:rsidR="00524ED3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를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앞서고 있다.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호르무즈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해협에서의 혼란과 빈번한 관세 변화는 무역 항로에 지속적인 압박을 더하고 있다.</w:t>
      </w:r>
    </w:p>
    <w:p w14:paraId="333C9C19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07F11F7" w14:textId="0C6E00BD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운송사와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화주에게 이번 보고서의 내용은 또 한 번의 어려운 한 해를 의미하는 데 그치지 않는다. 수요 회복과 네트워크 규모처럼 기존에 성과를 좌우하던 </w:t>
      </w:r>
      <w:r w:rsidR="00524ED3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요인</w:t>
      </w:r>
      <w:r w:rsidR="00524ED3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들에 기대하기가 점점 어려워지고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있다. 이제 성공은 운영 전반에 회복탄력성을 얼마나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구축하느냐에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더 크게 달려 있다. 여기에는 가격 규율을 유지하고, 디지털 도구와 자동화에 대한 투자를 가속화하는 것이 </w:t>
      </w:r>
      <w:r w:rsidR="00524ED3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포함</w:t>
      </w:r>
      <w:r w:rsidR="00524ED3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되며,</w:t>
      </w:r>
      <w:r w:rsidR="00524ED3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목표는 변동성이 큰 환경에서도 측정 가능한 수익을 창출하는 것이다.</w:t>
      </w:r>
    </w:p>
    <w:p w14:paraId="4165AA88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44BFD2B" w14:textId="4AC7D17C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인공지능은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일부 목표 영역에서 평가 단계를 넘어 상업적 활용 단계로 진입했다. 보고서는 AI가 네트워크 신호를 해석하고, 혼란을 예측하며, 대응 방안을 제안하고, 업무 흐름을 실행하는 데 활용되고 있다고 설명한다. 창고와 운송 부문의 물리적 자동화 역시 초기 상업적 성과를 보여주고 있다. 다만 도입 수준은 </w:t>
      </w:r>
      <w:proofErr w:type="spellStart"/>
      <w:r w:rsidR="00524ED3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불균형하며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AI를 핵심 운영에 내재화한 기업과 개별 솔루션 수준에 머물러 있는 기업 간 격차는 더욱 벌어지고 있다.</w:t>
      </w:r>
    </w:p>
    <w:p w14:paraId="223C4BB1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E307C85" w14:textId="486A451A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r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거시</w:t>
      </w:r>
      <w:r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전망을 규정하는 다섯 가지 구조적 요인</w:t>
      </w:r>
    </w:p>
    <w:p w14:paraId="2525F580" w14:textId="0D8B081E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보고서는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해결될 기미가 보이지 않는 다섯 가지 지속적인 구조적 요인을 제시한다. 이는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비대칭적인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글로벌 성장, 지속적인 인플레이션과 공공부채 증가로 인한 금융 여건의 긴축, 무역 흐름과 지경학적 재편의 가속화, 노동시장 및 생산성 제약, 그리고 에너지 가격 변동성이다.</w:t>
      </w:r>
    </w:p>
    <w:p w14:paraId="3C47FAA7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1C08291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보고서는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전 세계 지역별 성장의 차이를 지적한다. 미국은 2026년 2.2~2.4% 성장이 예상되는 반면, 인도와 동남아시아가 성장을 주도하고 있다. 유럽은 약 1% 수준으로 뒤처져 있다. GCC 경제권은 중동 분쟁이 에너지 흐름을 방해하면서 1.2% 위축되어 마이너스 성장으로 돌아섰다.</w:t>
      </w:r>
    </w:p>
    <w:p w14:paraId="415DD136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B28FA90" w14:textId="472FEAF8" w:rsidR="005019C1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proofErr w:type="spellStart"/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호르무즈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해협은 하루 2,000만 배럴의 원유와 전 세계 액화천연가스(LNG) 교역의 20%가 통과하는 핵심 병목 지점으로 부상했다. 관세 정책 역시 주요 변수였다. 2025년에는 평균 1.5주마다 관세 정책이 변경되었고, 보고서는 이것이 네트워크 재편 의사결정에 ‘마비 효과’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를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일으켰다고 설명한다.</w:t>
      </w:r>
    </w:p>
    <w:p w14:paraId="3E210B67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14BF44E3" w14:textId="355142D1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r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>AI, 시험 단계를 넘어 측정 가능한 수익 단계로 이동</w:t>
      </w:r>
    </w:p>
    <w:p w14:paraId="7AB820FC" w14:textId="73830C44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인공지능은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시험 단계를 넘어 물류 분야에서 진정한 전환점에 도달했다. 더 이상 실험적 기술에 머물지 </w:t>
      </w:r>
      <w:r w:rsidR="00457006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않</w:t>
      </w:r>
      <w:r w:rsidR="00457006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는 대신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이제 AI는 구체적이고 명확하게 정의된 적용 분야에서 측정 가능한 상업적 수익을 만들어내고 있다.</w:t>
      </w:r>
    </w:p>
    <w:p w14:paraId="04D65332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D424B27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보고서는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AI의 가치 창출을 네 가지 역량으로 설명한다. 해석, 예측, 추천, 실행이다. 이 중 해석과 예측은 가장 성숙한 영역으로, 가시성 플랫폼과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텔레매틱스에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대한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수년간의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투자를 기반으로 한다. 창고 로봇과 자율주행 차량을 포함하는 물리적 AI는 업계에서 가장 눈에 띄는 상업적 이정표를 만들어내고 있다.</w:t>
      </w:r>
    </w:p>
    <w:p w14:paraId="6349F487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3EC8108" w14:textId="2736C552" w:rsidR="005019C1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다만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도입 수준은 여전히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불균형하다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. 핵심 업무 흐름에 AI를 내재화한 조직과, 여전히 개별 포인트 솔루션에 제한된 조직 간 격차는 확대되고 있다.</w:t>
      </w:r>
    </w:p>
    <w:p w14:paraId="131EDB83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1D7EEA2" w14:textId="6E0F529B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r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화물</w:t>
      </w:r>
      <w:r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운송 부문의 양극화 심화</w:t>
      </w:r>
    </w:p>
    <w:p w14:paraId="14F9B82E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항공화물은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2025년 글로벌 수요가 3.4% 증가하며 역대 최대 화물 물동량을 기록했다. 그러나 실제 양상은 노선별 결과에서 더 뚜렷하게 나타났다. 화주들이 혼란을 우회하기 위해 경로를 변경하면서 아시아-유럽 노선은 10.3% 급증한 반면, 아시아-북미 노선은 0.8% 감소했다. 2026년 초에는 성장세가 가속화되었지만, 연료비 상승, 지속가능항공연료 요건, 지정학적 경로 제약이 변동성을 더하고 있다. 시장은 단순 운임보다 속도와 신뢰성이 더 중요한 고부</w:t>
      </w: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가가치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화물 중심으로 이동하고 있다.</w:t>
      </w:r>
    </w:p>
    <w:p w14:paraId="4B1B6D90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0E632C1" w14:textId="5885E3EE" w:rsidR="001513F4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미국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소포 및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라스트마일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부문은 팬데믹 이후 정상화가 아니라 구조적 재편을 겪고 있다. 중국발 소포에 대한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소액면세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(de minimis) 적용이 폐지되면서 일일 물동량은 약 85% 감소했고, 물량은 국내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풀필먼트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쪽으로 이동했다.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운송사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비용</w:t>
      </w:r>
      <w:r w:rsidR="001513F4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은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약 5.9%의 일반 요금 인상과 연료 및 부대 </w:t>
      </w:r>
      <w:r w:rsidR="001513F4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할증료</w:t>
      </w:r>
      <w:r w:rsidR="001513F4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로 인해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재조정되었다. 수요는 1조 2,300억 달러가 넘는 미국 전자상거래 시장에 의해</w:t>
      </w:r>
      <w:r w:rsidR="001513F4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1513F4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유지되고 있지만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시장은 양극화되고 있다. 한쪽에는 초저가 지</w:t>
      </w: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역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배송이, 다른 한쪽에는 프리미엄 속도 서비스가 자리 잡고 있다. </w:t>
      </w:r>
      <w:r w:rsidR="001513F4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플랫폼 통제 라우팅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으로 인해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주도권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="001513F4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네트워크 보유에서 </w:t>
      </w:r>
      <w:proofErr w:type="spellStart"/>
      <w:r w:rsidR="001513F4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인텔리전스와</w:t>
      </w:r>
      <w:proofErr w:type="spellEnd"/>
      <w:r w:rsidR="001513F4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통합 역량으로 이동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하고 있다.</w:t>
      </w:r>
    </w:p>
    <w:p w14:paraId="20629864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17CF598" w14:textId="382A737B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제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3자 물류(3PL) 부문은 전략적 변곡점에 놓여 있다. 화주들은 규제 복잡성, 관세 변동성, 국경 간 변화 속에서 단순 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 수행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에서 </w:t>
      </w:r>
      <w:r w:rsidR="00E2716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전 물류 과정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의 통합 관리 체계로</w:t>
      </w:r>
      <w:r w:rsidR="00E2716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이동하고 있다. 선도 기업들은 규모와 거점 밀도를 확대하며 이에 대응하고 있다. 또한 실시간 가시성을 내재화하고, </w:t>
      </w:r>
      <w:r w:rsidR="00E2716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인력을 증원하지 않는 방식으로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비용을 관리하기 위해 AI를 도입하고 있다. </w:t>
      </w:r>
      <w:r w:rsidR="00E2716D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승</w:t>
      </w:r>
      <w:r w:rsidR="00E2716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자 기업들은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통합형 4PL에 </w:t>
      </w:r>
      <w:r w:rsidR="00E2716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유사한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솔루션으로 진화하고 있다.</w:t>
      </w:r>
    </w:p>
    <w:p w14:paraId="31E683B7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357BF7F" w14:textId="58C91C42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lastRenderedPageBreak/>
        <w:t>포워딩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시장은 2026년에 구조적 재편 국면에 들어섰다. 물동량이 안정화되고 있음에도 해상 부문의 지속적인 공급 과잉 속에서 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수익성 방어가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최우선 과제로 떠올랐다. 지정학적 혼란은 더 이상 일시적 사건이 아니라 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지속적인 변수가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되었다. 가치는 전통적인 중개 마진에서 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기술을 기반으로 한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관세, 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통관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, 창고, 공급망 금융과 같은 고부가가치 서비스로 이동하고 </w:t>
      </w:r>
      <w:r w:rsidR="00750E05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있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다.</w:t>
      </w:r>
    </w:p>
    <w:p w14:paraId="085A6370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CA6E852" w14:textId="23860EA2" w:rsidR="005019C1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해상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혼란으로 인해 실질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공급력이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줄어들고 있음에도 구조적으로 공급 과잉 상태가 이어지고 있다. 2025년에는 선복 증가율이 수요 증가율을 앞질렀고, 2026년에 신규 선박 공급이 대거 유입되면서 불균형은 더욱 심화되고 있다. 홍해,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호르무즈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해협, 파나마 운하, 흑해 등 여러 병목 지점은 대안 경로를 제한하는 동시에 단기적인 운임 지지 요인으로 작용했다. 화주 입장에서는 </w:t>
      </w:r>
      <w:r w:rsidR="0079638A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약세장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은 구매 적기이지만 시장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변동성이 큰 환경에서는 시장 타이밍을 맞추려</w:t>
      </w: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는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시도보다 계약 </w:t>
      </w:r>
      <w:r w:rsidR="0079638A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유연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성을 확보하고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시나리오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별 대응 계획을 수립하는 것이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더 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효과적이다.</w:t>
      </w:r>
    </w:p>
    <w:p w14:paraId="4DCB3A0A" w14:textId="77777777" w:rsidR="005019C1" w:rsidRPr="007D1319" w:rsidRDefault="005019C1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087E6D0D" w14:textId="7C95D01B" w:rsidR="005019C1" w:rsidRPr="007D1319" w:rsidRDefault="00621966" w:rsidP="005019C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</w:pPr>
      <w:r w:rsidRPr="007D1319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앞으로의</w:t>
      </w:r>
      <w:r w:rsidRPr="007D1319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전략적 시사점</w:t>
      </w:r>
    </w:p>
    <w:p w14:paraId="50DF35FA" w14:textId="3EC5E678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미국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공급망관리전문가협회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(CSCMP)의 회장 겸 CEO인 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마크 </w:t>
      </w:r>
      <w:proofErr w:type="spellStart"/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바사</w:t>
      </w:r>
      <w:proofErr w:type="spellEnd"/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(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Mark Baxa</w:t>
      </w:r>
      <w:r w:rsidR="00750E05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)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는 이를 다음과 같이 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정리했다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“현재의 공급망은 매우 복잡하며, 끊임없는 조정이 </w:t>
      </w:r>
      <w:r w:rsidR="00750E05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필요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하다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지난해의 공급망은 오늘날의 공급망과 </w:t>
      </w:r>
      <w:r w:rsidR="00750E05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다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르다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개인적인 추측으로</w:t>
      </w:r>
      <w:r w:rsidR="00750E05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내년의 물류 네트워크는 거의 알아보기 어려울 정도로 달라져 있을 </w:t>
      </w:r>
      <w:r w:rsidR="00750E05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것</w:t>
      </w:r>
      <w:r w:rsidR="00750E05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이다.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”</w:t>
      </w:r>
    </w:p>
    <w:p w14:paraId="1E26AA9D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C6C0700" w14:textId="0E9BF87B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보고서는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다섯 가지 전략적 시사점을 제시한다. 효율성뿐 아니라 회복탄력성을 고려해 네트워크를 설계할 것, 거점 확장보다 자산 생산성을 우선할 것, 무역 </w:t>
      </w:r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규</w:t>
      </w:r>
      <w:r w:rsidR="0079638A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제</w:t>
      </w:r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준수와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지정학적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인텔리전스를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경쟁 역량으로 </w:t>
      </w:r>
      <w:proofErr w:type="spellStart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내재화할</w:t>
      </w:r>
      <w:proofErr w:type="spellEnd"/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것, 디지털 및 자동화 투자수익률을 가속화할 것, 그리고 더 짧고 측정 가능한 회수 기간을 중심으로 자본 구조와 투자 속도를 재검토할 것이다.</w:t>
      </w:r>
    </w:p>
    <w:p w14:paraId="67556D27" w14:textId="77777777" w:rsidR="00621966" w:rsidRPr="007D1319" w:rsidRDefault="00621966" w:rsidP="0062196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69A0F79" w14:textId="27877E21" w:rsidR="003B240F" w:rsidRPr="007D1319" w:rsidRDefault="00621966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보고서의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주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저자이자 </w:t>
      </w:r>
      <w:proofErr w:type="spellStart"/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커니</w:t>
      </w:r>
      <w:proofErr w:type="spellEnd"/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(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Kearney</w:t>
      </w:r>
      <w:r w:rsidR="0040317D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)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파트너인 </w:t>
      </w:r>
      <w:proofErr w:type="spellStart"/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코르한</w:t>
      </w:r>
      <w:proofErr w:type="spellEnd"/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아자르(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Korhan Acar</w:t>
      </w:r>
      <w:r w:rsidR="0040317D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)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는 이렇게 말했다. “올해 보고서는 글로벌 공급망을 </w:t>
      </w:r>
      <w:r w:rsidR="0040317D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재편</w:t>
      </w:r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하는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요인들이 더 이상 일시적인 혼란이 아니라 운영 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lastRenderedPageBreak/>
        <w:t xml:space="preserve">환경의 지속적인 특징이 된 시점에 </w:t>
      </w:r>
      <w:r w:rsidR="004C3FA7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발표되었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에너지 변동성, 인플레이션, 지정학적 불안정성으로 인한 비용 상승은 마진에 압박을 가하고 있으며, 리더들이 기존 운영 모델을 </w:t>
      </w:r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재고하게 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한다</w:t>
      </w:r>
      <w:r w:rsidR="0040317D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.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동시에 우리는 자율화 시대의 진정한 전환점에 </w:t>
      </w:r>
      <w:r w:rsidR="004C3FA7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도달했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. 앞으로 앞서</w:t>
      </w:r>
      <w:r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갈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기업은 회복탄력성, 지능형 물류, 절제된 실행력을 결합해 마진을 보호하고, 점점 더 변동성이 커지는 세계에서 더 나은 성과를 내는 기업이 될 </w:t>
      </w:r>
      <w:r w:rsidR="004C3FA7"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것</w:t>
      </w:r>
      <w:r w:rsidR="004C3FA7" w:rsidRPr="007D1319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</w:t>
      </w:r>
      <w:r w:rsidRPr="007D1319">
        <w:rPr>
          <w:rFonts w:ascii="Noto Sans KR" w:eastAsia="Noto Sans KR" w:hAnsi="Noto Sans KR"/>
          <w:color w:val="000000" w:themeColor="text1"/>
          <w:sz w:val="22"/>
          <w:szCs w:val="22"/>
        </w:rPr>
        <w:t>다.”</w:t>
      </w:r>
    </w:p>
    <w:sectPr w:rsidR="003B240F" w:rsidRPr="007D13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2389" w14:textId="77777777" w:rsidR="00C917E0" w:rsidRDefault="00C917E0" w:rsidP="0053450B">
      <w:pPr>
        <w:spacing w:after="0" w:line="240" w:lineRule="auto"/>
      </w:pPr>
      <w:r>
        <w:separator/>
      </w:r>
    </w:p>
  </w:endnote>
  <w:endnote w:type="continuationSeparator" w:id="0">
    <w:p w14:paraId="1866C022" w14:textId="77777777" w:rsidR="00C917E0" w:rsidRDefault="00C917E0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B5F7B" w14:textId="77777777" w:rsidR="00C917E0" w:rsidRDefault="00C917E0" w:rsidP="0053450B">
      <w:pPr>
        <w:spacing w:after="0" w:line="240" w:lineRule="auto"/>
      </w:pPr>
      <w:r>
        <w:separator/>
      </w:r>
    </w:p>
  </w:footnote>
  <w:footnote w:type="continuationSeparator" w:id="0">
    <w:p w14:paraId="3ACE6509" w14:textId="77777777" w:rsidR="00C917E0" w:rsidRDefault="00C917E0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89006175">
    <w:abstractNumId w:val="9"/>
  </w:num>
  <w:num w:numId="2" w16cid:durableId="1369181213">
    <w:abstractNumId w:val="11"/>
  </w:num>
  <w:num w:numId="3" w16cid:durableId="541092161">
    <w:abstractNumId w:val="12"/>
  </w:num>
  <w:num w:numId="4" w16cid:durableId="1265723854">
    <w:abstractNumId w:val="2"/>
  </w:num>
  <w:num w:numId="5" w16cid:durableId="1630208161">
    <w:abstractNumId w:val="0"/>
  </w:num>
  <w:num w:numId="6" w16cid:durableId="1664579751">
    <w:abstractNumId w:val="4"/>
  </w:num>
  <w:num w:numId="7" w16cid:durableId="1670865509">
    <w:abstractNumId w:val="10"/>
  </w:num>
  <w:num w:numId="8" w16cid:durableId="1410081301">
    <w:abstractNumId w:val="6"/>
  </w:num>
  <w:num w:numId="9" w16cid:durableId="1710842095">
    <w:abstractNumId w:val="3"/>
  </w:num>
  <w:num w:numId="10" w16cid:durableId="753748748">
    <w:abstractNumId w:val="5"/>
  </w:num>
  <w:num w:numId="11" w16cid:durableId="1636133314">
    <w:abstractNumId w:val="8"/>
  </w:num>
  <w:num w:numId="12" w16cid:durableId="933784330">
    <w:abstractNumId w:val="1"/>
  </w:num>
  <w:num w:numId="13" w16cid:durableId="1253053607">
    <w:abstractNumId w:val="7"/>
  </w:num>
  <w:num w:numId="14" w16cid:durableId="20339908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357C"/>
    <w:rsid w:val="00106F87"/>
    <w:rsid w:val="001252C6"/>
    <w:rsid w:val="001255C8"/>
    <w:rsid w:val="00131B7A"/>
    <w:rsid w:val="0014202D"/>
    <w:rsid w:val="001513F4"/>
    <w:rsid w:val="001515FE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7C42"/>
    <w:rsid w:val="002B22EB"/>
    <w:rsid w:val="002B4DB6"/>
    <w:rsid w:val="002D06E1"/>
    <w:rsid w:val="002D0EF3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A510A"/>
    <w:rsid w:val="003B240F"/>
    <w:rsid w:val="003B5800"/>
    <w:rsid w:val="003B63B2"/>
    <w:rsid w:val="003C3838"/>
    <w:rsid w:val="003C6FE1"/>
    <w:rsid w:val="003D07F0"/>
    <w:rsid w:val="003D2571"/>
    <w:rsid w:val="003D2F15"/>
    <w:rsid w:val="003E176C"/>
    <w:rsid w:val="003E25A3"/>
    <w:rsid w:val="003E304C"/>
    <w:rsid w:val="00402F06"/>
    <w:rsid w:val="0040317D"/>
    <w:rsid w:val="0040794E"/>
    <w:rsid w:val="00420989"/>
    <w:rsid w:val="00432140"/>
    <w:rsid w:val="0043524E"/>
    <w:rsid w:val="00445107"/>
    <w:rsid w:val="00450877"/>
    <w:rsid w:val="00450A03"/>
    <w:rsid w:val="00457006"/>
    <w:rsid w:val="00463B8E"/>
    <w:rsid w:val="00465D8F"/>
    <w:rsid w:val="00467A7D"/>
    <w:rsid w:val="004756CE"/>
    <w:rsid w:val="004776FA"/>
    <w:rsid w:val="00480F5A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3FA7"/>
    <w:rsid w:val="004C5B72"/>
    <w:rsid w:val="004D1B0F"/>
    <w:rsid w:val="004D2510"/>
    <w:rsid w:val="004D31FB"/>
    <w:rsid w:val="004E34D3"/>
    <w:rsid w:val="004F090C"/>
    <w:rsid w:val="004F71A7"/>
    <w:rsid w:val="005019C1"/>
    <w:rsid w:val="005055EE"/>
    <w:rsid w:val="00515562"/>
    <w:rsid w:val="00524ED3"/>
    <w:rsid w:val="0052511E"/>
    <w:rsid w:val="00526655"/>
    <w:rsid w:val="00532350"/>
    <w:rsid w:val="0053450B"/>
    <w:rsid w:val="00541573"/>
    <w:rsid w:val="005451A0"/>
    <w:rsid w:val="00551305"/>
    <w:rsid w:val="00563A31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1966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E6385"/>
    <w:rsid w:val="00703680"/>
    <w:rsid w:val="00733CA3"/>
    <w:rsid w:val="00734403"/>
    <w:rsid w:val="00737980"/>
    <w:rsid w:val="0074021C"/>
    <w:rsid w:val="00750E05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638A"/>
    <w:rsid w:val="00797CD1"/>
    <w:rsid w:val="007A2BED"/>
    <w:rsid w:val="007C2193"/>
    <w:rsid w:val="007C735F"/>
    <w:rsid w:val="007D1319"/>
    <w:rsid w:val="007D745B"/>
    <w:rsid w:val="007E2AE5"/>
    <w:rsid w:val="007E2BB5"/>
    <w:rsid w:val="007F4CD2"/>
    <w:rsid w:val="00821E70"/>
    <w:rsid w:val="008228A2"/>
    <w:rsid w:val="00827FDE"/>
    <w:rsid w:val="00834AB5"/>
    <w:rsid w:val="00843E85"/>
    <w:rsid w:val="00844EC2"/>
    <w:rsid w:val="0085585C"/>
    <w:rsid w:val="00856A32"/>
    <w:rsid w:val="008671D4"/>
    <w:rsid w:val="00873F6A"/>
    <w:rsid w:val="00874C66"/>
    <w:rsid w:val="00877C27"/>
    <w:rsid w:val="00881813"/>
    <w:rsid w:val="00893D07"/>
    <w:rsid w:val="008A04DF"/>
    <w:rsid w:val="008A5759"/>
    <w:rsid w:val="008B74D8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6EA3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2598C"/>
    <w:rsid w:val="00C3335B"/>
    <w:rsid w:val="00C36CC8"/>
    <w:rsid w:val="00C56835"/>
    <w:rsid w:val="00C83F06"/>
    <w:rsid w:val="00C84E60"/>
    <w:rsid w:val="00C917E0"/>
    <w:rsid w:val="00C91813"/>
    <w:rsid w:val="00CB08D1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1465"/>
    <w:rsid w:val="00DC38E7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329C"/>
    <w:rsid w:val="00E1582B"/>
    <w:rsid w:val="00E2716D"/>
    <w:rsid w:val="00E27B44"/>
    <w:rsid w:val="00E32DDB"/>
    <w:rsid w:val="00E33C63"/>
    <w:rsid w:val="00E4353F"/>
    <w:rsid w:val="00E453B0"/>
    <w:rsid w:val="00E518CE"/>
    <w:rsid w:val="00E713E5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E4DA9"/>
    <w:rsid w:val="00EF5442"/>
    <w:rsid w:val="00F0174E"/>
    <w:rsid w:val="00F0466B"/>
    <w:rsid w:val="00F07DA8"/>
    <w:rsid w:val="00F27743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2026-state-of-logistics-report-volatility-new-norm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E2476-8103-4671-AE72-D65F93930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Jiym Lab</cp:lastModifiedBy>
  <cp:revision>66</cp:revision>
  <dcterms:created xsi:type="dcterms:W3CDTF">2026-04-14T04:33:00Z</dcterms:created>
  <dcterms:modified xsi:type="dcterms:W3CDTF">2026-06-24T01:17:00Z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36484D8AD8CC2FC12F8430EAA7B9A3F3A0E657C7EC11CDFBB292DCE7217E0A5BF3D7232F3EDFFBCD1CB6348D44A9EB01143418F310C8915EC3F999E4CB2F5101</vt:lpwstr>
  </property>
  <property fmtid="{D5CDD505-2E9C-101B-9397-08002B2CF9AE}" pid="4" name="GrammarlyDocumentId">
    <vt:lpwstr>7a1bb2bd-6b7c-42cc-9d22-db93eb657e7d</vt:lpwstr>
  </property>
</Properties>
</file>