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DAC6B4" w14:textId="77777777" w:rsidR="00CB522B" w:rsidRDefault="00CB522B" w:rsidP="00CB522B">
      <w:pPr>
        <w:rPr>
          <w:rFonts w:asciiTheme="minorHAnsi" w:eastAsiaTheme="minorHAnsi"/>
          <w:b/>
          <w:bCs/>
          <w:color w:val="000000" w:themeColor="text1"/>
          <w:sz w:val="24"/>
          <w14:ligatures w14:val="none"/>
        </w:rPr>
      </w:pPr>
      <w:r>
        <w:rPr>
          <w:rFonts w:asciiTheme="minorHAnsi" w:eastAsiaTheme="minorHAnsi" w:hint="eastAsia"/>
          <w:b/>
          <w:bCs/>
          <w:color w:val="000000" w:themeColor="text1"/>
          <w:sz w:val="24"/>
          <w14:ligatures w14:val="none"/>
        </w:rPr>
        <w:t>Changes in Shippers’ Assessment Criteria for Carriers and Forwarders Due to Supply Chain Disruptions</w:t>
      </w:r>
    </w:p>
    <w:p w14:paraId="4A059C71" w14:textId="77777777" w:rsidR="00CB522B" w:rsidRDefault="00CB522B" w:rsidP="00CB522B">
      <w:pPr>
        <w:rPr>
          <w:rFonts w:asciiTheme="minorHAnsi" w:eastAsiaTheme="minorHAnsi" w:hint="eastAsia"/>
          <w:b/>
          <w:bCs/>
          <w:color w:val="EE0000"/>
          <w:sz w:val="24"/>
          <w14:ligatures w14:val="none"/>
        </w:rPr>
      </w:pPr>
      <w:r>
        <w:rPr>
          <w:rFonts w:asciiTheme="minorHAnsi" w:eastAsiaTheme="minorHAnsi"/>
          <w:b/>
          <w:noProof/>
          <w:color w:val="EE0000"/>
          <w:sz w:val="24"/>
        </w:rPr>
        <w:drawing>
          <wp:inline distT="0" distB="0" distL="0" distR="0" wp14:anchorId="4F5496CC" wp14:editId="7B29EA3F">
            <wp:extent cx="5736590" cy="163893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6590" cy="1638935"/>
                    </a:xfrm>
                    <a:prstGeom prst="rect">
                      <a:avLst/>
                    </a:prstGeom>
                    <a:noFill/>
                    <a:ln>
                      <a:noFill/>
                    </a:ln>
                  </pic:spPr>
                </pic:pic>
              </a:graphicData>
            </a:graphic>
          </wp:inline>
        </w:drawing>
      </w:r>
    </w:p>
    <w:p w14:paraId="544F659B" w14:textId="77777777" w:rsidR="00CB522B" w:rsidRDefault="00CB522B" w:rsidP="00CB522B">
      <w:pPr>
        <w:jc w:val="both"/>
        <w:rPr>
          <w:rFonts w:asciiTheme="minorHAnsi" w:eastAsiaTheme="minorHAnsi" w:hint="eastAsia"/>
          <w:color w:val="000000" w:themeColor="text1"/>
          <w:sz w:val="20"/>
          <w:szCs w:val="22"/>
        </w:rPr>
      </w:pPr>
    </w:p>
    <w:p w14:paraId="04F9BAE3"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Until the COVID-19 pandemic, shippers' criteria for selecting carriers and forwarders were relatively clear. They would find candidates capable of transporting cargo from the designated origin to the destination, compare the freight rates, transit times, and service conditions each offered, and then select the most economical option. If there was no significant difference in the services offered by carriers and forwarders, the candidate offering the lowest rate was given priority. This was because shippers' logistics activities were basically regarded as procurement activities aimed at reducing costs.</w:t>
      </w:r>
    </w:p>
    <w:p w14:paraId="7B834631"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However, in the era of polycrisis caused by continued supply chain disruptions [1], such a precondition is no longer valid. Supply chain disruptions are no longer perceived as exceptional events that occur temporarily in specific regions, but as recurring structural risks—becoming a factor that reshapes the structure of ocean shipping networks and transport routes [2].</w:t>
      </w:r>
    </w:p>
    <w:p w14:paraId="7628BAB0"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Against this backdrop, shippers' criteria for selecting carriers and forwarders are also changing. However, it is more accurate to say that this reflects a shift in the importance and meaning of existing criteria, rather than the emergence of entirely new ones. Factors such as freight rates, on-time delivery (OTD), freight space, network, customer service, and information provision have always been important from the past. What has changed is the purpose behind how shippers evaluate these criteria.</w:t>
      </w:r>
    </w:p>
    <w:p w14:paraId="138ED991"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In the past, if the key question was “who can transport at the lowest rate?”, now the more critical question is “who can maintain the cargo flow even when disruptions occur?” In other words, the purpose behind shippers' selection of logistics partners is shifting from simply minimizing transport costs toward managing supply chain volatility and potential losses.</w:t>
      </w:r>
    </w:p>
    <w:p w14:paraId="6A3D4B3E" w14:textId="77777777" w:rsidR="00CB522B" w:rsidRDefault="00CB522B" w:rsidP="00CB522B">
      <w:pPr>
        <w:jc w:val="both"/>
        <w:rPr>
          <w:rFonts w:asciiTheme="minorHAnsi" w:eastAsiaTheme="minorHAnsi" w:hint="eastAsia"/>
          <w:color w:val="000000" w:themeColor="text1"/>
          <w:sz w:val="20"/>
          <w:szCs w:val="22"/>
        </w:rPr>
      </w:pPr>
    </w:p>
    <w:p w14:paraId="4C7C72DF" w14:textId="77777777" w:rsidR="00CB522B" w:rsidRDefault="00CB522B" w:rsidP="00CB522B">
      <w:pPr>
        <w:pStyle w:val="a6"/>
        <w:numPr>
          <w:ilvl w:val="0"/>
          <w:numId w:val="38"/>
        </w:numPr>
        <w:rPr>
          <w:rFonts w:asciiTheme="majorHAnsi" w:eastAsiaTheme="majorHAnsi" w:hAnsiTheme="majorHAnsi" w:hint="eastAsia"/>
          <w:b/>
          <w:bCs/>
          <w:color w:val="000000" w:themeColor="text1"/>
          <w:sz w:val="24"/>
        </w:rPr>
      </w:pPr>
      <w:r>
        <w:rPr>
          <w:rFonts w:asciiTheme="majorHAnsi" w:eastAsiaTheme="majorHAnsi" w:hAnsiTheme="majorHAnsi" w:hint="eastAsia"/>
          <w:b/>
          <w:bCs/>
          <w:color w:val="000000" w:themeColor="text1"/>
          <w:sz w:val="24"/>
        </w:rPr>
        <w:t>Shippers’ Traditional Assessment Criteria</w:t>
      </w:r>
    </w:p>
    <w:p w14:paraId="5D4FBDAF"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Shippers’ criteria for selecting carriers and forwarders can be categorized into seven factors.</w:t>
      </w:r>
    </w:p>
    <w:p w14:paraId="572CD942"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lastRenderedPageBreak/>
        <w:t>First is cost and price stability. This includes not only basic freight rates but also charges such as fuel surcharge, peak season surcharge (PSS), demurrage, storage charge, and forwarding fee, as well as the possibility of price fluctuations during the contract period.</w:t>
      </w:r>
    </w:p>
    <w:p w14:paraId="6E97AE63"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Second is transit time and schedule reliability. This includes announced transit times, on-time arrival rates, blank sailing frequency, cargo rollover, and the stability of transshipment connections.</w:t>
      </w:r>
    </w:p>
    <w:p w14:paraId="4C09FE01"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Third is freight space and equipment availability. What matters is whether shippers can actually secure space when needed, and whether necessary equipment—such as empty containers and refrigerated containers—is supplied in a timely manner.</w:t>
      </w:r>
    </w:p>
    <w:p w14:paraId="366257E3"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Fourth is service frequency and network scope. This includes direct service availability, ports of call, sailing frequency, transshipment structure, inland transportation connections, and door-to-door service capability.</w:t>
      </w:r>
    </w:p>
    <w:p w14:paraId="75D26C0A"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Fifth is cargo management and claim handling capability. Evaluation criteria include cargo safety, damage and loss prevention, the ability to handle dangerous goods and special cargo, and the handling of compensation and claims following an incident.</w:t>
      </w:r>
    </w:p>
    <w:p w14:paraId="2487ADE7"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Sixth is responsiveness and expertise. What matters is how rapidly a provider responds when problems occur, how much knowledge it has of regulations and customs, and whether it can offer alternative solutions.</w:t>
      </w:r>
    </w:p>
    <w:p w14:paraId="04272A8C"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Last is corporate reliability and visibility. This includes financial soundness, corporate reputation, network of overseas partners, cargo tracking, ETA accuracy, and the ability to integrate with electronic documentation and information systems.</w:t>
      </w:r>
    </w:p>
    <w:p w14:paraId="6D97F61A"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These seven criteria existed even before supply chain disruptions became prevalent. What has changed is how shippers view these criteria. In the past, it was common to compare each factor and select the candidate with the highest overall evaluation. Now, however, shippers need to assess how well these criteria can ensure the continuity of the supply chain amid disruptions.</w:t>
      </w:r>
    </w:p>
    <w:p w14:paraId="79C93AF4" w14:textId="77777777" w:rsidR="00CB522B" w:rsidRDefault="00CB522B" w:rsidP="00CB522B">
      <w:pPr>
        <w:jc w:val="both"/>
        <w:rPr>
          <w:rFonts w:asciiTheme="minorHAnsi" w:eastAsiaTheme="minorHAnsi" w:hint="eastAsia"/>
          <w:color w:val="000000" w:themeColor="text1"/>
        </w:rPr>
      </w:pPr>
    </w:p>
    <w:p w14:paraId="37E7980E" w14:textId="77777777" w:rsidR="00CB522B" w:rsidRDefault="00CB522B" w:rsidP="00CB522B">
      <w:pPr>
        <w:pStyle w:val="a6"/>
        <w:numPr>
          <w:ilvl w:val="0"/>
          <w:numId w:val="38"/>
        </w:numPr>
        <w:rPr>
          <w:rFonts w:asciiTheme="majorHAnsi" w:eastAsiaTheme="majorHAnsi" w:hAnsiTheme="majorHAnsi" w:hint="eastAsia"/>
          <w:b/>
          <w:bCs/>
          <w:color w:val="000000" w:themeColor="text1"/>
          <w:sz w:val="24"/>
        </w:rPr>
      </w:pPr>
      <w:r>
        <w:rPr>
          <w:rFonts w:asciiTheme="majorHAnsi" w:eastAsiaTheme="majorHAnsi" w:hAnsiTheme="majorHAnsi" w:hint="eastAsia"/>
          <w:b/>
          <w:bCs/>
          <w:color w:val="000000" w:themeColor="text1"/>
          <w:sz w:val="24"/>
        </w:rPr>
        <w:t>Changes in Assessment Criteria</w:t>
      </w:r>
    </w:p>
    <w:p w14:paraId="4AC11CD7" w14:textId="77777777" w:rsidR="00CB522B" w:rsidRDefault="00CB522B" w:rsidP="00CB522B">
      <w:pPr>
        <w:pStyle w:val="a6"/>
        <w:numPr>
          <w:ilvl w:val="1"/>
          <w:numId w:val="38"/>
        </w:numPr>
        <w:ind w:left="1220" w:hanging="420"/>
        <w:rPr>
          <w:rFonts w:asciiTheme="majorHAnsi" w:eastAsiaTheme="majorHAnsi" w:hAnsiTheme="majorHAnsi" w:hint="eastAsia"/>
          <w:b/>
          <w:bCs/>
          <w:color w:val="000000" w:themeColor="text1"/>
          <w:szCs w:val="22"/>
        </w:rPr>
      </w:pPr>
      <w:r>
        <w:rPr>
          <w:rFonts w:asciiTheme="majorHAnsi" w:eastAsiaTheme="majorHAnsi" w:hAnsiTheme="majorHAnsi" w:hint="eastAsia"/>
          <w:b/>
          <w:bCs/>
          <w:color w:val="000000" w:themeColor="text1"/>
          <w:szCs w:val="22"/>
        </w:rPr>
        <w:t>From the lowest freight rates to risk-adjusted logistics cost</w:t>
      </w:r>
    </w:p>
    <w:p w14:paraId="6D7C3015"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Since the onset of supply chain disruptions, the first thing that needs to be redefined is the cost evaluation criteria. For shippers, freight rates are still important. In particular, for cargo such as raw materials and commodity products—where logistics costs account for a large share of the product price—freight rate competitiveness is difficult to ignore. However, the lowest freight rate doesn’t necessarily mean the lowest logistics cost.</w:t>
      </w:r>
    </w:p>
    <w:p w14:paraId="504D7683"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 xml:space="preserve">Even if shippers choose a service with lower rates, repeated shipment rollovers or significant arrival delays force them to secure additional inventory. They may have to revise production planning, use </w:t>
      </w:r>
      <w:r>
        <w:rPr>
          <w:rFonts w:hint="eastAsia"/>
          <w:color w:val="000000" w:themeColor="text1"/>
          <w:sz w:val="20"/>
          <w:szCs w:val="22"/>
        </w:rPr>
        <w:lastRenderedPageBreak/>
        <w:t>urgent air freight, or bear the losses resulting from delayed deliveries to customers. When demurrage, storage charges, additional warehousing costs, order cancellations, and production downtime costs are all factored in, the total cost incurred can far exceed the initial savings from the lower freight rate.</w:t>
      </w:r>
    </w:p>
    <w:p w14:paraId="46C8542F"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Thus, in the era of supply chain disruptions, transport alternatives have to be evaluated based on the following risk-adjusted logistics cost.</w:t>
      </w:r>
    </w:p>
    <w:p w14:paraId="0E526BB0" w14:textId="77777777" w:rsidR="00CB522B" w:rsidRDefault="00CB522B" w:rsidP="00CB522B">
      <w:pPr>
        <w:pStyle w:val="a6"/>
        <w:numPr>
          <w:ilvl w:val="0"/>
          <w:numId w:val="39"/>
        </w:numPr>
        <w:jc w:val="both"/>
        <w:rPr>
          <w:rFonts w:hint="eastAsia"/>
          <w:color w:val="000000" w:themeColor="text1"/>
          <w:sz w:val="20"/>
          <w:szCs w:val="22"/>
        </w:rPr>
      </w:pPr>
      <w:r>
        <w:rPr>
          <w:rFonts w:hint="eastAsia"/>
          <w:color w:val="000000" w:themeColor="text1"/>
          <w:sz w:val="20"/>
          <w:szCs w:val="22"/>
        </w:rPr>
        <w:t>Risk-adjusted logistics cost = Direct freight rate + Various ancillary costs + Inventory cost + Delay cost + (Disruption probability x Expected loss)</w:t>
      </w:r>
    </w:p>
    <w:p w14:paraId="0AFA05E6" w14:textId="77777777" w:rsidR="00CB522B" w:rsidRDefault="00CB522B" w:rsidP="00CB522B">
      <w:pPr>
        <w:pStyle w:val="a6"/>
        <w:ind w:left="800"/>
        <w:jc w:val="both"/>
        <w:rPr>
          <w:rFonts w:hint="eastAsia"/>
          <w:color w:val="000000" w:themeColor="text1"/>
          <w:sz w:val="20"/>
          <w:szCs w:val="22"/>
        </w:rPr>
      </w:pPr>
    </w:p>
    <w:p w14:paraId="34C0FC8E"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From this perspective, not only freight rate levels but also rate stability, surcharge transparency, and predictability of contract terms become important. The sharp, short-term surge in container freight rates from Asia to Europe during the early stages of the Red Sea crisis illustrates how route disruptions can have an immediate impact on freight space and rates.</w:t>
      </w:r>
    </w:p>
    <w:p w14:paraId="6AA5AFAC"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In the end, shippers should not make a judgement on cost efficiency just by looking at freight rates on the surface. Instead, they should evaluate which alternative is the most economical, factoring in the indirect costs that may arise from transport disruptions.</w:t>
      </w:r>
    </w:p>
    <w:p w14:paraId="71513C63" w14:textId="77777777" w:rsidR="00CB522B" w:rsidRDefault="00CB522B" w:rsidP="00CB522B">
      <w:pPr>
        <w:jc w:val="both"/>
        <w:rPr>
          <w:rFonts w:hint="eastAsia"/>
          <w:sz w:val="20"/>
          <w:szCs w:val="22"/>
        </w:rPr>
      </w:pPr>
    </w:p>
    <w:p w14:paraId="5486992D" w14:textId="77777777" w:rsidR="00CB522B" w:rsidRDefault="00CB522B" w:rsidP="00CB522B">
      <w:pPr>
        <w:jc w:val="both"/>
        <w:rPr>
          <w:rFonts w:hint="eastAsia"/>
          <w:sz w:val="20"/>
          <w:szCs w:val="22"/>
        </w:rPr>
      </w:pPr>
    </w:p>
    <w:p w14:paraId="4AAF2CE3" w14:textId="77777777" w:rsidR="00CB522B" w:rsidRDefault="00CB522B" w:rsidP="00CB522B">
      <w:pPr>
        <w:jc w:val="both"/>
        <w:rPr>
          <w:rFonts w:hint="eastAsia"/>
          <w:sz w:val="20"/>
          <w:szCs w:val="22"/>
        </w:rPr>
      </w:pPr>
    </w:p>
    <w:p w14:paraId="3D59DCA1" w14:textId="77777777" w:rsidR="00CB522B" w:rsidRDefault="00CB522B" w:rsidP="00CB522B">
      <w:pPr>
        <w:jc w:val="center"/>
        <w:rPr>
          <w:rFonts w:asciiTheme="minorHAnsi" w:eastAsiaTheme="minorHAnsi" w:hint="eastAsia"/>
          <w:color w:val="000000" w:themeColor="text1"/>
          <w:sz w:val="20"/>
          <w:szCs w:val="22"/>
        </w:rPr>
      </w:pPr>
      <w:r>
        <w:rPr>
          <w:rFonts w:asciiTheme="minorHAnsi" w:eastAsiaTheme="minorHAnsi" w:hint="eastAsia"/>
          <w:b/>
          <w:color w:val="000000" w:themeColor="text1"/>
          <w:sz w:val="20"/>
          <w:szCs w:val="22"/>
        </w:rPr>
        <w:t xml:space="preserve"> [Asia-Europe Container Rates]</w:t>
      </w:r>
    </w:p>
    <w:p w14:paraId="3B71D000" w14:textId="77777777" w:rsidR="00CB522B" w:rsidRDefault="00CB522B" w:rsidP="00CB522B">
      <w:pPr>
        <w:jc w:val="center"/>
        <w:rPr>
          <w:rFonts w:asciiTheme="minorHAnsi" w:eastAsiaTheme="minorHAnsi" w:hint="eastAsia"/>
          <w:color w:val="000000" w:themeColor="text1"/>
          <w:szCs w:val="22"/>
          <w14:ligatures w14:val="none"/>
        </w:rPr>
      </w:pPr>
      <w:commentRangeStart w:id="0"/>
      <w:r>
        <w:rPr>
          <w:rFonts w:asciiTheme="minorHAnsi" w:eastAsiaTheme="minorHAnsi"/>
          <w:noProof/>
          <w:color w:val="000000" w:themeColor="text1"/>
          <w:szCs w:val="22"/>
        </w:rPr>
        <w:drawing>
          <wp:inline distT="0" distB="0" distL="0" distR="0" wp14:anchorId="120C606F" wp14:editId="7FDC4B60">
            <wp:extent cx="5115560" cy="2389505"/>
            <wp:effectExtent l="0" t="0" r="889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5560" cy="2389505"/>
                    </a:xfrm>
                    <a:prstGeom prst="rect">
                      <a:avLst/>
                    </a:prstGeom>
                    <a:noFill/>
                    <a:ln>
                      <a:noFill/>
                    </a:ln>
                  </pic:spPr>
                </pic:pic>
              </a:graphicData>
            </a:graphic>
          </wp:inline>
        </w:drawing>
      </w:r>
      <w:commentRangeEnd w:id="0"/>
      <w:r>
        <w:rPr>
          <w:rStyle w:val="aa"/>
          <w:rFonts w:asciiTheme="minorHAnsi" w:hint="eastAsia"/>
        </w:rPr>
        <w:commentReference w:id="0"/>
      </w:r>
    </w:p>
    <w:p w14:paraId="18455CBB" w14:textId="77777777" w:rsidR="00CB522B" w:rsidRDefault="00CB522B" w:rsidP="00CB522B">
      <w:pPr>
        <w:jc w:val="right"/>
        <w:rPr>
          <w:rFonts w:asciiTheme="minorHAnsi" w:eastAsiaTheme="minorHAnsi" w:hint="eastAsia"/>
          <w:color w:val="000000" w:themeColor="text1"/>
          <w:sz w:val="18"/>
          <w:szCs w:val="18"/>
          <w14:ligatures w14:val="none"/>
        </w:rPr>
      </w:pPr>
      <w:r>
        <w:rPr>
          <w:rFonts w:asciiTheme="minorHAnsi" w:eastAsiaTheme="minorHAnsi" w:hint="eastAsia"/>
          <w:color w:val="000000" w:themeColor="text1"/>
          <w:sz w:val="18"/>
          <w:szCs w:val="18"/>
          <w14:ligatures w14:val="none"/>
        </w:rPr>
        <w:t>(Source: Shanghai Containerized Freight Index[3])</w:t>
      </w:r>
    </w:p>
    <w:p w14:paraId="38032569" w14:textId="77777777" w:rsidR="00CB522B" w:rsidRDefault="00CB522B" w:rsidP="00CB522B">
      <w:pPr>
        <w:jc w:val="both"/>
        <w:rPr>
          <w:rFonts w:hint="eastAsia"/>
        </w:rPr>
      </w:pPr>
    </w:p>
    <w:p w14:paraId="6BBEFED0" w14:textId="77777777" w:rsidR="00CB522B" w:rsidRDefault="00CB522B" w:rsidP="00CB522B">
      <w:pPr>
        <w:pStyle w:val="a6"/>
        <w:numPr>
          <w:ilvl w:val="1"/>
          <w:numId w:val="38"/>
        </w:numPr>
        <w:ind w:left="1220" w:hanging="420"/>
        <w:rPr>
          <w:rFonts w:asciiTheme="majorHAnsi" w:eastAsiaTheme="majorHAnsi" w:hAnsiTheme="majorHAnsi" w:hint="eastAsia"/>
          <w:b/>
          <w:bCs/>
          <w:color w:val="000000" w:themeColor="text1"/>
          <w:szCs w:val="22"/>
        </w:rPr>
      </w:pPr>
      <w:r>
        <w:rPr>
          <w:rFonts w:asciiTheme="majorHAnsi" w:eastAsiaTheme="majorHAnsi" w:hAnsiTheme="majorHAnsi" w:hint="eastAsia"/>
          <w:b/>
          <w:bCs/>
          <w:color w:val="000000" w:themeColor="text1"/>
          <w:szCs w:val="22"/>
        </w:rPr>
        <w:t>From average transit time to transit time fluctuation</w:t>
      </w:r>
    </w:p>
    <w:p w14:paraId="19427151"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lastRenderedPageBreak/>
        <w:t>OTD and transit time have long been two factors of assessment criteria from the past. However, since the supply chain disruptions began, service reliability and its meaning have changed. In the past, if a service had a short published transit time and high sailing frequency, it was evaluated as competitive. Now, the actual transit time fluctuation and ability to recover from disruptions may be more important than average transit time.</w:t>
      </w:r>
    </w:p>
    <w:p w14:paraId="2501FEBA"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If a service has an estimated transit time of 25 days but actually arrives between 25 and 40 days, it becomes difficult for shippers to plan production and inventory. On the other hand, even if the estimated transit time is 30 days, if the actual arrival date consistently falls between 29 and 32 days, the latter case may be more advantageous for supply chain planning. Therefore, shippers need to look beyond the simple average transit time and also check indicators such as on-time arrival rate, standard deviation of transit time, cargo rollover rate, blank sailing frequency, and transshipment failure rate.</w:t>
      </w:r>
    </w:p>
    <w:p w14:paraId="5895F84A" w14:textId="77777777" w:rsidR="00CB522B" w:rsidRDefault="00CB522B" w:rsidP="00CB522B">
      <w:pPr>
        <w:jc w:val="both"/>
        <w:rPr>
          <w:rFonts w:asciiTheme="minorHAnsi" w:eastAsiaTheme="minorHAnsi" w:hint="eastAsia"/>
          <w:color w:val="000000" w:themeColor="text1"/>
          <w:sz w:val="20"/>
          <w:szCs w:val="22"/>
        </w:rPr>
      </w:pPr>
      <w:r>
        <w:rPr>
          <w:rFonts w:asciiTheme="minorHAnsi" w:eastAsiaTheme="minorHAnsi" w:hint="eastAsia"/>
          <w:color w:val="000000" w:themeColor="text1"/>
          <w:sz w:val="20"/>
          <w:szCs w:val="22"/>
        </w:rPr>
        <w:t>According to the Journal of Commerce [4], supply chain certainty—rather than cost—is expected to shape shippers' decision-making in the 2026 ocean shipping market. As disruptions come to be recognized not as temporary events but as recurring structural risks, shippers are placing greater importance on the predictability and reliability of services.</w:t>
      </w:r>
    </w:p>
    <w:p w14:paraId="0C631D1B" w14:textId="77777777" w:rsidR="00CB522B" w:rsidRDefault="00CB522B" w:rsidP="00CB522B">
      <w:pPr>
        <w:jc w:val="both"/>
        <w:rPr>
          <w:rFonts w:asciiTheme="minorHAnsi" w:eastAsiaTheme="minorHAnsi" w:hint="eastAsia"/>
          <w:color w:val="000000" w:themeColor="text1"/>
          <w:sz w:val="20"/>
          <w:szCs w:val="22"/>
        </w:rPr>
      </w:pPr>
    </w:p>
    <w:p w14:paraId="51604FB4" w14:textId="77777777" w:rsidR="00CB522B" w:rsidRDefault="00CB522B" w:rsidP="00CB522B">
      <w:pPr>
        <w:pStyle w:val="a6"/>
        <w:numPr>
          <w:ilvl w:val="1"/>
          <w:numId w:val="38"/>
        </w:numPr>
        <w:ind w:left="1220" w:hanging="420"/>
        <w:rPr>
          <w:rFonts w:asciiTheme="majorHAnsi" w:eastAsiaTheme="majorHAnsi" w:hAnsiTheme="majorHAnsi" w:hint="eastAsia"/>
          <w:b/>
          <w:bCs/>
          <w:color w:val="000000" w:themeColor="text1"/>
          <w:szCs w:val="22"/>
        </w:rPr>
      </w:pPr>
      <w:r>
        <w:rPr>
          <w:rFonts w:asciiTheme="majorHAnsi" w:eastAsiaTheme="majorHAnsi" w:hAnsiTheme="majorHAnsi" w:hint="eastAsia"/>
          <w:b/>
          <w:bCs/>
          <w:color w:val="000000" w:themeColor="text1"/>
          <w:szCs w:val="22"/>
        </w:rPr>
        <w:t>From securing freight space to guaranteeing transport capacity</w:t>
      </w:r>
    </w:p>
    <w:p w14:paraId="76DE7D63"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Before the pandemic, securing vessel space and container equipment was mainly viewed as a peak-season operational issue. However, the freight space shortages and container supply-demand imbalances that emerged during the pandemic demonstrated that transport capacity itself is a pivotal factor determining supply chain competitiveness.</w:t>
      </w:r>
    </w:p>
    <w:p w14:paraId="507D265D"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What matters to shippers is not only the freight space specified in the contract but also the actual availability of that space on the required routes and at the required times. Therefore, when entering into an annual transportation contract, it is essential to verify not only the minimum volume commitment but also the level of guaranteed space, equipment availability conditions, the criteria for cargo rollover handling, and whether alternative sailings will be provided in case of a blank sailing.</w:t>
      </w:r>
    </w:p>
    <w:p w14:paraId="6C35B119"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The same principle applies to selecting forwards. Rather than relying on a forwarder that emphasizes its relationship with specific carriers, it is more beneficial to work with one who can secure spaces from multiple carriers and reallocate them in accordance with market conditions. Such forwarders can provide greater values in times of disruption.</w:t>
      </w:r>
    </w:p>
    <w:p w14:paraId="62D7FAD3"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 xml:space="preserve">The reason for key factors such as securing and substitutability of buffer resources in the study of supply chain resilience also lies here. Spare space and alternative modes of transport may seem inefficient under normal circumstances, but when disruptions occur, they become a kind of insurance </w:t>
      </w:r>
      <w:r>
        <w:rPr>
          <w:rFonts w:hint="eastAsia"/>
          <w:color w:val="000000" w:themeColor="text1"/>
          <w:sz w:val="20"/>
          <w:szCs w:val="22"/>
        </w:rPr>
        <w:lastRenderedPageBreak/>
        <w:t xml:space="preserve">that secures supply chain continuity. </w:t>
      </w:r>
    </w:p>
    <w:p w14:paraId="12BE5C7A" w14:textId="77777777" w:rsidR="00CB522B" w:rsidRDefault="00CB522B" w:rsidP="00CB522B">
      <w:pPr>
        <w:jc w:val="both"/>
        <w:rPr>
          <w:rFonts w:asciiTheme="minorHAnsi" w:eastAsiaTheme="minorHAnsi" w:hint="eastAsia"/>
          <w:color w:val="000000" w:themeColor="text1"/>
          <w:sz w:val="20"/>
          <w:szCs w:val="22"/>
        </w:rPr>
      </w:pPr>
    </w:p>
    <w:p w14:paraId="2BEE7669" w14:textId="77777777" w:rsidR="00CB522B" w:rsidRDefault="00CB522B" w:rsidP="00CB522B">
      <w:pPr>
        <w:pStyle w:val="a6"/>
        <w:numPr>
          <w:ilvl w:val="1"/>
          <w:numId w:val="38"/>
        </w:numPr>
        <w:ind w:left="1220" w:hanging="420"/>
        <w:rPr>
          <w:rFonts w:asciiTheme="majorHAnsi" w:eastAsiaTheme="majorHAnsi" w:hAnsiTheme="majorHAnsi" w:hint="eastAsia"/>
          <w:b/>
          <w:bCs/>
          <w:color w:val="000000" w:themeColor="text1"/>
          <w:szCs w:val="22"/>
        </w:rPr>
      </w:pPr>
      <w:r>
        <w:rPr>
          <w:rFonts w:asciiTheme="majorHAnsi" w:eastAsiaTheme="majorHAnsi" w:hAnsiTheme="majorHAnsi" w:hint="eastAsia"/>
          <w:b/>
          <w:bCs/>
          <w:color w:val="000000" w:themeColor="text1"/>
          <w:szCs w:val="22"/>
        </w:rPr>
        <w:t>From network scale to alternative network connectivity</w:t>
      </w:r>
    </w:p>
    <w:p w14:paraId="7641558F"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 xml:space="preserve">In the past, shippers evaluated the carriers’ network competitiveness based on the number of calling ports, direct service availability, and voyage frequency. As for forwarders, the key criteria were the number of overseas branches and partners and the range of transportation modes available. However, with recurring supply chain disruptions, the key focus of network assessment is shifting toward securing alternative routes and connectivity when existing routes are disrupted. </w:t>
      </w:r>
    </w:p>
    <w:p w14:paraId="437C50BA"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 xml:space="preserve">Despite many calling ports and broad service scope, a network that is heavily dependent on a particular transshipment port or a strait is vulnerable to disruption; the whole service can be impacted when disruptions occur at the particular branch. On the other hand, even though service scope is relatively limited, cargo flow can be promptly recovered in crisis as long as multiple transshipment ports and alternative routes and a stable inland transport network are secured. As a result, the key point is not the scale of network but the ability to shift to other routes when one of the routes is disrupted. </w:t>
      </w:r>
    </w:p>
    <w:p w14:paraId="1331BA21"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Journal of Commerce[5] highlighted that, as supply</w:t>
      </w:r>
      <w:r>
        <w:rPr>
          <w:rFonts w:ascii="MS Gothic" w:eastAsia="MS Gothic" w:hAnsi="MS Gothic" w:cs="MS Gothic" w:hint="eastAsia"/>
          <w:color w:val="000000" w:themeColor="text1"/>
          <w:sz w:val="20"/>
          <w:szCs w:val="22"/>
        </w:rPr>
        <w:noBreakHyphen/>
      </w:r>
      <w:r>
        <w:rPr>
          <w:rFonts w:hint="eastAsia"/>
          <w:color w:val="000000" w:themeColor="text1"/>
          <w:sz w:val="20"/>
          <w:szCs w:val="22"/>
        </w:rPr>
        <w:t>chain volatility expands, shippers are diversifying short</w:t>
      </w:r>
      <w:r>
        <w:rPr>
          <w:rFonts w:ascii="MS Gothic" w:eastAsia="MS Gothic" w:hAnsi="MS Gothic" w:cs="MS Gothic" w:hint="eastAsia"/>
          <w:color w:val="000000" w:themeColor="text1"/>
          <w:sz w:val="20"/>
          <w:szCs w:val="22"/>
        </w:rPr>
        <w:noBreakHyphen/>
      </w:r>
      <w:r>
        <w:rPr>
          <w:rFonts w:hint="eastAsia"/>
          <w:color w:val="000000" w:themeColor="text1"/>
          <w:sz w:val="20"/>
          <w:szCs w:val="22"/>
        </w:rPr>
        <w:t>haul inland</w:t>
      </w:r>
      <w:r>
        <w:rPr>
          <w:rFonts w:ascii="MS Gothic" w:eastAsia="MS Gothic" w:hAnsi="MS Gothic" w:cs="MS Gothic" w:hint="eastAsia"/>
          <w:color w:val="000000" w:themeColor="text1"/>
          <w:sz w:val="20"/>
          <w:szCs w:val="22"/>
        </w:rPr>
        <w:t xml:space="preserve"> </w:t>
      </w:r>
      <w:r>
        <w:rPr>
          <w:rFonts w:hint="eastAsia"/>
          <w:color w:val="000000" w:themeColor="text1"/>
          <w:sz w:val="20"/>
          <w:szCs w:val="22"/>
        </w:rPr>
        <w:t>transport providers that connect ports with hinterlands. Concentrating volume with a single provider can secure economies of scale in freight</w:t>
      </w:r>
      <w:r>
        <w:rPr>
          <w:rFonts w:ascii="MS Gothic" w:eastAsia="MS Gothic" w:hAnsi="MS Gothic" w:cs="MS Gothic" w:hint="eastAsia"/>
          <w:color w:val="000000" w:themeColor="text1"/>
          <w:sz w:val="20"/>
          <w:szCs w:val="22"/>
        </w:rPr>
        <w:noBreakHyphen/>
      </w:r>
      <w:r>
        <w:rPr>
          <w:rFonts w:hint="eastAsia"/>
          <w:color w:val="000000" w:themeColor="text1"/>
          <w:sz w:val="20"/>
          <w:szCs w:val="22"/>
        </w:rPr>
        <w:t>rate negotiations and operational efficiency. However, if that provider encounters transport capacity constraints, the entire cargo flow from the port to the inland destinations can be disrupted. Consequently, shippers are shifting their strategy toward securing multiple transport providers, strengthening their ability to use alternative providers during disruptions rather than focusing solely on everyday efficiency.</w:t>
      </w:r>
    </w:p>
    <w:p w14:paraId="75BE2D32" w14:textId="77777777" w:rsidR="00CB522B" w:rsidRDefault="00CB522B" w:rsidP="00CB522B">
      <w:pPr>
        <w:jc w:val="both"/>
        <w:rPr>
          <w:rFonts w:hint="eastAsia"/>
          <w:color w:val="000000" w:themeColor="text1"/>
          <w:sz w:val="20"/>
          <w:szCs w:val="22"/>
        </w:rPr>
      </w:pPr>
    </w:p>
    <w:p w14:paraId="1BD8D39F" w14:textId="77777777" w:rsidR="00CB522B" w:rsidRDefault="00CB522B" w:rsidP="00CB522B">
      <w:pPr>
        <w:pStyle w:val="a6"/>
        <w:numPr>
          <w:ilvl w:val="1"/>
          <w:numId w:val="38"/>
        </w:numPr>
        <w:ind w:left="1220" w:hanging="420"/>
        <w:rPr>
          <w:rFonts w:asciiTheme="majorHAnsi" w:eastAsiaTheme="majorHAnsi" w:hAnsiTheme="majorHAnsi" w:hint="eastAsia"/>
          <w:b/>
          <w:bCs/>
          <w:color w:val="000000" w:themeColor="text1"/>
          <w:szCs w:val="22"/>
        </w:rPr>
      </w:pPr>
      <w:r>
        <w:rPr>
          <w:rFonts w:asciiTheme="majorHAnsi" w:eastAsiaTheme="majorHAnsi" w:hAnsiTheme="majorHAnsi" w:hint="eastAsia"/>
          <w:b/>
          <w:bCs/>
          <w:color w:val="000000" w:themeColor="text1"/>
          <w:szCs w:val="22"/>
        </w:rPr>
        <w:t>From reactive response to proactive problem-solving</w:t>
      </w:r>
    </w:p>
    <w:p w14:paraId="683B495C"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Customer service is generally evaluated based on quotation response speed, helpfulness of customer service staff, and claim handling. However, amid the supply chain disruptions, the meaning of responsiveness gets even broader. What matters is not simply replying to inquiries after problems occur, but identifying potential disruptions before they affect shippers’ production and sales and preemptively proposing alternative solutions.</w:t>
      </w:r>
    </w:p>
    <w:p w14:paraId="457A3D04" w14:textId="77777777" w:rsidR="00CB522B" w:rsidRDefault="00CB522B" w:rsidP="00CB522B">
      <w:pPr>
        <w:jc w:val="both"/>
        <w:rPr>
          <w:rFonts w:hint="eastAsia"/>
          <w:color w:val="000000" w:themeColor="text1"/>
          <w:sz w:val="20"/>
          <w:szCs w:val="22"/>
        </w:rPr>
      </w:pPr>
      <w:r>
        <w:rPr>
          <w:rFonts w:hint="eastAsia"/>
          <w:color w:val="000000" w:themeColor="text1"/>
          <w:sz w:val="20"/>
          <w:szCs w:val="22"/>
        </w:rPr>
        <w:t>During disruptions, roles expected of carriers and forwarders can be classified into three stages. First, they must be able to identify potential disruptions early. Second, they have to explain their potential impact on cargo and supply chains. Third, they should provide feasible alternative solutions, including alternative freight space and ports, and modes of transport.</w:t>
      </w:r>
    </w:p>
    <w:p w14:paraId="7D83A02F" w14:textId="77777777" w:rsidR="00CB522B" w:rsidRDefault="00CB522B" w:rsidP="00CB522B">
      <w:pPr>
        <w:ind w:firstLine="800"/>
        <w:rPr>
          <w:rFonts w:hint="eastAsia"/>
          <w:color w:val="000000" w:themeColor="text1"/>
          <w:sz w:val="20"/>
          <w:szCs w:val="22"/>
        </w:rPr>
      </w:pPr>
      <w:r>
        <w:rPr>
          <w:rFonts w:hint="eastAsia"/>
          <w:color w:val="000000" w:themeColor="text1"/>
          <w:sz w:val="20"/>
          <w:szCs w:val="22"/>
        </w:rPr>
        <w:t xml:space="preserve">In particular, a forwarder’s competitiveness derives more from its ability to coordinate </w:t>
      </w:r>
      <w:r>
        <w:rPr>
          <w:rFonts w:hint="eastAsia"/>
          <w:color w:val="000000" w:themeColor="text1"/>
          <w:sz w:val="20"/>
          <w:szCs w:val="22"/>
        </w:rPr>
        <w:lastRenderedPageBreak/>
        <w:t>multiple parties than from its ability to transport cargo directly. Forwarders connect ocean carriers, airlines, trucking companies, rail operators, ports, customs authorities, and warehouse operators. Consequently, a competent forwarder is not a broker that merely secures the lowest freight rates, but a firm that can reconfigure the entire logistics flow in the event of disruptions.</w:t>
      </w:r>
    </w:p>
    <w:p w14:paraId="3DA53432" w14:textId="77777777" w:rsidR="004A20B6" w:rsidRPr="0082151B" w:rsidRDefault="00B226CB" w:rsidP="0059000B">
      <w:pPr>
        <w:ind w:firstLine="800"/>
        <w:rPr>
          <w:rFonts w:asciiTheme="minorHAnsi" w:eastAsiaTheme="minorHAnsi"/>
          <w:color w:val="000000" w:themeColor="text1"/>
          <w:sz w:val="20"/>
          <w:szCs w:val="22"/>
        </w:rPr>
      </w:pPr>
      <w:r w:rsidRPr="00FB7122">
        <w:rPr>
          <w:b/>
          <w:color w:val="000000"/>
        </w:rPr>
        <w:t>2.6 From Location Tracking to Decision Support</w:t>
      </w:r>
    </w:p>
    <w:p w14:paraId="05D0253B" w14:textId="77777777" w:rsidR="00B226CB" w:rsidRPr="0082151B" w:rsidRDefault="00B226CB" w:rsidP="00B226CB">
      <w:pPr>
        <w:jc w:val="both"/>
        <w:rPr>
          <w:rFonts w:asciiTheme="minorHAnsi" w:eastAsiaTheme="minorHAnsi"/>
          <w:color w:val="000000" w:themeColor="text1"/>
          <w:sz w:val="20"/>
          <w:szCs w:val="22"/>
        </w:rPr>
      </w:pPr>
      <w:r>
        <w:rPr>
          <w:color w:val="000000"/>
          <w:sz w:val="20"/>
        </w:rPr>
        <w:t>Digital visibility is an evaluation criterion whose meaning has changed significantly after supply chain disruptions. In the past, cargo tracking was more about checking which port a container departed from and where it currently is. However, what is important to shippers today is not the location information itself, but how that information helps with production and inventory decision-making.</w:t>
      </w:r>
    </w:p>
    <w:p w14:paraId="1D30EB5A" w14:textId="77777777" w:rsidR="00B226CB" w:rsidRPr="00B57C37" w:rsidRDefault="00B226CB" w:rsidP="00B226CB">
      <w:pPr>
        <w:jc w:val="both"/>
        <w:rPr>
          <w:rFonts w:asciiTheme="minorHAnsi" w:eastAsiaTheme="minorHAnsi"/>
          <w:sz w:val="20"/>
          <w:szCs w:val="22"/>
        </w:rPr>
      </w:pPr>
      <w:r>
        <w:rPr>
          <w:color w:val="000000"/>
          <w:sz w:val="20"/>
        </w:rPr>
        <w:t xml:space="preserve">Even if the location of the vessel is provided in real time, it is not much help for </w:t>
      </w:r>
      <w:r w:rsidR="00C60CF3">
        <w:rPr>
          <w:color w:val="000000"/>
          <w:sz w:val="20"/>
        </w:rPr>
        <w:t>a shipper’s</w:t>
      </w:r>
      <w:r>
        <w:rPr>
          <w:color w:val="000000"/>
          <w:sz w:val="20"/>
        </w:rPr>
        <w:t xml:space="preserve"> decision-making if the </w:t>
      </w:r>
      <w:r w:rsidR="00B57C37">
        <w:rPr>
          <w:color w:val="000000"/>
          <w:sz w:val="20"/>
        </w:rPr>
        <w:t>ETA</w:t>
      </w:r>
      <w:r>
        <w:rPr>
          <w:color w:val="000000"/>
          <w:sz w:val="20"/>
        </w:rPr>
        <w:t xml:space="preserve"> continues to change or the </w:t>
      </w:r>
      <w:r w:rsidRPr="00B57C37">
        <w:rPr>
          <w:sz w:val="20"/>
        </w:rPr>
        <w:t xml:space="preserve">possibility of transfer failure cannot be known. The information needed by the </w:t>
      </w:r>
      <w:r w:rsidR="00C60CF3" w:rsidRPr="00B57C37">
        <w:rPr>
          <w:sz w:val="20"/>
        </w:rPr>
        <w:t>shipper</w:t>
      </w:r>
      <w:r w:rsidRPr="00B57C37">
        <w:rPr>
          <w:sz w:val="20"/>
        </w:rPr>
        <w:t xml:space="preserve"> is the accuracy of the </w:t>
      </w:r>
      <w:r w:rsidR="00FA7D75" w:rsidRPr="00B57C37">
        <w:rPr>
          <w:sz w:val="20"/>
        </w:rPr>
        <w:t>ETA</w:t>
      </w:r>
      <w:r w:rsidRPr="00B57C37">
        <w:rPr>
          <w:sz w:val="20"/>
        </w:rPr>
        <w:t>, port congestion and the possibility of docking delays, trans</w:t>
      </w:r>
      <w:r w:rsidR="00C60CF3" w:rsidRPr="00B57C37">
        <w:rPr>
          <w:sz w:val="20"/>
        </w:rPr>
        <w:t>shipment</w:t>
      </w:r>
      <w:r w:rsidRPr="00B57C37">
        <w:rPr>
          <w:sz w:val="20"/>
        </w:rPr>
        <w:t xml:space="preserve"> connections, </w:t>
      </w:r>
      <w:r w:rsidR="00C60CF3" w:rsidRPr="00B57C37">
        <w:rPr>
          <w:sz w:val="20"/>
        </w:rPr>
        <w:t xml:space="preserve">possible </w:t>
      </w:r>
      <w:r w:rsidRPr="00B57C37">
        <w:rPr>
          <w:sz w:val="20"/>
        </w:rPr>
        <w:t xml:space="preserve">container </w:t>
      </w:r>
      <w:r w:rsidR="00337B79" w:rsidRPr="00B57C37">
        <w:rPr>
          <w:sz w:val="20"/>
        </w:rPr>
        <w:t>release</w:t>
      </w:r>
      <w:r w:rsidRPr="00B57C37">
        <w:rPr>
          <w:sz w:val="20"/>
        </w:rPr>
        <w:t xml:space="preserve"> time, and changes in inland transportation schedules.</w:t>
      </w:r>
    </w:p>
    <w:p w14:paraId="78C1A7E5" w14:textId="77777777" w:rsidR="00B226CB" w:rsidRPr="00B57C37" w:rsidRDefault="00B226CB" w:rsidP="00B226CB">
      <w:pPr>
        <w:jc w:val="both"/>
        <w:rPr>
          <w:rFonts w:asciiTheme="minorHAnsi" w:eastAsiaTheme="minorHAnsi"/>
          <w:sz w:val="20"/>
          <w:szCs w:val="22"/>
        </w:rPr>
      </w:pPr>
      <w:r w:rsidRPr="00B57C37">
        <w:rPr>
          <w:sz w:val="20"/>
        </w:rPr>
        <w:t>Therefore, information visibility should be evaluated at three levels. The first is technical visibility, which shows the current status of the cargo. The second is analytical visibility, which predicts the possibility of future delays. The third is operational visibility, which suggests alternatives to respond to delays.</w:t>
      </w:r>
    </w:p>
    <w:p w14:paraId="3852F1FB" w14:textId="40D242BC" w:rsidR="00BB50E5" w:rsidRPr="00B57C37" w:rsidRDefault="00B226CB" w:rsidP="00B226CB">
      <w:pPr>
        <w:jc w:val="both"/>
        <w:rPr>
          <w:rFonts w:asciiTheme="minorHAnsi" w:eastAsiaTheme="minorHAnsi"/>
          <w:sz w:val="20"/>
          <w:szCs w:val="22"/>
        </w:rPr>
      </w:pPr>
      <w:r w:rsidRPr="00B57C37">
        <w:rPr>
          <w:sz w:val="20"/>
        </w:rPr>
        <w:t>Shippers should not evaluate visibili</w:t>
      </w:r>
      <w:r w:rsidR="00A81135">
        <w:rPr>
          <w:sz w:val="20"/>
        </w:rPr>
        <w:t>ty based solely on the platform</w:t>
      </w:r>
      <w:r w:rsidR="00EA2107">
        <w:rPr>
          <w:sz w:val="20"/>
        </w:rPr>
        <w:t xml:space="preserve"> </w:t>
      </w:r>
      <w:r w:rsidRPr="00B57C37">
        <w:rPr>
          <w:sz w:val="20"/>
        </w:rPr>
        <w:t xml:space="preserve">screens or feature lists of carriers and forwarders. They must also review data accuracy, update frequency, reliability of </w:t>
      </w:r>
      <w:r w:rsidR="00FA7D75" w:rsidRPr="00B57C37">
        <w:rPr>
          <w:sz w:val="20"/>
        </w:rPr>
        <w:t>ETA</w:t>
      </w:r>
      <w:r w:rsidRPr="00B57C37">
        <w:rPr>
          <w:sz w:val="20"/>
        </w:rPr>
        <w:t>, API and EDI connectivity, exception notifications, and document accuracy.</w:t>
      </w:r>
    </w:p>
    <w:p w14:paraId="6119F256" w14:textId="77777777" w:rsidR="000B52FD" w:rsidRPr="00B57C37" w:rsidRDefault="000B52FD" w:rsidP="00B226CB">
      <w:pPr>
        <w:jc w:val="both"/>
        <w:rPr>
          <w:rFonts w:asciiTheme="minorHAnsi" w:eastAsiaTheme="minorHAnsi"/>
          <w:sz w:val="20"/>
          <w:szCs w:val="22"/>
        </w:rPr>
      </w:pPr>
    </w:p>
    <w:p w14:paraId="3B72CA5F" w14:textId="77777777" w:rsidR="0059000B" w:rsidRPr="0082151B" w:rsidRDefault="0059000B" w:rsidP="0059000B">
      <w:pPr>
        <w:ind w:firstLine="800"/>
        <w:rPr>
          <w:rFonts w:asciiTheme="minorHAnsi" w:eastAsiaTheme="minorHAnsi"/>
          <w:color w:val="000000" w:themeColor="text1"/>
          <w:sz w:val="20"/>
          <w:szCs w:val="22"/>
        </w:rPr>
      </w:pPr>
      <w:r>
        <w:rPr>
          <w:b/>
          <w:color w:val="000000"/>
        </w:rPr>
        <w:t>2.7 From Corporate Reputation to Integrated Risk Management</w:t>
      </w:r>
    </w:p>
    <w:p w14:paraId="3DCA8564" w14:textId="77777777" w:rsidR="0059000B" w:rsidRPr="0082151B" w:rsidRDefault="0059000B" w:rsidP="0059000B">
      <w:pPr>
        <w:jc w:val="both"/>
        <w:rPr>
          <w:rFonts w:asciiTheme="minorHAnsi" w:eastAsiaTheme="minorHAnsi"/>
          <w:color w:val="000000" w:themeColor="text1"/>
          <w:sz w:val="20"/>
          <w:szCs w:val="22"/>
        </w:rPr>
      </w:pPr>
      <w:r>
        <w:rPr>
          <w:color w:val="000000"/>
          <w:sz w:val="20"/>
        </w:rPr>
        <w:t>The final criterion is risk management and corporate accountability. In the past, the financial soundness of carriers, cargo safety, claims records, and corporate reputation were the main evaluation targets. Recently, the scope of evaluation has expanded to include geopolitical risks, cybersecurity, sanctions and customs regulations, environmental regulations, and business continuity plans.</w:t>
      </w:r>
    </w:p>
    <w:p w14:paraId="1D6C0FDE" w14:textId="77777777" w:rsidR="0059000B" w:rsidRPr="0082151B" w:rsidRDefault="00813AFC" w:rsidP="0059000B">
      <w:pPr>
        <w:jc w:val="both"/>
        <w:rPr>
          <w:rFonts w:asciiTheme="minorHAnsi" w:eastAsiaTheme="minorHAnsi"/>
          <w:color w:val="000000" w:themeColor="text1"/>
          <w:sz w:val="20"/>
          <w:szCs w:val="22"/>
        </w:rPr>
      </w:pPr>
      <w:r>
        <w:rPr>
          <w:color w:val="000000"/>
          <w:sz w:val="20"/>
        </w:rPr>
        <w:t>S</w:t>
      </w:r>
      <w:r w:rsidR="0059000B">
        <w:rPr>
          <w:color w:val="000000"/>
          <w:sz w:val="20"/>
        </w:rPr>
        <w:t>hipper</w:t>
      </w:r>
      <w:r>
        <w:rPr>
          <w:color w:val="000000"/>
          <w:sz w:val="20"/>
        </w:rPr>
        <w:t>s</w:t>
      </w:r>
      <w:r w:rsidR="0059000B">
        <w:rPr>
          <w:color w:val="000000"/>
          <w:sz w:val="20"/>
        </w:rPr>
        <w:t xml:space="preserve"> should check whether </w:t>
      </w:r>
      <w:r>
        <w:rPr>
          <w:color w:val="000000"/>
          <w:sz w:val="20"/>
        </w:rPr>
        <w:t>a</w:t>
      </w:r>
      <w:r w:rsidR="0059000B">
        <w:rPr>
          <w:color w:val="000000"/>
          <w:sz w:val="20"/>
        </w:rPr>
        <w:t xml:space="preserve"> carrier is overly dependent on a particular route or alliance, and whether </w:t>
      </w:r>
      <w:r>
        <w:rPr>
          <w:color w:val="000000"/>
          <w:sz w:val="20"/>
        </w:rPr>
        <w:t>a</w:t>
      </w:r>
      <w:r w:rsidR="0059000B">
        <w:rPr>
          <w:color w:val="000000"/>
          <w:sz w:val="20"/>
        </w:rPr>
        <w:t xml:space="preserve"> forwarder is concentrating volume on a specific carrier or region. It is also an important evaluation factor to determine whether operations can continue if the main information system is interrupted. The existence of a risk management plan in writing is different from having actual response capabilities, so it is necessary to verify what actions were taken in past disruption situations.</w:t>
      </w:r>
    </w:p>
    <w:p w14:paraId="55A97683" w14:textId="5D56F5F2" w:rsidR="0059000B" w:rsidRPr="0082151B" w:rsidRDefault="0059000B" w:rsidP="0059000B">
      <w:pPr>
        <w:jc w:val="both"/>
        <w:rPr>
          <w:rFonts w:asciiTheme="minorHAnsi" w:eastAsiaTheme="minorHAnsi"/>
          <w:color w:val="000000" w:themeColor="text1"/>
          <w:sz w:val="20"/>
          <w:szCs w:val="22"/>
        </w:rPr>
      </w:pPr>
      <w:r>
        <w:rPr>
          <w:color w:val="000000"/>
          <w:sz w:val="20"/>
        </w:rPr>
        <w:lastRenderedPageBreak/>
        <w:t>The ability to respond to environmental regulations is also part of this risk management. Geopoliti</w:t>
      </w:r>
      <w:r w:rsidR="00813AFC">
        <w:rPr>
          <w:color w:val="000000"/>
          <w:sz w:val="20"/>
        </w:rPr>
        <w:t>cal disruptions, such as diversions</w:t>
      </w:r>
      <w:r>
        <w:rPr>
          <w:color w:val="000000"/>
          <w:sz w:val="20"/>
        </w:rPr>
        <w:t xml:space="preserve"> around the Red Sea, can increase transportation distances and fuel consumption, leading to additional costs and increased carbon emissions[6]. Therefore, shippers must evaluate not only their ability to respond to transportation disruptions but also their capacity to manage the environmental and regulatory</w:t>
      </w:r>
      <w:r w:rsidR="00A81135">
        <w:rPr>
          <w:color w:val="000000"/>
          <w:sz w:val="20"/>
        </w:rPr>
        <w:t xml:space="preserve"> burdens arising from such </w:t>
      </w:r>
      <w:r w:rsidR="00EA2107">
        <w:rPr>
          <w:color w:val="000000"/>
          <w:sz w:val="20"/>
        </w:rPr>
        <w:t>o</w:t>
      </w:r>
      <w:r>
        <w:rPr>
          <w:color w:val="000000"/>
          <w:sz w:val="20"/>
        </w:rPr>
        <w:t>ptions.</w:t>
      </w:r>
    </w:p>
    <w:p w14:paraId="613468A3" w14:textId="77777777" w:rsidR="009D734E" w:rsidRDefault="009D734E" w:rsidP="0059000B">
      <w:pPr>
        <w:jc w:val="both"/>
        <w:rPr>
          <w:rFonts w:asciiTheme="minorHAnsi" w:eastAsiaTheme="minorHAnsi"/>
          <w:sz w:val="20"/>
          <w:szCs w:val="22"/>
        </w:rPr>
      </w:pPr>
    </w:p>
    <w:p w14:paraId="329F2861" w14:textId="77777777" w:rsidR="009D734E" w:rsidRDefault="009D734E" w:rsidP="0059000B">
      <w:pPr>
        <w:jc w:val="both"/>
        <w:rPr>
          <w:rFonts w:asciiTheme="minorHAnsi" w:eastAsiaTheme="minorHAnsi"/>
          <w:b/>
          <w:bCs/>
          <w:sz w:val="20"/>
          <w:szCs w:val="22"/>
        </w:rPr>
      </w:pPr>
      <w:r>
        <w:rPr>
          <w:b/>
          <w:sz w:val="20"/>
        </w:rPr>
        <w:t>[Table 1] Carrier and Forwarder Evaluation Checklist for Shippers</w:t>
      </w:r>
    </w:p>
    <w:p w14:paraId="1EDCF20C" w14:textId="77777777" w:rsidR="009D734E" w:rsidRDefault="009D734E" w:rsidP="0059000B">
      <w:pPr>
        <w:jc w:val="both"/>
        <w:rPr>
          <w:rFonts w:asciiTheme="minorHAnsi" w:eastAsiaTheme="minorHAnsi"/>
          <w:b/>
          <w:bCs/>
          <w:sz w:val="20"/>
          <w:szCs w:val="22"/>
        </w:rPr>
      </w:pPr>
    </w:p>
    <w:p w14:paraId="1D3E83EA" w14:textId="77777777" w:rsidR="009D734E" w:rsidRPr="009D734E" w:rsidRDefault="009D734E" w:rsidP="009D734E">
      <w:pPr>
        <w:spacing w:after="300"/>
        <w:jc w:val="center"/>
        <w:rPr>
          <w:rFonts w:asciiTheme="minorHAnsi" w:eastAsiaTheme="minorHAnsi"/>
        </w:rPr>
      </w:pPr>
      <w:r>
        <w:rPr>
          <w:color w:val="595959"/>
          <w:sz w:val="20"/>
        </w:rPr>
        <w:t>— In the Era of Supply Chain Disruptions, Comparing New and Old Perspectives on Seven Criteria —</w:t>
      </w:r>
    </w:p>
    <w:tbl>
      <w:tblPr>
        <w:tblW w:w="8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96"/>
        <w:gridCol w:w="1646"/>
        <w:gridCol w:w="1631"/>
        <w:gridCol w:w="1598"/>
        <w:gridCol w:w="1881"/>
        <w:gridCol w:w="1796"/>
      </w:tblGrid>
      <w:tr w:rsidR="00B66DAE" w14:paraId="34D775BA" w14:textId="77777777" w:rsidTr="00972D9C">
        <w:trPr>
          <w:trHeight w:val="1086"/>
          <w:tblHeader/>
        </w:trPr>
        <w:tc>
          <w:tcPr>
            <w:tcW w:w="396" w:type="dxa"/>
            <w:shd w:val="clear" w:color="auto" w:fill="1F4E79"/>
          </w:tcPr>
          <w:p w14:paraId="02575B6A" w14:textId="77777777" w:rsidR="009D734E" w:rsidRPr="00C35608" w:rsidRDefault="00D86136" w:rsidP="00807112">
            <w:pPr>
              <w:jc w:val="center"/>
              <w:rPr>
                <w:rFonts w:asciiTheme="minorHAnsi" w:eastAsiaTheme="minorHAnsi"/>
                <w:b/>
                <w:bCs/>
                <w:sz w:val="18"/>
                <w:szCs w:val="18"/>
              </w:rPr>
            </w:pPr>
            <w:r w:rsidRPr="00C35608">
              <w:rPr>
                <w:rFonts w:asciiTheme="minorHAnsi" w:eastAsiaTheme="minorHAnsi" w:hint="eastAsia"/>
                <w:b/>
                <w:bCs/>
                <w:color w:val="FFFFFF" w:themeColor="background1"/>
                <w:sz w:val="18"/>
                <w:szCs w:val="18"/>
              </w:rPr>
              <w:t>NO</w:t>
            </w:r>
            <w:r w:rsidR="00DB0268" w:rsidRPr="00C35608">
              <w:rPr>
                <w:rFonts w:asciiTheme="minorHAnsi" w:eastAsiaTheme="minorHAnsi" w:hint="eastAsia"/>
                <w:b/>
                <w:bCs/>
                <w:color w:val="FFFFFF" w:themeColor="background1"/>
                <w:sz w:val="18"/>
                <w:szCs w:val="18"/>
              </w:rPr>
              <w:t>.</w:t>
            </w:r>
          </w:p>
        </w:tc>
        <w:tc>
          <w:tcPr>
            <w:tcW w:w="1646" w:type="dxa"/>
            <w:shd w:val="clear" w:color="auto" w:fill="1F4E79"/>
          </w:tcPr>
          <w:p w14:paraId="6C5A95D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Evaluation Criteria</w:t>
            </w:r>
          </w:p>
        </w:tc>
        <w:tc>
          <w:tcPr>
            <w:tcW w:w="1631" w:type="dxa"/>
            <w:shd w:val="clear" w:color="auto" w:fill="1F4E79"/>
          </w:tcPr>
          <w:p w14:paraId="6A33835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Past perspective</w:t>
            </w:r>
          </w:p>
        </w:tc>
        <w:tc>
          <w:tcPr>
            <w:tcW w:w="1598" w:type="dxa"/>
            <w:shd w:val="clear" w:color="auto" w:fill="1F4E79"/>
          </w:tcPr>
          <w:p w14:paraId="5542ABE5"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Perspective after Supply Chain Disruption</w:t>
            </w:r>
          </w:p>
        </w:tc>
        <w:tc>
          <w:tcPr>
            <w:tcW w:w="1881" w:type="dxa"/>
            <w:shd w:val="clear" w:color="auto" w:fill="1F4E79"/>
          </w:tcPr>
          <w:p w14:paraId="79C963BA"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Key Evaluation Questions</w:t>
            </w:r>
          </w:p>
        </w:tc>
        <w:tc>
          <w:tcPr>
            <w:tcW w:w="1796" w:type="dxa"/>
            <w:shd w:val="clear" w:color="auto" w:fill="1F4E79"/>
          </w:tcPr>
          <w:p w14:paraId="3E03DA38" w14:textId="77777777" w:rsidR="009B7B28" w:rsidRPr="00C35608" w:rsidRDefault="005F7D70" w:rsidP="00807112">
            <w:pPr>
              <w:jc w:val="center"/>
              <w:rPr>
                <w:color w:val="FFFFFF" w:themeColor="background1"/>
                <w:sz w:val="18"/>
                <w:szCs w:val="18"/>
              </w:rPr>
            </w:pPr>
            <w:r w:rsidRPr="00C35608">
              <w:rPr>
                <w:color w:val="FFFFFF" w:themeColor="background1"/>
                <w:sz w:val="18"/>
                <w:szCs w:val="18"/>
              </w:rPr>
              <w:t>Shipper Practical Check List</w:t>
            </w:r>
          </w:p>
        </w:tc>
      </w:tr>
      <w:tr w:rsidR="00B66DAE" w14:paraId="7C42DE91" w14:textId="77777777" w:rsidTr="00972D9C">
        <w:trPr>
          <w:trHeight w:val="4664"/>
        </w:trPr>
        <w:tc>
          <w:tcPr>
            <w:tcW w:w="396" w:type="dxa"/>
            <w:shd w:val="clear" w:color="auto" w:fill="F2F2F2"/>
          </w:tcPr>
          <w:p w14:paraId="48CC432D" w14:textId="77777777" w:rsidR="009B7B28" w:rsidRPr="00C35608" w:rsidRDefault="005F7D70">
            <w:pPr>
              <w:rPr>
                <w:sz w:val="18"/>
                <w:szCs w:val="18"/>
              </w:rPr>
            </w:pPr>
            <w:r w:rsidRPr="00C35608">
              <w:rPr>
                <w:sz w:val="18"/>
                <w:szCs w:val="18"/>
              </w:rPr>
              <w:t>1</w:t>
            </w:r>
          </w:p>
        </w:tc>
        <w:tc>
          <w:tcPr>
            <w:tcW w:w="1646" w:type="dxa"/>
            <w:shd w:val="clear" w:color="auto" w:fill="F2F2F2"/>
          </w:tcPr>
          <w:p w14:paraId="5F39F0AF" w14:textId="77777777" w:rsidR="009B7B28" w:rsidRPr="00C35608" w:rsidRDefault="005F7D70">
            <w:pPr>
              <w:rPr>
                <w:sz w:val="18"/>
                <w:szCs w:val="18"/>
              </w:rPr>
            </w:pPr>
            <w:r w:rsidRPr="00C35608">
              <w:rPr>
                <w:sz w:val="18"/>
                <w:szCs w:val="18"/>
              </w:rPr>
              <w:t xml:space="preserve">Cost and </w:t>
            </w:r>
            <w:r w:rsidR="00B66DAE" w:rsidRPr="00C35608">
              <w:rPr>
                <w:sz w:val="18"/>
                <w:szCs w:val="18"/>
              </w:rPr>
              <w:t>p</w:t>
            </w:r>
            <w:r w:rsidRPr="00C35608">
              <w:rPr>
                <w:sz w:val="18"/>
                <w:szCs w:val="18"/>
              </w:rPr>
              <w:t>rice Stability</w:t>
            </w:r>
          </w:p>
        </w:tc>
        <w:tc>
          <w:tcPr>
            <w:tcW w:w="1631" w:type="dxa"/>
            <w:shd w:val="clear" w:color="auto" w:fill="F2F2F2"/>
          </w:tcPr>
          <w:p w14:paraId="4CD35386" w14:textId="77777777" w:rsidR="009B7B28" w:rsidRPr="00C35608" w:rsidRDefault="005F7D70" w:rsidP="00807112">
            <w:pPr>
              <w:rPr>
                <w:sz w:val="18"/>
                <w:szCs w:val="18"/>
              </w:rPr>
            </w:pPr>
            <w:r w:rsidRPr="00C35608">
              <w:rPr>
                <w:sz w:val="18"/>
                <w:szCs w:val="18"/>
              </w:rPr>
              <w:t xml:space="preserve">Securing the lowest </w:t>
            </w:r>
            <w:r w:rsidR="00807112" w:rsidRPr="00C35608">
              <w:rPr>
                <w:sz w:val="18"/>
                <w:szCs w:val="18"/>
              </w:rPr>
              <w:t>freight rate</w:t>
            </w:r>
          </w:p>
        </w:tc>
        <w:tc>
          <w:tcPr>
            <w:tcW w:w="1598" w:type="dxa"/>
            <w:shd w:val="clear" w:color="auto" w:fill="F2F2F2"/>
          </w:tcPr>
          <w:p w14:paraId="62380F5F" w14:textId="77777777" w:rsidR="009B7B28" w:rsidRPr="00C35608" w:rsidRDefault="005F7D70">
            <w:pPr>
              <w:rPr>
                <w:sz w:val="18"/>
                <w:szCs w:val="18"/>
              </w:rPr>
            </w:pPr>
            <w:r w:rsidRPr="00C35608">
              <w:rPr>
                <w:sz w:val="18"/>
                <w:szCs w:val="18"/>
              </w:rPr>
              <w:t>Minimize risk-adjusted logistics costs</w:t>
            </w:r>
          </w:p>
        </w:tc>
        <w:tc>
          <w:tcPr>
            <w:tcW w:w="1881" w:type="dxa"/>
            <w:shd w:val="clear" w:color="auto" w:fill="F2F2F2"/>
          </w:tcPr>
          <w:p w14:paraId="1BB2AB98" w14:textId="77777777" w:rsidR="009B7B28" w:rsidRPr="00C35608" w:rsidRDefault="005F7D70">
            <w:pPr>
              <w:rPr>
                <w:sz w:val="18"/>
                <w:szCs w:val="18"/>
              </w:rPr>
            </w:pPr>
            <w:r w:rsidRPr="00C35608">
              <w:rPr>
                <w:sz w:val="18"/>
                <w:szCs w:val="18"/>
              </w:rPr>
              <w:t>Is it the most economical from the perspective of actual costs rather than surface rates?</w:t>
            </w:r>
          </w:p>
        </w:tc>
        <w:tc>
          <w:tcPr>
            <w:tcW w:w="1796" w:type="dxa"/>
            <w:shd w:val="clear" w:color="auto" w:fill="F2F2F2"/>
          </w:tcPr>
          <w:p w14:paraId="306DB844" w14:textId="77777777" w:rsidR="009B7B28" w:rsidRPr="00C35608" w:rsidRDefault="005F7D70">
            <w:pPr>
              <w:rPr>
                <w:sz w:val="18"/>
                <w:szCs w:val="18"/>
              </w:rPr>
            </w:pPr>
            <w:r w:rsidRPr="00C35608">
              <w:rPr>
                <w:sz w:val="18"/>
                <w:szCs w:val="18"/>
              </w:rPr>
              <w:t>□</w:t>
            </w:r>
            <w:r w:rsidR="00807112" w:rsidRPr="00C35608">
              <w:rPr>
                <w:sz w:val="18"/>
                <w:szCs w:val="18"/>
              </w:rPr>
              <w:t xml:space="preserve"> Basic freight and s</w:t>
            </w:r>
            <w:r w:rsidRPr="00C35608">
              <w:rPr>
                <w:sz w:val="18"/>
                <w:szCs w:val="18"/>
              </w:rPr>
              <w:t>urcharges</w:t>
            </w:r>
            <w:r w:rsidR="00807112" w:rsidRPr="00C35608">
              <w:rPr>
                <w:sz w:val="18"/>
                <w:szCs w:val="18"/>
              </w:rPr>
              <w:t xml:space="preserve"> (BAF/PSS/Detention/Demurrage) t</w:t>
            </w:r>
            <w:r w:rsidRPr="00C35608">
              <w:rPr>
                <w:sz w:val="18"/>
                <w:szCs w:val="18"/>
              </w:rPr>
              <w:t>ransparency</w:t>
            </w:r>
            <w:r w:rsidRPr="00C35608">
              <w:rPr>
                <w:sz w:val="18"/>
                <w:szCs w:val="18"/>
              </w:rPr>
              <w:br/>
              <w:t>□ Conditions for imposition of surcharges during the contract period</w:t>
            </w:r>
            <w:r w:rsidRPr="00C35608">
              <w:rPr>
                <w:sz w:val="18"/>
                <w:szCs w:val="18"/>
              </w:rPr>
              <w:br/>
              <w:t>□ Cost burden structure in case of inventory, delay, and urgent transportation</w:t>
            </w:r>
            <w:r w:rsidRPr="00C35608">
              <w:rPr>
                <w:sz w:val="18"/>
                <w:szCs w:val="18"/>
              </w:rPr>
              <w:br/>
              <w:t>□ Whether to provide basis for calculation of risk-adjusted logistics costs</w:t>
            </w:r>
          </w:p>
        </w:tc>
      </w:tr>
      <w:tr w:rsidR="00B66DAE" w14:paraId="0A6CB2B7" w14:textId="77777777" w:rsidTr="00972D9C">
        <w:trPr>
          <w:trHeight w:val="504"/>
        </w:trPr>
        <w:tc>
          <w:tcPr>
            <w:tcW w:w="396" w:type="dxa"/>
          </w:tcPr>
          <w:p w14:paraId="2C616706" w14:textId="77777777" w:rsidR="009B7B28" w:rsidRPr="00C35608" w:rsidRDefault="005F7D70">
            <w:pPr>
              <w:rPr>
                <w:sz w:val="18"/>
                <w:szCs w:val="18"/>
              </w:rPr>
            </w:pPr>
            <w:r w:rsidRPr="00C35608">
              <w:rPr>
                <w:sz w:val="18"/>
                <w:szCs w:val="18"/>
              </w:rPr>
              <w:t>2</w:t>
            </w:r>
          </w:p>
        </w:tc>
        <w:tc>
          <w:tcPr>
            <w:tcW w:w="1646" w:type="dxa"/>
          </w:tcPr>
          <w:p w14:paraId="2FBA1EE2" w14:textId="77777777" w:rsidR="00B66DAE" w:rsidRPr="00C35608" w:rsidRDefault="00807112">
            <w:pPr>
              <w:rPr>
                <w:sz w:val="18"/>
                <w:szCs w:val="18"/>
              </w:rPr>
            </w:pPr>
            <w:r w:rsidRPr="00C35608">
              <w:rPr>
                <w:sz w:val="18"/>
                <w:szCs w:val="18"/>
              </w:rPr>
              <w:t>Transit</w:t>
            </w:r>
            <w:r w:rsidR="005F7D70" w:rsidRPr="00C35608">
              <w:rPr>
                <w:sz w:val="18"/>
                <w:szCs w:val="18"/>
              </w:rPr>
              <w:t xml:space="preserve"> time·</w:t>
            </w:r>
          </w:p>
          <w:p w14:paraId="123F8571" w14:textId="77777777" w:rsidR="009B7B28" w:rsidRPr="00C35608" w:rsidRDefault="005F7D70">
            <w:pPr>
              <w:rPr>
                <w:sz w:val="18"/>
                <w:szCs w:val="18"/>
              </w:rPr>
            </w:pPr>
            <w:r w:rsidRPr="00C35608">
              <w:rPr>
                <w:sz w:val="18"/>
                <w:szCs w:val="18"/>
              </w:rPr>
              <w:t>Schedule reliability</w:t>
            </w:r>
          </w:p>
        </w:tc>
        <w:tc>
          <w:tcPr>
            <w:tcW w:w="1631" w:type="dxa"/>
          </w:tcPr>
          <w:p w14:paraId="29EF0284" w14:textId="77777777" w:rsidR="009B7B28" w:rsidRPr="00C35608" w:rsidRDefault="005F7D70">
            <w:pPr>
              <w:rPr>
                <w:sz w:val="18"/>
                <w:szCs w:val="18"/>
              </w:rPr>
            </w:pPr>
            <w:r w:rsidRPr="00C35608">
              <w:rPr>
                <w:sz w:val="18"/>
                <w:szCs w:val="18"/>
              </w:rPr>
              <w:t>Short average transit time, high sailing frequency</w:t>
            </w:r>
          </w:p>
        </w:tc>
        <w:tc>
          <w:tcPr>
            <w:tcW w:w="1598" w:type="dxa"/>
          </w:tcPr>
          <w:p w14:paraId="514039D9" w14:textId="77777777" w:rsidR="009B7B28" w:rsidRPr="00C35608" w:rsidRDefault="00393FE1">
            <w:pPr>
              <w:rPr>
                <w:sz w:val="18"/>
                <w:szCs w:val="18"/>
              </w:rPr>
            </w:pPr>
            <w:r w:rsidRPr="00C35608">
              <w:rPr>
                <w:sz w:val="18"/>
                <w:szCs w:val="18"/>
              </w:rPr>
              <w:t>Transit</w:t>
            </w:r>
            <w:r w:rsidR="005F7D70" w:rsidRPr="00C35608">
              <w:rPr>
                <w:sz w:val="18"/>
                <w:szCs w:val="18"/>
              </w:rPr>
              <w:t xml:space="preserve"> time variability, recoverability</w:t>
            </w:r>
          </w:p>
        </w:tc>
        <w:tc>
          <w:tcPr>
            <w:tcW w:w="1881" w:type="dxa"/>
          </w:tcPr>
          <w:p w14:paraId="27F82701" w14:textId="77777777" w:rsidR="009B7B28" w:rsidRPr="00C35608" w:rsidRDefault="005F7D70" w:rsidP="00393FE1">
            <w:pPr>
              <w:rPr>
                <w:sz w:val="18"/>
                <w:szCs w:val="18"/>
              </w:rPr>
            </w:pPr>
            <w:r w:rsidRPr="00C35608">
              <w:rPr>
                <w:sz w:val="18"/>
                <w:szCs w:val="18"/>
              </w:rPr>
              <w:t xml:space="preserve">How accurately is the scheduled </w:t>
            </w:r>
            <w:r w:rsidR="00393FE1" w:rsidRPr="00C35608">
              <w:rPr>
                <w:sz w:val="18"/>
                <w:szCs w:val="18"/>
              </w:rPr>
              <w:t>ETA</w:t>
            </w:r>
            <w:r w:rsidRPr="00C35608">
              <w:rPr>
                <w:sz w:val="18"/>
                <w:szCs w:val="18"/>
              </w:rPr>
              <w:t xml:space="preserve"> kept?</w:t>
            </w:r>
          </w:p>
        </w:tc>
        <w:tc>
          <w:tcPr>
            <w:tcW w:w="1796" w:type="dxa"/>
          </w:tcPr>
          <w:p w14:paraId="75FD1DCA" w14:textId="77777777" w:rsidR="009B7B28" w:rsidRPr="00C35608" w:rsidRDefault="005F7D70" w:rsidP="00393FE1">
            <w:pPr>
              <w:rPr>
                <w:sz w:val="18"/>
                <w:szCs w:val="18"/>
              </w:rPr>
            </w:pPr>
            <w:r w:rsidRPr="00C35608">
              <w:rPr>
                <w:sz w:val="18"/>
                <w:szCs w:val="18"/>
              </w:rPr>
              <w:t>□ 12-Month Performance Data</w:t>
            </w:r>
            <w:r w:rsidR="00393FE1" w:rsidRPr="00C35608">
              <w:rPr>
                <w:sz w:val="18"/>
                <w:szCs w:val="18"/>
              </w:rPr>
              <w:t xml:space="preserve"> of On-Time Performance (OTP)</w:t>
            </w:r>
            <w:r w:rsidRPr="00C35608">
              <w:rPr>
                <w:sz w:val="18"/>
                <w:szCs w:val="18"/>
              </w:rPr>
              <w:br/>
              <w:t>□ Standard deviation of actual transit time</w:t>
            </w:r>
            <w:r w:rsidRPr="00C35608">
              <w:rPr>
                <w:sz w:val="18"/>
                <w:szCs w:val="18"/>
              </w:rPr>
              <w:br/>
            </w:r>
            <w:r w:rsidRPr="00C35608">
              <w:rPr>
                <w:sz w:val="18"/>
                <w:szCs w:val="18"/>
              </w:rPr>
              <w:lastRenderedPageBreak/>
              <w:t>□ Cargo rollover rate</w:t>
            </w:r>
            <w:r w:rsidRPr="00C35608">
              <w:rPr>
                <w:sz w:val="18"/>
                <w:szCs w:val="18"/>
              </w:rPr>
              <w:br/>
              <w:t>□ Blank sailing frequency</w:t>
            </w:r>
            <w:r w:rsidRPr="00C35608">
              <w:rPr>
                <w:sz w:val="18"/>
                <w:szCs w:val="18"/>
              </w:rPr>
              <w:br/>
              <w:t>□ Transshipment failure rate</w:t>
            </w:r>
          </w:p>
        </w:tc>
      </w:tr>
      <w:tr w:rsidR="00B66DAE" w14:paraId="01EDC258" w14:textId="77777777" w:rsidTr="00972D9C">
        <w:trPr>
          <w:trHeight w:val="4472"/>
        </w:trPr>
        <w:tc>
          <w:tcPr>
            <w:tcW w:w="396" w:type="dxa"/>
            <w:shd w:val="clear" w:color="auto" w:fill="F2F2F2"/>
          </w:tcPr>
          <w:p w14:paraId="0710D25A" w14:textId="77777777" w:rsidR="009B7B28" w:rsidRPr="00C35608" w:rsidRDefault="005F7D70">
            <w:pPr>
              <w:rPr>
                <w:sz w:val="18"/>
                <w:szCs w:val="18"/>
              </w:rPr>
            </w:pPr>
            <w:r w:rsidRPr="00C35608">
              <w:rPr>
                <w:sz w:val="18"/>
                <w:szCs w:val="18"/>
              </w:rPr>
              <w:lastRenderedPageBreak/>
              <w:t>3</w:t>
            </w:r>
          </w:p>
        </w:tc>
        <w:tc>
          <w:tcPr>
            <w:tcW w:w="1646" w:type="dxa"/>
            <w:shd w:val="clear" w:color="auto" w:fill="F2F2F2"/>
          </w:tcPr>
          <w:p w14:paraId="2B627F31" w14:textId="77777777" w:rsidR="009B7B28" w:rsidRPr="00C35608" w:rsidRDefault="00B66DAE">
            <w:pPr>
              <w:rPr>
                <w:sz w:val="18"/>
                <w:szCs w:val="18"/>
              </w:rPr>
            </w:pPr>
            <w:r w:rsidRPr="00C35608">
              <w:rPr>
                <w:sz w:val="18"/>
                <w:szCs w:val="18"/>
              </w:rPr>
              <w:t>Capacity and equipment a</w:t>
            </w:r>
            <w:r w:rsidR="005F7D70" w:rsidRPr="00C35608">
              <w:rPr>
                <w:sz w:val="18"/>
                <w:szCs w:val="18"/>
              </w:rPr>
              <w:t>vailability</w:t>
            </w:r>
          </w:p>
        </w:tc>
        <w:tc>
          <w:tcPr>
            <w:tcW w:w="1631" w:type="dxa"/>
            <w:shd w:val="clear" w:color="auto" w:fill="F2F2F2"/>
          </w:tcPr>
          <w:p w14:paraId="7CB652FD" w14:textId="77777777" w:rsidR="009B7B28" w:rsidRPr="00C35608" w:rsidRDefault="00393FE1">
            <w:pPr>
              <w:rPr>
                <w:sz w:val="18"/>
                <w:szCs w:val="18"/>
              </w:rPr>
            </w:pPr>
            <w:r w:rsidRPr="00C35608">
              <w:rPr>
                <w:sz w:val="18"/>
                <w:szCs w:val="18"/>
              </w:rPr>
              <w:t>Secure peak season capacity</w:t>
            </w:r>
          </w:p>
        </w:tc>
        <w:tc>
          <w:tcPr>
            <w:tcW w:w="1598" w:type="dxa"/>
            <w:shd w:val="clear" w:color="auto" w:fill="F2F2F2"/>
          </w:tcPr>
          <w:p w14:paraId="799AAC18" w14:textId="77777777" w:rsidR="009B7B28" w:rsidRPr="00C35608" w:rsidRDefault="005F7D70">
            <w:pPr>
              <w:rPr>
                <w:sz w:val="18"/>
                <w:szCs w:val="18"/>
              </w:rPr>
            </w:pPr>
            <w:r w:rsidRPr="00C35608">
              <w:rPr>
                <w:sz w:val="18"/>
                <w:szCs w:val="18"/>
              </w:rPr>
              <w:t>Transportation capacity available even during disruptions</w:t>
            </w:r>
          </w:p>
        </w:tc>
        <w:tc>
          <w:tcPr>
            <w:tcW w:w="1881" w:type="dxa"/>
            <w:shd w:val="clear" w:color="auto" w:fill="F2F2F2"/>
          </w:tcPr>
          <w:p w14:paraId="3DC8FC0C" w14:textId="77777777" w:rsidR="009B7B28" w:rsidRPr="00C35608" w:rsidRDefault="00393FE1" w:rsidP="00393FE1">
            <w:pPr>
              <w:rPr>
                <w:sz w:val="18"/>
                <w:szCs w:val="18"/>
              </w:rPr>
            </w:pPr>
            <w:r w:rsidRPr="00C35608">
              <w:rPr>
                <w:sz w:val="18"/>
                <w:szCs w:val="18"/>
              </w:rPr>
              <w:t>Can we actually secure</w:t>
            </w:r>
            <w:r w:rsidR="005F7D70" w:rsidRPr="00C35608">
              <w:rPr>
                <w:sz w:val="18"/>
                <w:szCs w:val="18"/>
              </w:rPr>
              <w:t xml:space="preserve"> </w:t>
            </w:r>
            <w:r w:rsidRPr="00C35608">
              <w:rPr>
                <w:sz w:val="18"/>
                <w:szCs w:val="18"/>
              </w:rPr>
              <w:t>capacity</w:t>
            </w:r>
            <w:r w:rsidR="005F7D70" w:rsidRPr="00C35608">
              <w:rPr>
                <w:sz w:val="18"/>
                <w:szCs w:val="18"/>
              </w:rPr>
              <w:t xml:space="preserve"> at the needed time?</w:t>
            </w:r>
          </w:p>
        </w:tc>
        <w:tc>
          <w:tcPr>
            <w:tcW w:w="1796" w:type="dxa"/>
            <w:shd w:val="clear" w:color="auto" w:fill="F2F2F2"/>
          </w:tcPr>
          <w:p w14:paraId="627A1E6A" w14:textId="77777777" w:rsidR="009B7B28" w:rsidRPr="00C35608" w:rsidRDefault="005F7D70" w:rsidP="00E126BF">
            <w:pPr>
              <w:rPr>
                <w:sz w:val="18"/>
                <w:szCs w:val="18"/>
              </w:rPr>
            </w:pPr>
            <w:r w:rsidRPr="00C35608">
              <w:rPr>
                <w:sz w:val="18"/>
                <w:szCs w:val="18"/>
              </w:rPr>
              <w:t>□ Level of actual capacity guaranteed compared to annual contract minimum volume</w:t>
            </w:r>
            <w:r w:rsidRPr="00C35608">
              <w:rPr>
                <w:sz w:val="18"/>
                <w:szCs w:val="18"/>
              </w:rPr>
              <w:br/>
              <w:t>□ Terms of supply for empty/reefer/special containers</w:t>
            </w:r>
            <w:r w:rsidRPr="00C35608">
              <w:rPr>
                <w:sz w:val="18"/>
                <w:szCs w:val="18"/>
              </w:rPr>
              <w:br/>
              <w:t xml:space="preserve">□ Criteria and priority for </w:t>
            </w:r>
            <w:r w:rsidR="00E126BF" w:rsidRPr="00C35608">
              <w:rPr>
                <w:sz w:val="18"/>
                <w:szCs w:val="18"/>
              </w:rPr>
              <w:t>rollover</w:t>
            </w:r>
            <w:r w:rsidRPr="00C35608">
              <w:rPr>
                <w:sz w:val="18"/>
                <w:szCs w:val="18"/>
              </w:rPr>
              <w:br/>
              <w:t>□ Provision of alternative options in case of cancellations</w:t>
            </w:r>
            <w:r w:rsidRPr="00C35608">
              <w:rPr>
                <w:sz w:val="18"/>
                <w:szCs w:val="18"/>
              </w:rPr>
              <w:br/>
              <w:t>□ Accessibility to multiple carrier capacity (when evaluating forwarders)</w:t>
            </w:r>
          </w:p>
        </w:tc>
      </w:tr>
      <w:tr w:rsidR="00B66DAE" w14:paraId="11707ADC" w14:textId="77777777" w:rsidTr="00972D9C">
        <w:trPr>
          <w:trHeight w:val="4964"/>
        </w:trPr>
        <w:tc>
          <w:tcPr>
            <w:tcW w:w="396" w:type="dxa"/>
          </w:tcPr>
          <w:p w14:paraId="19456AC9" w14:textId="77777777" w:rsidR="009B7B28" w:rsidRPr="00C35608" w:rsidRDefault="005F7D70">
            <w:pPr>
              <w:rPr>
                <w:sz w:val="18"/>
                <w:szCs w:val="18"/>
              </w:rPr>
            </w:pPr>
            <w:r w:rsidRPr="00C35608">
              <w:rPr>
                <w:sz w:val="18"/>
                <w:szCs w:val="18"/>
              </w:rPr>
              <w:lastRenderedPageBreak/>
              <w:t>4</w:t>
            </w:r>
          </w:p>
        </w:tc>
        <w:tc>
          <w:tcPr>
            <w:tcW w:w="1646" w:type="dxa"/>
          </w:tcPr>
          <w:p w14:paraId="171E5912" w14:textId="77777777" w:rsidR="00B66DAE" w:rsidRPr="00C35608" w:rsidRDefault="005F7D70">
            <w:pPr>
              <w:rPr>
                <w:sz w:val="18"/>
                <w:szCs w:val="18"/>
              </w:rPr>
            </w:pPr>
            <w:r w:rsidRPr="00C35608">
              <w:rPr>
                <w:sz w:val="18"/>
                <w:szCs w:val="18"/>
              </w:rPr>
              <w:t>Network·</w:t>
            </w:r>
          </w:p>
          <w:p w14:paraId="024BCCED" w14:textId="77777777" w:rsidR="009B7B28" w:rsidRPr="00C35608" w:rsidRDefault="005F7D70">
            <w:pPr>
              <w:rPr>
                <w:sz w:val="18"/>
                <w:szCs w:val="18"/>
              </w:rPr>
            </w:pPr>
            <w:r w:rsidRPr="00C35608">
              <w:rPr>
                <w:sz w:val="18"/>
                <w:szCs w:val="18"/>
              </w:rPr>
              <w:t>Connectivity</w:t>
            </w:r>
          </w:p>
        </w:tc>
        <w:tc>
          <w:tcPr>
            <w:tcW w:w="1631" w:type="dxa"/>
          </w:tcPr>
          <w:p w14:paraId="31015B38" w14:textId="77777777" w:rsidR="009B7B28" w:rsidRPr="00C35608" w:rsidRDefault="005F7D70">
            <w:pPr>
              <w:rPr>
                <w:sz w:val="18"/>
                <w:szCs w:val="18"/>
              </w:rPr>
            </w:pPr>
            <w:r w:rsidRPr="00C35608">
              <w:rPr>
                <w:sz w:val="18"/>
                <w:szCs w:val="18"/>
              </w:rPr>
              <w:t>Number of ports of call, direct flight service, frequency of routes</w:t>
            </w:r>
          </w:p>
        </w:tc>
        <w:tc>
          <w:tcPr>
            <w:tcW w:w="1598" w:type="dxa"/>
          </w:tcPr>
          <w:p w14:paraId="1C1532E3" w14:textId="77777777" w:rsidR="009B7B28" w:rsidRPr="00C35608" w:rsidRDefault="00393FE1" w:rsidP="00393FE1">
            <w:pPr>
              <w:rPr>
                <w:sz w:val="18"/>
                <w:szCs w:val="18"/>
              </w:rPr>
            </w:pPr>
            <w:r w:rsidRPr="00C35608">
              <w:rPr>
                <w:sz w:val="18"/>
                <w:szCs w:val="18"/>
              </w:rPr>
              <w:t>Capacity for securing a</w:t>
            </w:r>
            <w:r w:rsidR="005F7D70" w:rsidRPr="00C35608">
              <w:rPr>
                <w:sz w:val="18"/>
                <w:szCs w:val="18"/>
              </w:rPr>
              <w:t>lternative route</w:t>
            </w:r>
            <w:r w:rsidRPr="00C35608">
              <w:rPr>
                <w:sz w:val="18"/>
                <w:szCs w:val="18"/>
              </w:rPr>
              <w:t>s</w:t>
            </w:r>
            <w:r w:rsidR="005F7D70" w:rsidRPr="00C35608">
              <w:rPr>
                <w:sz w:val="18"/>
                <w:szCs w:val="18"/>
              </w:rPr>
              <w:t xml:space="preserve">, node risk </w:t>
            </w:r>
            <w:r w:rsidRPr="00C35608">
              <w:rPr>
                <w:sz w:val="18"/>
                <w:szCs w:val="18"/>
              </w:rPr>
              <w:t>diversification</w:t>
            </w:r>
          </w:p>
        </w:tc>
        <w:tc>
          <w:tcPr>
            <w:tcW w:w="1881" w:type="dxa"/>
          </w:tcPr>
          <w:p w14:paraId="744DFA24" w14:textId="77777777" w:rsidR="009B7B28" w:rsidRPr="00C35608" w:rsidRDefault="005F7D70">
            <w:pPr>
              <w:rPr>
                <w:sz w:val="18"/>
                <w:szCs w:val="18"/>
              </w:rPr>
            </w:pPr>
            <w:r w:rsidRPr="00C35608">
              <w:rPr>
                <w:sz w:val="18"/>
                <w:szCs w:val="18"/>
              </w:rPr>
              <w:t>Is there an immediate alternative that can be switched to when one route is blocked?</w:t>
            </w:r>
          </w:p>
        </w:tc>
        <w:tc>
          <w:tcPr>
            <w:tcW w:w="1796" w:type="dxa"/>
          </w:tcPr>
          <w:p w14:paraId="6E822273" w14:textId="77777777" w:rsidR="009B7B28" w:rsidRPr="00C35608" w:rsidRDefault="005F7D70" w:rsidP="00B66DAE">
            <w:pPr>
              <w:rPr>
                <w:sz w:val="18"/>
                <w:szCs w:val="18"/>
              </w:rPr>
            </w:pPr>
            <w:r w:rsidRPr="00C35608">
              <w:rPr>
                <w:sz w:val="18"/>
                <w:szCs w:val="18"/>
              </w:rPr>
              <w:t>□ Existence of alternative services by major routes</w:t>
            </w:r>
            <w:r w:rsidRPr="00C35608">
              <w:rPr>
                <w:sz w:val="18"/>
                <w:szCs w:val="18"/>
              </w:rPr>
              <w:br/>
              <w:t>□ Diversification of transshipment ports (reducing dependence on a single hub)</w:t>
            </w:r>
            <w:r w:rsidRPr="00C35608">
              <w:rPr>
                <w:sz w:val="18"/>
                <w:szCs w:val="18"/>
              </w:rPr>
              <w:br/>
              <w:t>□ Diversification of inland transportation operators (Drayage)</w:t>
            </w:r>
            <w:r w:rsidRPr="00C35608">
              <w:rPr>
                <w:sz w:val="18"/>
                <w:szCs w:val="18"/>
              </w:rPr>
              <w:br/>
              <w:t>□</w:t>
            </w:r>
            <w:r w:rsidR="00B66DAE" w:rsidRPr="00C35608">
              <w:rPr>
                <w:sz w:val="18"/>
                <w:szCs w:val="18"/>
              </w:rPr>
              <w:t xml:space="preserve"> Multi-modal transportation combining </w:t>
            </w:r>
            <w:r w:rsidRPr="00C35608">
              <w:rPr>
                <w:sz w:val="18"/>
                <w:szCs w:val="18"/>
              </w:rPr>
              <w:t>port, rail, and truck</w:t>
            </w:r>
            <w:r w:rsidRPr="00C35608">
              <w:rPr>
                <w:sz w:val="18"/>
                <w:szCs w:val="18"/>
              </w:rPr>
              <w:br/>
              <w:t>□ Regional alternative transportation options</w:t>
            </w:r>
          </w:p>
        </w:tc>
      </w:tr>
      <w:tr w:rsidR="00B66DAE" w14:paraId="455AB062" w14:textId="77777777" w:rsidTr="00972D9C">
        <w:trPr>
          <w:trHeight w:val="3622"/>
        </w:trPr>
        <w:tc>
          <w:tcPr>
            <w:tcW w:w="396" w:type="dxa"/>
            <w:shd w:val="clear" w:color="auto" w:fill="F2F2F2"/>
          </w:tcPr>
          <w:p w14:paraId="2325FEC0" w14:textId="77777777" w:rsidR="009B7B28" w:rsidRPr="00C35608" w:rsidRDefault="005F7D70">
            <w:pPr>
              <w:rPr>
                <w:sz w:val="18"/>
                <w:szCs w:val="18"/>
              </w:rPr>
            </w:pPr>
            <w:r w:rsidRPr="00C35608">
              <w:rPr>
                <w:sz w:val="18"/>
                <w:szCs w:val="18"/>
              </w:rPr>
              <w:t>5</w:t>
            </w:r>
          </w:p>
        </w:tc>
        <w:tc>
          <w:tcPr>
            <w:tcW w:w="1646" w:type="dxa"/>
            <w:shd w:val="clear" w:color="auto" w:fill="F2F2F2"/>
          </w:tcPr>
          <w:p w14:paraId="03AAC167" w14:textId="77777777" w:rsidR="00B66DAE" w:rsidRPr="00C35608" w:rsidRDefault="005F7D70" w:rsidP="00B66DAE">
            <w:pPr>
              <w:rPr>
                <w:sz w:val="18"/>
                <w:szCs w:val="18"/>
              </w:rPr>
            </w:pPr>
            <w:r w:rsidRPr="00C35608">
              <w:rPr>
                <w:sz w:val="18"/>
                <w:szCs w:val="18"/>
              </w:rPr>
              <w:t>Responsiveness·</w:t>
            </w:r>
          </w:p>
          <w:p w14:paraId="48CA41FE" w14:textId="77777777" w:rsidR="009B7B28" w:rsidRPr="00C35608" w:rsidRDefault="005F7D70" w:rsidP="00B66DAE">
            <w:pPr>
              <w:rPr>
                <w:sz w:val="18"/>
                <w:szCs w:val="18"/>
              </w:rPr>
            </w:pPr>
            <w:r w:rsidRPr="00C35608">
              <w:rPr>
                <w:sz w:val="18"/>
                <w:szCs w:val="18"/>
              </w:rPr>
              <w:t>Problem Solving</w:t>
            </w:r>
          </w:p>
        </w:tc>
        <w:tc>
          <w:tcPr>
            <w:tcW w:w="1631" w:type="dxa"/>
            <w:shd w:val="clear" w:color="auto" w:fill="F2F2F2"/>
          </w:tcPr>
          <w:p w14:paraId="1252823F" w14:textId="77777777" w:rsidR="009B7B28" w:rsidRPr="00C35608" w:rsidRDefault="005F7D70">
            <w:pPr>
              <w:rPr>
                <w:sz w:val="18"/>
                <w:szCs w:val="18"/>
              </w:rPr>
            </w:pPr>
            <w:r w:rsidRPr="00C35608">
              <w:rPr>
                <w:sz w:val="18"/>
                <w:szCs w:val="18"/>
              </w:rPr>
              <w:t>Quotation response speed, after-sales claim handling</w:t>
            </w:r>
          </w:p>
        </w:tc>
        <w:tc>
          <w:tcPr>
            <w:tcW w:w="1598" w:type="dxa"/>
            <w:shd w:val="clear" w:color="auto" w:fill="F2F2F2"/>
          </w:tcPr>
          <w:p w14:paraId="025B5D9E" w14:textId="77777777" w:rsidR="009B7B28" w:rsidRPr="00C35608" w:rsidRDefault="005F7D70" w:rsidP="00B66DAE">
            <w:pPr>
              <w:rPr>
                <w:sz w:val="18"/>
                <w:szCs w:val="18"/>
              </w:rPr>
            </w:pPr>
            <w:r w:rsidRPr="00C35608">
              <w:rPr>
                <w:sz w:val="18"/>
                <w:szCs w:val="18"/>
              </w:rPr>
              <w:t xml:space="preserve">Early detection of </w:t>
            </w:r>
            <w:r w:rsidR="00B66DAE" w:rsidRPr="00C35608">
              <w:rPr>
                <w:sz w:val="18"/>
                <w:szCs w:val="18"/>
              </w:rPr>
              <w:t>disruption</w:t>
            </w:r>
            <w:r w:rsidRPr="00C35608">
              <w:rPr>
                <w:sz w:val="18"/>
                <w:szCs w:val="18"/>
              </w:rPr>
              <w:t xml:space="preserve"> and proactive alternative proposals</w:t>
            </w:r>
          </w:p>
        </w:tc>
        <w:tc>
          <w:tcPr>
            <w:tcW w:w="1881" w:type="dxa"/>
            <w:shd w:val="clear" w:color="auto" w:fill="F2F2F2"/>
          </w:tcPr>
          <w:p w14:paraId="062328C1" w14:textId="77777777" w:rsidR="009B7B28" w:rsidRPr="00C35608" w:rsidRDefault="005F7D70">
            <w:pPr>
              <w:rPr>
                <w:sz w:val="18"/>
                <w:szCs w:val="18"/>
              </w:rPr>
            </w:pPr>
            <w:r w:rsidRPr="00C35608">
              <w:rPr>
                <w:sz w:val="18"/>
                <w:szCs w:val="18"/>
              </w:rPr>
              <w:t>Do you inform in advance and suggest alternatives before a problem occurs?</w:t>
            </w:r>
          </w:p>
        </w:tc>
        <w:tc>
          <w:tcPr>
            <w:tcW w:w="1796" w:type="dxa"/>
            <w:shd w:val="clear" w:color="auto" w:fill="F2F2F2"/>
          </w:tcPr>
          <w:p w14:paraId="0DDF29FE" w14:textId="77777777" w:rsidR="009B7B28" w:rsidRPr="00C35608" w:rsidRDefault="005F7D70" w:rsidP="00B66DAE">
            <w:pPr>
              <w:rPr>
                <w:sz w:val="18"/>
                <w:szCs w:val="18"/>
              </w:rPr>
            </w:pPr>
            <w:r w:rsidRPr="00C35608">
              <w:rPr>
                <w:sz w:val="18"/>
                <w:szCs w:val="18"/>
              </w:rPr>
              <w:t xml:space="preserve">□ </w:t>
            </w:r>
            <w:r w:rsidR="00B66DAE" w:rsidRPr="00C35608">
              <w:rPr>
                <w:sz w:val="18"/>
                <w:szCs w:val="18"/>
              </w:rPr>
              <w:t>Operate early risk warning channel</w:t>
            </w:r>
            <w:r w:rsidRPr="00C35608">
              <w:rPr>
                <w:sz w:val="18"/>
                <w:szCs w:val="18"/>
              </w:rPr>
              <w:br/>
              <w:t>□ Provide impact analysis report in case of disruption</w:t>
            </w:r>
            <w:r w:rsidRPr="00C35608">
              <w:rPr>
                <w:sz w:val="18"/>
                <w:szCs w:val="18"/>
              </w:rPr>
              <w:br/>
              <w:t>□ Capability to propose viable alternative capacity·port·mode</w:t>
            </w:r>
            <w:r w:rsidRPr="00C35608">
              <w:rPr>
                <w:sz w:val="18"/>
                <w:szCs w:val="18"/>
              </w:rPr>
              <w:br/>
              <w:t>□ Designate 24/7 issue response personnel</w:t>
            </w:r>
            <w:r w:rsidRPr="00C35608">
              <w:rPr>
                <w:sz w:val="18"/>
                <w:szCs w:val="18"/>
              </w:rPr>
              <w:br/>
              <w:t>□ Customs·regulatory response expertise</w:t>
            </w:r>
          </w:p>
        </w:tc>
      </w:tr>
      <w:tr w:rsidR="00B66DAE" w14:paraId="06E8CF1E" w14:textId="77777777" w:rsidTr="00972D9C">
        <w:trPr>
          <w:trHeight w:val="5279"/>
        </w:trPr>
        <w:tc>
          <w:tcPr>
            <w:tcW w:w="396" w:type="dxa"/>
          </w:tcPr>
          <w:p w14:paraId="432D7642" w14:textId="77777777" w:rsidR="009B7B28" w:rsidRPr="00C35608" w:rsidRDefault="005F7D70">
            <w:pPr>
              <w:rPr>
                <w:sz w:val="18"/>
                <w:szCs w:val="18"/>
              </w:rPr>
            </w:pPr>
            <w:r w:rsidRPr="00C35608">
              <w:rPr>
                <w:sz w:val="18"/>
                <w:szCs w:val="18"/>
              </w:rPr>
              <w:lastRenderedPageBreak/>
              <w:t>6</w:t>
            </w:r>
          </w:p>
        </w:tc>
        <w:tc>
          <w:tcPr>
            <w:tcW w:w="1646" w:type="dxa"/>
          </w:tcPr>
          <w:p w14:paraId="421E8B42" w14:textId="77777777" w:rsidR="009B7B28" w:rsidRPr="00C35608" w:rsidRDefault="005F7D70">
            <w:pPr>
              <w:rPr>
                <w:sz w:val="18"/>
                <w:szCs w:val="18"/>
              </w:rPr>
            </w:pPr>
            <w:r w:rsidRPr="00C35608">
              <w:rPr>
                <w:sz w:val="18"/>
                <w:szCs w:val="18"/>
              </w:rPr>
              <w:t>Information visibility</w:t>
            </w:r>
          </w:p>
        </w:tc>
        <w:tc>
          <w:tcPr>
            <w:tcW w:w="1631" w:type="dxa"/>
          </w:tcPr>
          <w:p w14:paraId="28D12F2E" w14:textId="77777777" w:rsidR="009B7B28" w:rsidRPr="00C35608" w:rsidRDefault="00B66DAE" w:rsidP="00B66DAE">
            <w:pPr>
              <w:rPr>
                <w:sz w:val="18"/>
                <w:szCs w:val="18"/>
              </w:rPr>
            </w:pPr>
            <w:r w:rsidRPr="00C35608">
              <w:rPr>
                <w:sz w:val="18"/>
                <w:szCs w:val="18"/>
              </w:rPr>
              <w:t>Container l</w:t>
            </w:r>
            <w:r w:rsidR="005F7D70" w:rsidRPr="00C35608">
              <w:rPr>
                <w:sz w:val="18"/>
                <w:szCs w:val="18"/>
              </w:rPr>
              <w:t xml:space="preserve">ocation </w:t>
            </w:r>
            <w:r w:rsidRPr="00C35608">
              <w:rPr>
                <w:sz w:val="18"/>
                <w:szCs w:val="18"/>
              </w:rPr>
              <w:t>t</w:t>
            </w:r>
            <w:r w:rsidR="005F7D70" w:rsidRPr="00C35608">
              <w:rPr>
                <w:sz w:val="18"/>
                <w:szCs w:val="18"/>
              </w:rPr>
              <w:t>racking</w:t>
            </w:r>
          </w:p>
        </w:tc>
        <w:tc>
          <w:tcPr>
            <w:tcW w:w="1598" w:type="dxa"/>
          </w:tcPr>
          <w:p w14:paraId="7C0BC722" w14:textId="77777777" w:rsidR="009B7B28" w:rsidRPr="00C35608" w:rsidRDefault="005F7D70" w:rsidP="00B66DAE">
            <w:pPr>
              <w:rPr>
                <w:sz w:val="18"/>
                <w:szCs w:val="18"/>
              </w:rPr>
            </w:pPr>
            <w:r w:rsidRPr="00C35608">
              <w:rPr>
                <w:sz w:val="18"/>
                <w:szCs w:val="18"/>
              </w:rPr>
              <w:t xml:space="preserve">Predictive and </w:t>
            </w:r>
            <w:r w:rsidR="00B66DAE" w:rsidRPr="00C35608">
              <w:rPr>
                <w:sz w:val="18"/>
                <w:szCs w:val="18"/>
              </w:rPr>
              <w:t>practical decision s</w:t>
            </w:r>
            <w:r w:rsidRPr="00C35608">
              <w:rPr>
                <w:sz w:val="18"/>
                <w:szCs w:val="18"/>
              </w:rPr>
              <w:t>upport</w:t>
            </w:r>
          </w:p>
        </w:tc>
        <w:tc>
          <w:tcPr>
            <w:tcW w:w="1881" w:type="dxa"/>
          </w:tcPr>
          <w:p w14:paraId="6AE351DE" w14:textId="77777777" w:rsidR="009B7B28" w:rsidRPr="00C35608" w:rsidRDefault="005F7D70">
            <w:pPr>
              <w:rPr>
                <w:sz w:val="18"/>
                <w:szCs w:val="18"/>
              </w:rPr>
            </w:pPr>
            <w:r w:rsidRPr="00C35608">
              <w:rPr>
                <w:sz w:val="18"/>
                <w:szCs w:val="18"/>
              </w:rPr>
              <w:t>Is the information providing substantial assistance in production, inventory, and sales decision-making?</w:t>
            </w:r>
          </w:p>
        </w:tc>
        <w:tc>
          <w:tcPr>
            <w:tcW w:w="1796" w:type="dxa"/>
          </w:tcPr>
          <w:p w14:paraId="2DC8AEDB" w14:textId="77777777" w:rsidR="009B7B28" w:rsidRPr="00C35608" w:rsidRDefault="005F7D70" w:rsidP="00B66DAE">
            <w:pPr>
              <w:rPr>
                <w:sz w:val="18"/>
                <w:szCs w:val="18"/>
              </w:rPr>
            </w:pPr>
            <w:r w:rsidRPr="00C35608">
              <w:rPr>
                <w:sz w:val="18"/>
                <w:szCs w:val="18"/>
              </w:rPr>
              <w:t xml:space="preserve">□ ETA </w:t>
            </w:r>
            <w:r w:rsidR="00B66DAE" w:rsidRPr="00C35608">
              <w:rPr>
                <w:sz w:val="18"/>
                <w:szCs w:val="18"/>
              </w:rPr>
              <w:t>prediction a</w:t>
            </w:r>
            <w:r w:rsidRPr="00C35608">
              <w:rPr>
                <w:sz w:val="18"/>
                <w:szCs w:val="18"/>
              </w:rPr>
              <w:t xml:space="preserve">ccuracy and </w:t>
            </w:r>
            <w:r w:rsidR="00B66DAE" w:rsidRPr="00C35608">
              <w:rPr>
                <w:sz w:val="18"/>
                <w:szCs w:val="18"/>
              </w:rPr>
              <w:t>update f</w:t>
            </w:r>
            <w:r w:rsidRPr="00C35608">
              <w:rPr>
                <w:sz w:val="18"/>
                <w:szCs w:val="18"/>
              </w:rPr>
              <w:t>requency</w:t>
            </w:r>
            <w:r w:rsidRPr="00C35608">
              <w:rPr>
                <w:sz w:val="18"/>
                <w:szCs w:val="18"/>
              </w:rPr>
              <w:br/>
              <w:t>□</w:t>
            </w:r>
            <w:r w:rsidR="00B66DAE" w:rsidRPr="00C35608">
              <w:rPr>
                <w:sz w:val="18"/>
                <w:szCs w:val="18"/>
              </w:rPr>
              <w:t xml:space="preserve"> Advance notification of port congestion and berthing d</w:t>
            </w:r>
            <w:r w:rsidRPr="00C35608">
              <w:rPr>
                <w:sz w:val="18"/>
                <w:szCs w:val="18"/>
              </w:rPr>
              <w:t>elays</w:t>
            </w:r>
            <w:r w:rsidRPr="00C35608">
              <w:rPr>
                <w:sz w:val="18"/>
                <w:szCs w:val="18"/>
              </w:rPr>
              <w:br/>
              <w:t xml:space="preserve">□ Real-time </w:t>
            </w:r>
            <w:r w:rsidR="00B66DAE" w:rsidRPr="00C35608">
              <w:rPr>
                <w:sz w:val="18"/>
                <w:szCs w:val="18"/>
              </w:rPr>
              <w:t>verification of transshipment c</w:t>
            </w:r>
            <w:r w:rsidRPr="00C35608">
              <w:rPr>
                <w:sz w:val="18"/>
                <w:szCs w:val="18"/>
              </w:rPr>
              <w:t>onnections</w:t>
            </w:r>
            <w:r w:rsidRPr="00C35608">
              <w:rPr>
                <w:sz w:val="18"/>
                <w:szCs w:val="18"/>
              </w:rPr>
              <w:br/>
              <w:t>□</w:t>
            </w:r>
            <w:r w:rsidR="00B66DAE" w:rsidRPr="00C35608">
              <w:rPr>
                <w:sz w:val="18"/>
                <w:szCs w:val="18"/>
              </w:rPr>
              <w:t xml:space="preserve"> Integration with internal s</w:t>
            </w:r>
            <w:r w:rsidRPr="00C35608">
              <w:rPr>
                <w:sz w:val="18"/>
                <w:szCs w:val="18"/>
              </w:rPr>
              <w:t>ystems via API/EDI</w:t>
            </w:r>
            <w:r w:rsidRPr="00C35608">
              <w:rPr>
                <w:sz w:val="18"/>
                <w:szCs w:val="18"/>
              </w:rPr>
              <w:br/>
              <w:t>□</w:t>
            </w:r>
            <w:r w:rsidR="00B66DAE" w:rsidRPr="00C35608">
              <w:rPr>
                <w:sz w:val="18"/>
                <w:szCs w:val="18"/>
              </w:rPr>
              <w:t xml:space="preserve"> Automatic alerts for exceptions and d</w:t>
            </w:r>
            <w:r w:rsidRPr="00C35608">
              <w:rPr>
                <w:sz w:val="18"/>
                <w:szCs w:val="18"/>
              </w:rPr>
              <w:t xml:space="preserve">ocument </w:t>
            </w:r>
            <w:r w:rsidR="00B66DAE" w:rsidRPr="00C35608">
              <w:rPr>
                <w:sz w:val="18"/>
                <w:szCs w:val="18"/>
              </w:rPr>
              <w:t>a</w:t>
            </w:r>
            <w:r w:rsidRPr="00C35608">
              <w:rPr>
                <w:sz w:val="18"/>
                <w:szCs w:val="18"/>
              </w:rPr>
              <w:t>ccuracy</w:t>
            </w:r>
          </w:p>
        </w:tc>
      </w:tr>
      <w:tr w:rsidR="00B66DAE" w14:paraId="21BABA2D" w14:textId="77777777" w:rsidTr="00EA2107">
        <w:trPr>
          <w:trHeight w:val="64"/>
        </w:trPr>
        <w:tc>
          <w:tcPr>
            <w:tcW w:w="396" w:type="dxa"/>
            <w:shd w:val="clear" w:color="auto" w:fill="F2F2F2"/>
          </w:tcPr>
          <w:p w14:paraId="2C5E7749" w14:textId="77777777" w:rsidR="009B7B28" w:rsidRPr="00C35608" w:rsidRDefault="005F7D70">
            <w:pPr>
              <w:rPr>
                <w:sz w:val="18"/>
                <w:szCs w:val="18"/>
              </w:rPr>
            </w:pPr>
            <w:r w:rsidRPr="00C35608">
              <w:rPr>
                <w:sz w:val="18"/>
                <w:szCs w:val="18"/>
              </w:rPr>
              <w:t>7</w:t>
            </w:r>
          </w:p>
        </w:tc>
        <w:tc>
          <w:tcPr>
            <w:tcW w:w="1646" w:type="dxa"/>
            <w:shd w:val="clear" w:color="auto" w:fill="F2F2F2"/>
          </w:tcPr>
          <w:p w14:paraId="3F12E6A3" w14:textId="77777777" w:rsidR="00B66DAE" w:rsidRPr="00C35608" w:rsidRDefault="005F7D70">
            <w:pPr>
              <w:rPr>
                <w:sz w:val="18"/>
                <w:szCs w:val="18"/>
              </w:rPr>
            </w:pPr>
            <w:r w:rsidRPr="00C35608">
              <w:rPr>
                <w:sz w:val="18"/>
                <w:szCs w:val="18"/>
              </w:rPr>
              <w:t xml:space="preserve">Integrated </w:t>
            </w:r>
            <w:r w:rsidR="00B66DAE" w:rsidRPr="00C35608">
              <w:rPr>
                <w:sz w:val="18"/>
                <w:szCs w:val="18"/>
              </w:rPr>
              <w:t>risk m</w:t>
            </w:r>
            <w:r w:rsidRPr="00C35608">
              <w:rPr>
                <w:sz w:val="18"/>
                <w:szCs w:val="18"/>
              </w:rPr>
              <w:t>anagement·</w:t>
            </w:r>
          </w:p>
          <w:p w14:paraId="5326E11E" w14:textId="77777777" w:rsidR="009B7B28" w:rsidRPr="00C35608" w:rsidRDefault="005F7D70">
            <w:pPr>
              <w:rPr>
                <w:sz w:val="18"/>
                <w:szCs w:val="18"/>
              </w:rPr>
            </w:pPr>
            <w:r w:rsidRPr="00C35608">
              <w:rPr>
                <w:sz w:val="18"/>
                <w:szCs w:val="18"/>
              </w:rPr>
              <w:t>Reliability</w:t>
            </w:r>
          </w:p>
        </w:tc>
        <w:tc>
          <w:tcPr>
            <w:tcW w:w="1631" w:type="dxa"/>
            <w:shd w:val="clear" w:color="auto" w:fill="F2F2F2"/>
          </w:tcPr>
          <w:p w14:paraId="159716F0" w14:textId="77777777" w:rsidR="00B66DAE" w:rsidRPr="00C35608" w:rsidRDefault="005F7D70">
            <w:pPr>
              <w:rPr>
                <w:sz w:val="18"/>
                <w:szCs w:val="18"/>
              </w:rPr>
            </w:pPr>
            <w:r w:rsidRPr="00C35608">
              <w:rPr>
                <w:sz w:val="18"/>
                <w:szCs w:val="18"/>
              </w:rPr>
              <w:t>Financial Soundness·</w:t>
            </w:r>
          </w:p>
          <w:p w14:paraId="6057C343" w14:textId="77777777" w:rsidR="009B7B28" w:rsidRPr="00C35608" w:rsidRDefault="005F7D70">
            <w:pPr>
              <w:rPr>
                <w:sz w:val="18"/>
                <w:szCs w:val="18"/>
              </w:rPr>
            </w:pPr>
            <w:r w:rsidRPr="00C35608">
              <w:rPr>
                <w:sz w:val="18"/>
                <w:szCs w:val="18"/>
              </w:rPr>
              <w:t>Corporate Reputation</w:t>
            </w:r>
          </w:p>
        </w:tc>
        <w:tc>
          <w:tcPr>
            <w:tcW w:w="1598" w:type="dxa"/>
            <w:shd w:val="clear" w:color="auto" w:fill="F2F2F2"/>
          </w:tcPr>
          <w:p w14:paraId="21EAC585" w14:textId="77777777" w:rsidR="009B7B28" w:rsidRPr="00C35608" w:rsidRDefault="00B66DAE" w:rsidP="00B66DAE">
            <w:pPr>
              <w:rPr>
                <w:sz w:val="18"/>
                <w:szCs w:val="18"/>
              </w:rPr>
            </w:pPr>
            <w:r w:rsidRPr="00C35608">
              <w:rPr>
                <w:sz w:val="18"/>
                <w:szCs w:val="18"/>
              </w:rPr>
              <w:t>Integrated geopolitical, cyber, regulatory, and e</w:t>
            </w:r>
            <w:r w:rsidR="005F7D70" w:rsidRPr="00C35608">
              <w:rPr>
                <w:sz w:val="18"/>
                <w:szCs w:val="18"/>
              </w:rPr>
              <w:t xml:space="preserve">nvironmental </w:t>
            </w:r>
            <w:r w:rsidRPr="00C35608">
              <w:rPr>
                <w:sz w:val="18"/>
                <w:szCs w:val="18"/>
              </w:rPr>
              <w:t>r</w:t>
            </w:r>
            <w:r w:rsidR="005F7D70" w:rsidRPr="00C35608">
              <w:rPr>
                <w:sz w:val="18"/>
                <w:szCs w:val="18"/>
              </w:rPr>
              <w:t>esponse</w:t>
            </w:r>
          </w:p>
        </w:tc>
        <w:tc>
          <w:tcPr>
            <w:tcW w:w="1881" w:type="dxa"/>
            <w:shd w:val="clear" w:color="auto" w:fill="F2F2F2"/>
          </w:tcPr>
          <w:p w14:paraId="46A85389" w14:textId="77777777" w:rsidR="009B7B28" w:rsidRPr="00C35608" w:rsidRDefault="005F7D70">
            <w:pPr>
              <w:rPr>
                <w:sz w:val="18"/>
                <w:szCs w:val="18"/>
              </w:rPr>
            </w:pPr>
            <w:r w:rsidRPr="00C35608">
              <w:rPr>
                <w:sz w:val="18"/>
                <w:szCs w:val="18"/>
              </w:rPr>
              <w:t>Can business continuity be ensured even if multilayered risks occur?</w:t>
            </w:r>
          </w:p>
        </w:tc>
        <w:tc>
          <w:tcPr>
            <w:tcW w:w="1796" w:type="dxa"/>
            <w:shd w:val="clear" w:color="auto" w:fill="F2F2F2"/>
          </w:tcPr>
          <w:p w14:paraId="42998EE7" w14:textId="77777777" w:rsidR="00B66DAE" w:rsidRPr="00C35608" w:rsidRDefault="005F7D70" w:rsidP="00B66DAE">
            <w:pPr>
              <w:rPr>
                <w:sz w:val="18"/>
                <w:szCs w:val="18"/>
              </w:rPr>
            </w:pPr>
            <w:r w:rsidRPr="00C35608">
              <w:rPr>
                <w:sz w:val="18"/>
                <w:szCs w:val="18"/>
              </w:rPr>
              <w:t xml:space="preserve">□ Dependence on specific routes, alliances, and </w:t>
            </w:r>
            <w:r w:rsidR="00B66DAE" w:rsidRPr="00C35608">
              <w:rPr>
                <w:sz w:val="18"/>
                <w:szCs w:val="18"/>
              </w:rPr>
              <w:t>carriers</w:t>
            </w:r>
          </w:p>
          <w:p w14:paraId="180C0F7C" w14:textId="77777777" w:rsidR="009B7B28" w:rsidRPr="00C35608" w:rsidRDefault="005F7D70" w:rsidP="00FA36B8">
            <w:pPr>
              <w:rPr>
                <w:sz w:val="18"/>
                <w:szCs w:val="18"/>
              </w:rPr>
            </w:pPr>
            <w:r w:rsidRPr="00C35608">
              <w:rPr>
                <w:sz w:val="18"/>
                <w:szCs w:val="18"/>
              </w:rPr>
              <w:t>□ Ability to implement a business continuity plan in case of information system disruption</w:t>
            </w:r>
            <w:r w:rsidRPr="00C35608">
              <w:rPr>
                <w:sz w:val="18"/>
                <w:szCs w:val="18"/>
              </w:rPr>
              <w:br/>
              <w:t xml:space="preserve">□ </w:t>
            </w:r>
            <w:r w:rsidR="00FA36B8" w:rsidRPr="00C35608">
              <w:rPr>
                <w:sz w:val="18"/>
                <w:szCs w:val="18"/>
              </w:rPr>
              <w:t xml:space="preserve">Response history for </w:t>
            </w:r>
            <w:r w:rsidRPr="00C35608">
              <w:rPr>
                <w:sz w:val="18"/>
                <w:szCs w:val="18"/>
              </w:rPr>
              <w:t>sanctions, customs clearance, and environmental regulations</w:t>
            </w:r>
            <w:r w:rsidRPr="00C35608">
              <w:rPr>
                <w:sz w:val="18"/>
                <w:szCs w:val="18"/>
              </w:rPr>
              <w:br/>
              <w:t>□ Cybersecurity certifications (ISO 27001, etc.)</w:t>
            </w:r>
            <w:r w:rsidRPr="00C35608">
              <w:rPr>
                <w:sz w:val="18"/>
                <w:szCs w:val="18"/>
              </w:rPr>
              <w:br/>
              <w:t xml:space="preserve">□ Actual response </w:t>
            </w:r>
            <w:r w:rsidR="00FA36B8" w:rsidRPr="00C35608">
              <w:rPr>
                <w:sz w:val="18"/>
                <w:szCs w:val="18"/>
              </w:rPr>
              <w:t>measures to past disruptions</w:t>
            </w:r>
            <w:r w:rsidRPr="00C35608">
              <w:rPr>
                <w:sz w:val="18"/>
                <w:szCs w:val="18"/>
              </w:rPr>
              <w:br/>
              <w:t xml:space="preserve">□ </w:t>
            </w:r>
            <w:r w:rsidR="00FA36B8" w:rsidRPr="00C35608">
              <w:rPr>
                <w:sz w:val="18"/>
                <w:szCs w:val="18"/>
              </w:rPr>
              <w:t>C</w:t>
            </w:r>
            <w:r w:rsidRPr="00C35608">
              <w:rPr>
                <w:sz w:val="18"/>
                <w:szCs w:val="18"/>
              </w:rPr>
              <w:t xml:space="preserve">arbon emission data and reduction </w:t>
            </w:r>
            <w:r w:rsidRPr="00C35608">
              <w:rPr>
                <w:sz w:val="18"/>
                <w:szCs w:val="18"/>
              </w:rPr>
              <w:lastRenderedPageBreak/>
              <w:t>roadmap</w:t>
            </w:r>
          </w:p>
        </w:tc>
      </w:tr>
    </w:tbl>
    <w:p w14:paraId="138517AF" w14:textId="77777777" w:rsidR="009D734E" w:rsidRPr="009D734E" w:rsidRDefault="009D734E" w:rsidP="0059000B">
      <w:pPr>
        <w:jc w:val="both"/>
        <w:rPr>
          <w:rFonts w:asciiTheme="minorHAnsi" w:eastAsiaTheme="minorHAnsi"/>
          <w:sz w:val="20"/>
          <w:szCs w:val="22"/>
        </w:rPr>
      </w:pPr>
    </w:p>
    <w:p w14:paraId="73EA450D" w14:textId="77777777" w:rsidR="0059000B" w:rsidRDefault="0059000B" w:rsidP="00B226CB">
      <w:pPr>
        <w:jc w:val="both"/>
        <w:rPr>
          <w:rFonts w:asciiTheme="minorHAnsi" w:eastAsiaTheme="minorHAnsi"/>
        </w:rPr>
      </w:pPr>
    </w:p>
    <w:p w14:paraId="7D67F190" w14:textId="77777777" w:rsidR="0059000B" w:rsidRPr="00FF6B38" w:rsidRDefault="00B60E2F" w:rsidP="0059000B">
      <w:pPr>
        <w:pStyle w:val="a6"/>
        <w:numPr>
          <w:ilvl w:val="0"/>
          <w:numId w:val="35"/>
        </w:numPr>
        <w:rPr>
          <w:rFonts w:asciiTheme="majorHAnsi" w:eastAsiaTheme="majorHAnsi" w:hAnsiTheme="majorHAnsi"/>
          <w:b/>
          <w:bCs/>
          <w:sz w:val="24"/>
        </w:rPr>
      </w:pPr>
      <w:r>
        <w:rPr>
          <w:b/>
          <w:sz w:val="24"/>
        </w:rPr>
        <w:t>Conclusion</w:t>
      </w:r>
    </w:p>
    <w:p w14:paraId="17AB2C9B" w14:textId="77777777" w:rsidR="00B60E2F" w:rsidRPr="00296F25" w:rsidRDefault="00B60E2F" w:rsidP="00B60E2F">
      <w:pPr>
        <w:pStyle w:val="a6"/>
        <w:ind w:left="800"/>
        <w:rPr>
          <w:rFonts w:asciiTheme="minorHAnsi" w:eastAsiaTheme="minorHAnsi"/>
          <w:sz w:val="20"/>
          <w:szCs w:val="22"/>
        </w:rPr>
      </w:pPr>
      <w:r>
        <w:rPr>
          <w:b/>
        </w:rPr>
        <w:t>3.1 Dif</w:t>
      </w:r>
      <w:r w:rsidR="005F7D70">
        <w:rPr>
          <w:b/>
        </w:rPr>
        <w:t xml:space="preserve">ferences in Evaluation Criteria </w:t>
      </w:r>
      <w:r>
        <w:rPr>
          <w:b/>
        </w:rPr>
        <w:t xml:space="preserve">Between Shipping </w:t>
      </w:r>
      <w:r w:rsidR="007754ED">
        <w:rPr>
          <w:b/>
        </w:rPr>
        <w:t>Lines</w:t>
      </w:r>
      <w:r>
        <w:rPr>
          <w:b/>
        </w:rPr>
        <w:t xml:space="preserve"> and Forwarders</w:t>
      </w:r>
      <w:bookmarkStart w:id="1" w:name="_GoBack"/>
      <w:bookmarkEnd w:id="1"/>
    </w:p>
    <w:p w14:paraId="1CDB0390" w14:textId="77777777" w:rsidR="007754ED" w:rsidRDefault="007754ED" w:rsidP="00B60E2F">
      <w:pPr>
        <w:jc w:val="both"/>
        <w:rPr>
          <w:rFonts w:asciiTheme="minorHAnsi" w:eastAsiaTheme="minorHAnsi"/>
          <w:color w:val="000000" w:themeColor="text1"/>
          <w:sz w:val="20"/>
          <w:szCs w:val="22"/>
        </w:rPr>
      </w:pPr>
      <w:r>
        <w:rPr>
          <w:color w:val="000000"/>
          <w:sz w:val="20"/>
        </w:rPr>
        <w:t xml:space="preserve">Both shipping lines </w:t>
      </w:r>
      <w:r w:rsidR="00B60E2F">
        <w:rPr>
          <w:color w:val="000000"/>
          <w:sz w:val="20"/>
        </w:rPr>
        <w:t xml:space="preserve">and forwarders provide transportation services to shippers, but their </w:t>
      </w:r>
      <w:r>
        <w:rPr>
          <w:color w:val="000000"/>
          <w:sz w:val="20"/>
        </w:rPr>
        <w:t>roles</w:t>
      </w:r>
      <w:r w:rsidR="00B60E2F">
        <w:rPr>
          <w:color w:val="000000"/>
          <w:sz w:val="20"/>
        </w:rPr>
        <w:t xml:space="preserve"> in the supply chain differ. Therefore, even if the same seven main criteria are applied, the detailed evaluation items and weights should be different. If this distinction is not made, there is a risk of evaluating companies with different roles using the same standards.</w:t>
      </w:r>
    </w:p>
    <w:p w14:paraId="19246935" w14:textId="77777777" w:rsidR="00B60E2F" w:rsidRPr="0082151B" w:rsidRDefault="007754ED" w:rsidP="00B60E2F">
      <w:pPr>
        <w:jc w:val="both"/>
        <w:rPr>
          <w:rFonts w:asciiTheme="minorHAnsi" w:eastAsiaTheme="minorHAnsi"/>
          <w:color w:val="000000" w:themeColor="text1"/>
          <w:sz w:val="20"/>
          <w:szCs w:val="22"/>
        </w:rPr>
      </w:pPr>
      <w:r>
        <w:rPr>
          <w:rFonts w:asciiTheme="minorHAnsi" w:eastAsiaTheme="minorHAnsi"/>
          <w:color w:val="000000" w:themeColor="text1"/>
          <w:sz w:val="20"/>
          <w:szCs w:val="22"/>
        </w:rPr>
        <w:t xml:space="preserve">Shipping lines are </w:t>
      </w:r>
      <w:r w:rsidR="00B60E2F">
        <w:rPr>
          <w:color w:val="000000"/>
          <w:sz w:val="20"/>
        </w:rPr>
        <w:t xml:space="preserve">the actual carrier that owns or controls vessels and container equipment, and directly operates routes and schedules. Therefore, when evaluating a shipping line, one should focus on schedule reliability, availability of capacity and equipment, direct and transshipment structures, cancellations and cargo </w:t>
      </w:r>
      <w:r>
        <w:rPr>
          <w:color w:val="000000"/>
          <w:sz w:val="20"/>
        </w:rPr>
        <w:t>rollover</w:t>
      </w:r>
      <w:r w:rsidR="00E126BF">
        <w:rPr>
          <w:color w:val="000000"/>
          <w:sz w:val="20"/>
        </w:rPr>
        <w:t>s</w:t>
      </w:r>
      <w:r w:rsidR="00B60E2F">
        <w:rPr>
          <w:color w:val="000000"/>
          <w:sz w:val="20"/>
        </w:rPr>
        <w:t>, terminal connectivity, and route safety.</w:t>
      </w:r>
    </w:p>
    <w:p w14:paraId="24E4CB15" w14:textId="77777777" w:rsidR="00B60E2F" w:rsidRPr="0082151B" w:rsidRDefault="00B60E2F" w:rsidP="00B60E2F">
      <w:pPr>
        <w:jc w:val="both"/>
        <w:rPr>
          <w:rFonts w:asciiTheme="minorHAnsi" w:eastAsiaTheme="minorHAnsi"/>
          <w:color w:val="000000" w:themeColor="text1"/>
          <w:sz w:val="20"/>
          <w:szCs w:val="22"/>
        </w:rPr>
      </w:pPr>
      <w:r>
        <w:rPr>
          <w:color w:val="000000"/>
          <w:sz w:val="20"/>
        </w:rPr>
        <w:t xml:space="preserve">On the other hand, </w:t>
      </w:r>
      <w:r w:rsidR="00E126BF">
        <w:rPr>
          <w:color w:val="000000"/>
          <w:sz w:val="20"/>
        </w:rPr>
        <w:t>forwarders play</w:t>
      </w:r>
      <w:r>
        <w:rPr>
          <w:color w:val="000000"/>
          <w:sz w:val="20"/>
        </w:rPr>
        <w:t xml:space="preserve"> a role in combining and coordinating various carriers and logistics ser</w:t>
      </w:r>
      <w:r w:rsidR="00E126BF">
        <w:rPr>
          <w:color w:val="000000"/>
          <w:sz w:val="20"/>
        </w:rPr>
        <w:t xml:space="preserve">vices. Therefore, in evaluation of </w:t>
      </w:r>
      <w:r>
        <w:rPr>
          <w:color w:val="000000"/>
          <w:sz w:val="20"/>
        </w:rPr>
        <w:t xml:space="preserve">forwarders, accessibility to multiple </w:t>
      </w:r>
      <w:r w:rsidR="00E126BF">
        <w:rPr>
          <w:color w:val="000000"/>
          <w:sz w:val="20"/>
        </w:rPr>
        <w:t>carriers</w:t>
      </w:r>
      <w:r>
        <w:rPr>
          <w:color w:val="000000"/>
          <w:sz w:val="20"/>
        </w:rPr>
        <w:t>, the ability to design alternative routes, the capability to integrate Door-to-Door services, expertise in customs clearance and regulations, the ability to integrate information, and the speed of crisis response are more important.</w:t>
      </w:r>
    </w:p>
    <w:p w14:paraId="784F9A46" w14:textId="77777777" w:rsidR="00B60E2F" w:rsidRPr="0082151B" w:rsidRDefault="00B60E2F" w:rsidP="00B60E2F">
      <w:pPr>
        <w:jc w:val="both"/>
        <w:rPr>
          <w:rFonts w:asciiTheme="minorHAnsi" w:eastAsiaTheme="minorHAnsi"/>
          <w:color w:val="000000" w:themeColor="text1"/>
          <w:sz w:val="20"/>
          <w:szCs w:val="22"/>
        </w:rPr>
      </w:pPr>
      <w:r>
        <w:rPr>
          <w:color w:val="000000"/>
          <w:sz w:val="20"/>
        </w:rPr>
        <w:t xml:space="preserve">In the end, </w:t>
      </w:r>
      <w:r w:rsidR="00E126BF">
        <w:rPr>
          <w:color w:val="000000"/>
          <w:sz w:val="20"/>
        </w:rPr>
        <w:t>a</w:t>
      </w:r>
      <w:r>
        <w:rPr>
          <w:color w:val="000000"/>
          <w:sz w:val="20"/>
        </w:rPr>
        <w:t xml:space="preserve"> carrier should be evaluated based on "whether it can transport cargo stably." </w:t>
      </w:r>
      <w:r w:rsidR="00E126BF">
        <w:rPr>
          <w:color w:val="000000"/>
          <w:sz w:val="20"/>
        </w:rPr>
        <w:t>A</w:t>
      </w:r>
      <w:r>
        <w:rPr>
          <w:color w:val="000000"/>
          <w:sz w:val="20"/>
        </w:rPr>
        <w:t xml:space="preserve"> forwarder should be evaluated based on "whether it can secure transportation continuity by combining various transportation alternatives even in disruptive situations."</w:t>
      </w:r>
    </w:p>
    <w:p w14:paraId="20DE71BB" w14:textId="77777777" w:rsidR="00296F25" w:rsidRDefault="00296F25" w:rsidP="00B60E2F">
      <w:pPr>
        <w:jc w:val="both"/>
        <w:rPr>
          <w:rFonts w:asciiTheme="minorHAnsi" w:eastAsiaTheme="minorHAnsi"/>
          <w:sz w:val="20"/>
          <w:szCs w:val="22"/>
        </w:rPr>
      </w:pPr>
    </w:p>
    <w:p w14:paraId="10BDE7FB" w14:textId="77777777" w:rsidR="009068D2" w:rsidRPr="009068D2" w:rsidRDefault="009068D2" w:rsidP="00B60E2F">
      <w:pPr>
        <w:jc w:val="both"/>
        <w:rPr>
          <w:rFonts w:asciiTheme="minorHAnsi" w:eastAsiaTheme="minorHAnsi"/>
          <w:b/>
          <w:bCs/>
          <w:sz w:val="20"/>
          <w:szCs w:val="22"/>
        </w:rPr>
      </w:pPr>
      <w:r>
        <w:rPr>
          <w:b/>
          <w:sz w:val="20"/>
        </w:rPr>
        <w:t xml:space="preserve">[Table 2] Guide for Adjusting Evaluation Criteria Weights by </w:t>
      </w:r>
      <w:r w:rsidR="00E126BF">
        <w:rPr>
          <w:b/>
          <w:sz w:val="20"/>
        </w:rPr>
        <w:t>Carrier</w:t>
      </w:r>
      <w:r>
        <w:rPr>
          <w:b/>
          <w:sz w:val="20"/>
        </w:rPr>
        <w:t xml:space="preserve"> and Forwarder</w:t>
      </w:r>
    </w:p>
    <w:p w14:paraId="607941E0" w14:textId="77777777" w:rsidR="009068D2" w:rsidRDefault="009068D2" w:rsidP="00B60E2F">
      <w:pPr>
        <w:jc w:val="both"/>
        <w:rPr>
          <w:rFonts w:asciiTheme="minorHAnsi" w:eastAsiaTheme="minorHAnsi"/>
          <w:sz w:val="20"/>
          <w:szCs w:val="22"/>
        </w:rPr>
      </w:pPr>
    </w:p>
    <w:p w14:paraId="26E12956" w14:textId="77777777" w:rsidR="009068D2" w:rsidRDefault="009068D2" w:rsidP="009068D2">
      <w:pPr>
        <w:spacing w:after="300"/>
        <w:jc w:val="center"/>
      </w:pPr>
      <w:r>
        <w:rPr>
          <w:color w:val="595959"/>
          <w:sz w:val="20"/>
        </w:rPr>
        <w:t>—</w:t>
      </w:r>
      <w:r w:rsidR="00E126BF">
        <w:rPr>
          <w:color w:val="595959"/>
          <w:sz w:val="20"/>
        </w:rPr>
        <w:t xml:space="preserve"> Even with the same seven</w:t>
      </w:r>
      <w:r>
        <w:rPr>
          <w:color w:val="595959"/>
          <w:sz w:val="20"/>
        </w:rPr>
        <w:t xml:space="preserve"> criteria, the weights should vary depending on the role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068D2" w14:paraId="246DFDB3" w14:textId="77777777" w:rsidTr="00A81135">
        <w:trPr>
          <w:tblHeader/>
        </w:trPr>
        <w:tc>
          <w:tcPr>
            <w:tcW w:w="3000" w:type="dxa"/>
            <w:shd w:val="clear" w:color="auto" w:fill="1F4E79"/>
          </w:tcPr>
          <w:p w14:paraId="26FB7E7E"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Evaluation Criteria</w:t>
            </w:r>
          </w:p>
        </w:tc>
        <w:tc>
          <w:tcPr>
            <w:tcW w:w="3000" w:type="dxa"/>
            <w:shd w:val="clear" w:color="auto" w:fill="1F4E79"/>
          </w:tcPr>
          <w:p w14:paraId="19306EBC"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 xml:space="preserve">Relative Importance in </w:t>
            </w:r>
            <w:r w:rsidR="00F53214" w:rsidRPr="00C35608">
              <w:rPr>
                <w:color w:val="FFFFFF" w:themeColor="background1"/>
                <w:sz w:val="18"/>
                <w:szCs w:val="18"/>
              </w:rPr>
              <w:t>Carrier Evaluation</w:t>
            </w:r>
          </w:p>
        </w:tc>
        <w:tc>
          <w:tcPr>
            <w:tcW w:w="3000" w:type="dxa"/>
            <w:shd w:val="clear" w:color="auto" w:fill="1F4E79"/>
          </w:tcPr>
          <w:p w14:paraId="7214D64B" w14:textId="77777777" w:rsidR="009B7B28" w:rsidRPr="00C35608" w:rsidRDefault="005F7D70" w:rsidP="00F53214">
            <w:pPr>
              <w:jc w:val="center"/>
              <w:rPr>
                <w:color w:val="FFFFFF" w:themeColor="background1"/>
                <w:sz w:val="18"/>
                <w:szCs w:val="18"/>
              </w:rPr>
            </w:pPr>
            <w:r w:rsidRPr="00C35608">
              <w:rPr>
                <w:color w:val="FFFFFF" w:themeColor="background1"/>
                <w:sz w:val="18"/>
                <w:szCs w:val="18"/>
              </w:rPr>
              <w:t>Relative Importance in Forwarder Evaluation</w:t>
            </w:r>
          </w:p>
        </w:tc>
      </w:tr>
      <w:tr w:rsidR="009068D2" w14:paraId="584F69DB" w14:textId="77777777" w:rsidTr="00A81135">
        <w:tc>
          <w:tcPr>
            <w:tcW w:w="3000" w:type="dxa"/>
            <w:shd w:val="clear" w:color="auto" w:fill="F2F2F2"/>
          </w:tcPr>
          <w:p w14:paraId="2AAA78A5" w14:textId="77777777" w:rsidR="009B7B28" w:rsidRPr="00C35608" w:rsidRDefault="00C35608">
            <w:pPr>
              <w:rPr>
                <w:b/>
                <w:sz w:val="18"/>
                <w:szCs w:val="18"/>
              </w:rPr>
            </w:pPr>
            <w:r>
              <w:rPr>
                <w:b/>
                <w:sz w:val="18"/>
                <w:szCs w:val="18"/>
              </w:rPr>
              <w:t>1. Cost</w:t>
            </w:r>
            <w:r w:rsidRPr="00C35608">
              <w:rPr>
                <w:b/>
                <w:sz w:val="18"/>
                <w:szCs w:val="18"/>
              </w:rPr>
              <w:t>·</w:t>
            </w:r>
            <w:r w:rsidR="005F7D70" w:rsidRPr="00C35608">
              <w:rPr>
                <w:b/>
                <w:sz w:val="18"/>
                <w:szCs w:val="18"/>
              </w:rPr>
              <w:t>price stability</w:t>
            </w:r>
          </w:p>
        </w:tc>
        <w:tc>
          <w:tcPr>
            <w:tcW w:w="3000" w:type="dxa"/>
            <w:shd w:val="clear" w:color="auto" w:fill="F2F2F2"/>
          </w:tcPr>
          <w:p w14:paraId="68E329C1" w14:textId="77777777" w:rsidR="009B7B28" w:rsidRPr="00C35608" w:rsidRDefault="005F7D70" w:rsidP="009A4D98">
            <w:pPr>
              <w:jc w:val="center"/>
              <w:rPr>
                <w:sz w:val="18"/>
                <w:szCs w:val="18"/>
              </w:rPr>
            </w:pPr>
            <w:r w:rsidRPr="00C35608">
              <w:rPr>
                <w:sz w:val="18"/>
                <w:szCs w:val="18"/>
              </w:rPr>
              <w:t>Mid</w:t>
            </w:r>
          </w:p>
        </w:tc>
        <w:tc>
          <w:tcPr>
            <w:tcW w:w="3000" w:type="dxa"/>
            <w:shd w:val="clear" w:color="auto" w:fill="F2F2F2"/>
          </w:tcPr>
          <w:p w14:paraId="6DC5CCD1" w14:textId="77777777" w:rsidR="009B7B28" w:rsidRPr="00C35608" w:rsidRDefault="005F7D70" w:rsidP="009A4D98">
            <w:pPr>
              <w:jc w:val="center"/>
              <w:rPr>
                <w:sz w:val="18"/>
                <w:szCs w:val="18"/>
              </w:rPr>
            </w:pPr>
            <w:r w:rsidRPr="00C35608">
              <w:rPr>
                <w:sz w:val="18"/>
                <w:szCs w:val="18"/>
              </w:rPr>
              <w:t>Mid</w:t>
            </w:r>
          </w:p>
        </w:tc>
      </w:tr>
      <w:tr w:rsidR="009068D2" w14:paraId="27EAEAC1" w14:textId="77777777" w:rsidTr="00A81135">
        <w:tc>
          <w:tcPr>
            <w:tcW w:w="3000" w:type="dxa"/>
          </w:tcPr>
          <w:p w14:paraId="799CE12E" w14:textId="77777777" w:rsidR="009B7B28" w:rsidRPr="00C35608" w:rsidRDefault="005F7D70" w:rsidP="00C35608">
            <w:pPr>
              <w:rPr>
                <w:b/>
                <w:sz w:val="18"/>
                <w:szCs w:val="18"/>
              </w:rPr>
            </w:pPr>
            <w:r w:rsidRPr="00C35608">
              <w:rPr>
                <w:b/>
                <w:sz w:val="18"/>
                <w:szCs w:val="18"/>
              </w:rPr>
              <w:lastRenderedPageBreak/>
              <w:t xml:space="preserve">2. </w:t>
            </w:r>
            <w:r w:rsidR="00C35608">
              <w:rPr>
                <w:b/>
                <w:sz w:val="18"/>
                <w:szCs w:val="18"/>
              </w:rPr>
              <w:t>Transit</w:t>
            </w:r>
            <w:r w:rsidRPr="00C35608">
              <w:rPr>
                <w:b/>
                <w:sz w:val="18"/>
                <w:szCs w:val="18"/>
              </w:rPr>
              <w:t xml:space="preserve"> time</w:t>
            </w:r>
            <w:r w:rsidR="00C35608" w:rsidRPr="00C35608">
              <w:rPr>
                <w:b/>
                <w:sz w:val="18"/>
                <w:szCs w:val="18"/>
              </w:rPr>
              <w:t>·</w:t>
            </w:r>
            <w:r w:rsidRPr="00C35608">
              <w:rPr>
                <w:b/>
                <w:sz w:val="18"/>
                <w:szCs w:val="18"/>
              </w:rPr>
              <w:t>schedule reliability</w:t>
            </w:r>
          </w:p>
        </w:tc>
        <w:tc>
          <w:tcPr>
            <w:tcW w:w="3000" w:type="dxa"/>
          </w:tcPr>
          <w:p w14:paraId="12778DC3"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(Directly Operated)</w:t>
            </w:r>
          </w:p>
        </w:tc>
        <w:tc>
          <w:tcPr>
            <w:tcW w:w="3000" w:type="dxa"/>
          </w:tcPr>
          <w:p w14:paraId="0F86229F"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(Service Selection·Transshipment Adjustment)</w:t>
            </w:r>
          </w:p>
        </w:tc>
      </w:tr>
      <w:tr w:rsidR="009068D2" w14:paraId="7FA0945C" w14:textId="77777777" w:rsidTr="00A81135">
        <w:tc>
          <w:tcPr>
            <w:tcW w:w="3000" w:type="dxa"/>
            <w:shd w:val="clear" w:color="auto" w:fill="F2F2F2"/>
          </w:tcPr>
          <w:p w14:paraId="7A3CC268" w14:textId="77777777" w:rsidR="009B7B28" w:rsidRPr="00C35608" w:rsidRDefault="005F7D70" w:rsidP="00C35608">
            <w:pPr>
              <w:rPr>
                <w:b/>
                <w:sz w:val="18"/>
                <w:szCs w:val="18"/>
              </w:rPr>
            </w:pPr>
            <w:r w:rsidRPr="00C35608">
              <w:rPr>
                <w:b/>
                <w:sz w:val="18"/>
                <w:szCs w:val="18"/>
              </w:rPr>
              <w:t xml:space="preserve">3. </w:t>
            </w:r>
            <w:r w:rsidR="00C35608">
              <w:rPr>
                <w:b/>
                <w:sz w:val="18"/>
                <w:szCs w:val="18"/>
              </w:rPr>
              <w:t>Capacity</w:t>
            </w:r>
            <w:r w:rsidR="00C35608" w:rsidRPr="00C35608">
              <w:rPr>
                <w:b/>
                <w:sz w:val="18"/>
                <w:szCs w:val="18"/>
              </w:rPr>
              <w:t>·</w:t>
            </w:r>
            <w:r w:rsidRPr="00C35608">
              <w:rPr>
                <w:b/>
                <w:sz w:val="18"/>
                <w:szCs w:val="18"/>
              </w:rPr>
              <w:t>Equipment Availability</w:t>
            </w:r>
          </w:p>
        </w:tc>
        <w:tc>
          <w:tcPr>
            <w:tcW w:w="3000" w:type="dxa"/>
            <w:shd w:val="clear" w:color="auto" w:fill="F2F2F2"/>
          </w:tcPr>
          <w:p w14:paraId="07FAF6E3"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 xml:space="preserve">(Actual </w:t>
            </w:r>
            <w:r>
              <w:rPr>
                <w:sz w:val="18"/>
                <w:szCs w:val="18"/>
              </w:rPr>
              <w:t>space and equipment provided)</w:t>
            </w:r>
          </w:p>
        </w:tc>
        <w:tc>
          <w:tcPr>
            <w:tcW w:w="3000" w:type="dxa"/>
            <w:shd w:val="clear" w:color="auto" w:fill="F2F2F2"/>
          </w:tcPr>
          <w:p w14:paraId="41DE138B" w14:textId="77777777" w:rsidR="009B7B28" w:rsidRPr="00C35608" w:rsidRDefault="009A4D98" w:rsidP="009A4D98">
            <w:pPr>
              <w:jc w:val="center"/>
              <w:rPr>
                <w:sz w:val="18"/>
                <w:szCs w:val="18"/>
              </w:rPr>
            </w:pPr>
            <w:r>
              <w:rPr>
                <w:sz w:val="18"/>
                <w:szCs w:val="18"/>
              </w:rPr>
              <w:t>High (A</w:t>
            </w:r>
            <w:r w:rsidR="005F7D70" w:rsidRPr="00C35608">
              <w:rPr>
                <w:sz w:val="18"/>
                <w:szCs w:val="18"/>
              </w:rPr>
              <w:t>ccessibility</w:t>
            </w:r>
            <w:r>
              <w:rPr>
                <w:sz w:val="18"/>
                <w:szCs w:val="18"/>
              </w:rPr>
              <w:t xml:space="preserve"> to multiple carriers</w:t>
            </w:r>
            <w:r w:rsidR="005F7D70" w:rsidRPr="00C35608">
              <w:rPr>
                <w:sz w:val="18"/>
                <w:szCs w:val="18"/>
              </w:rPr>
              <w:t>)</w:t>
            </w:r>
          </w:p>
        </w:tc>
      </w:tr>
      <w:tr w:rsidR="009068D2" w14:paraId="6C5F4E00" w14:textId="77777777" w:rsidTr="00A81135">
        <w:tc>
          <w:tcPr>
            <w:tcW w:w="3000" w:type="dxa"/>
          </w:tcPr>
          <w:p w14:paraId="4E687798" w14:textId="77777777" w:rsidR="009B7B28" w:rsidRPr="00C35608" w:rsidRDefault="005F7D70">
            <w:pPr>
              <w:rPr>
                <w:b/>
                <w:sz w:val="18"/>
                <w:szCs w:val="18"/>
              </w:rPr>
            </w:pPr>
            <w:r w:rsidRPr="00C35608">
              <w:rPr>
                <w:b/>
                <w:sz w:val="18"/>
                <w:szCs w:val="18"/>
              </w:rPr>
              <w:t>4. Network·Connectivity</w:t>
            </w:r>
          </w:p>
        </w:tc>
        <w:tc>
          <w:tcPr>
            <w:tcW w:w="3000" w:type="dxa"/>
          </w:tcPr>
          <w:p w14:paraId="18C0EAE5"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(Direct·Transshipment Structure)</w:t>
            </w:r>
          </w:p>
        </w:tc>
        <w:tc>
          <w:tcPr>
            <w:tcW w:w="3000" w:type="dxa"/>
          </w:tcPr>
          <w:p w14:paraId="3C002384"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w:t>
            </w:r>
            <w:r>
              <w:rPr>
                <w:sz w:val="18"/>
                <w:szCs w:val="18"/>
              </w:rPr>
              <w:t>Design capability for al</w:t>
            </w:r>
            <w:r w:rsidR="005F7D70" w:rsidRPr="00C35608">
              <w:rPr>
                <w:sz w:val="18"/>
                <w:szCs w:val="18"/>
              </w:rPr>
              <w:t xml:space="preserve">ternative </w:t>
            </w:r>
            <w:r>
              <w:rPr>
                <w:sz w:val="18"/>
                <w:szCs w:val="18"/>
              </w:rPr>
              <w:t>paths</w:t>
            </w:r>
            <w:r w:rsidR="005F7D70" w:rsidRPr="00C35608">
              <w:rPr>
                <w:sz w:val="18"/>
                <w:szCs w:val="18"/>
              </w:rPr>
              <w:t>)</w:t>
            </w:r>
          </w:p>
        </w:tc>
      </w:tr>
      <w:tr w:rsidR="009068D2" w14:paraId="1FD92814" w14:textId="77777777" w:rsidTr="00A81135">
        <w:tc>
          <w:tcPr>
            <w:tcW w:w="3000" w:type="dxa"/>
            <w:shd w:val="clear" w:color="auto" w:fill="F2F2F2"/>
          </w:tcPr>
          <w:p w14:paraId="1F40480B" w14:textId="77777777" w:rsidR="009B7B28" w:rsidRPr="00C35608" w:rsidRDefault="005F7D70">
            <w:pPr>
              <w:rPr>
                <w:b/>
                <w:sz w:val="18"/>
                <w:szCs w:val="18"/>
              </w:rPr>
            </w:pPr>
            <w:r w:rsidRPr="00C35608">
              <w:rPr>
                <w:b/>
                <w:sz w:val="18"/>
                <w:szCs w:val="18"/>
              </w:rPr>
              <w:t>5. Responsiveness·Problem Solving</w:t>
            </w:r>
          </w:p>
        </w:tc>
        <w:tc>
          <w:tcPr>
            <w:tcW w:w="3000" w:type="dxa"/>
            <w:shd w:val="clear" w:color="auto" w:fill="F2F2F2"/>
          </w:tcPr>
          <w:p w14:paraId="00189329" w14:textId="77777777" w:rsidR="009B7B28" w:rsidRPr="00C35608" w:rsidRDefault="005F7D70" w:rsidP="009A4D98">
            <w:pPr>
              <w:jc w:val="center"/>
              <w:rPr>
                <w:sz w:val="18"/>
                <w:szCs w:val="18"/>
              </w:rPr>
            </w:pPr>
            <w:r w:rsidRPr="00C35608">
              <w:rPr>
                <w:sz w:val="18"/>
                <w:szCs w:val="18"/>
              </w:rPr>
              <w:t>Mid</w:t>
            </w:r>
          </w:p>
        </w:tc>
        <w:tc>
          <w:tcPr>
            <w:tcW w:w="3000" w:type="dxa"/>
            <w:shd w:val="clear" w:color="auto" w:fill="F2F2F2"/>
          </w:tcPr>
          <w:p w14:paraId="49D2321C" w14:textId="77777777" w:rsidR="009B7B28" w:rsidRPr="00C35608" w:rsidRDefault="009A4D98" w:rsidP="009A4D98">
            <w:pPr>
              <w:jc w:val="center"/>
              <w:rPr>
                <w:sz w:val="18"/>
                <w:szCs w:val="18"/>
              </w:rPr>
            </w:pPr>
            <w:r>
              <w:rPr>
                <w:sz w:val="18"/>
                <w:szCs w:val="18"/>
              </w:rPr>
              <w:t>High (</w:t>
            </w:r>
            <w:r w:rsidR="005F7D70" w:rsidRPr="00C35608">
              <w:rPr>
                <w:sz w:val="18"/>
                <w:szCs w:val="18"/>
              </w:rPr>
              <w:t>R</w:t>
            </w:r>
            <w:r>
              <w:rPr>
                <w:sz w:val="18"/>
                <w:szCs w:val="18"/>
              </w:rPr>
              <w:t>ole of coordinating multiple e</w:t>
            </w:r>
            <w:r w:rsidR="005F7D70" w:rsidRPr="00C35608">
              <w:rPr>
                <w:sz w:val="18"/>
                <w:szCs w:val="18"/>
              </w:rPr>
              <w:t>ntities)</w:t>
            </w:r>
          </w:p>
        </w:tc>
      </w:tr>
      <w:tr w:rsidR="009068D2" w14:paraId="16A9266C" w14:textId="77777777" w:rsidTr="00A81135">
        <w:tc>
          <w:tcPr>
            <w:tcW w:w="3000" w:type="dxa"/>
          </w:tcPr>
          <w:p w14:paraId="68E34873" w14:textId="77777777" w:rsidR="009B7B28" w:rsidRPr="00C35608" w:rsidRDefault="005F7D70">
            <w:pPr>
              <w:rPr>
                <w:b/>
                <w:sz w:val="18"/>
                <w:szCs w:val="18"/>
              </w:rPr>
            </w:pPr>
            <w:r w:rsidRPr="00C35608">
              <w:rPr>
                <w:b/>
                <w:sz w:val="18"/>
                <w:szCs w:val="18"/>
              </w:rPr>
              <w:t>6. Information visibility</w:t>
            </w:r>
          </w:p>
        </w:tc>
        <w:tc>
          <w:tcPr>
            <w:tcW w:w="3000" w:type="dxa"/>
          </w:tcPr>
          <w:p w14:paraId="725F6507" w14:textId="77777777" w:rsidR="009B7B28" w:rsidRPr="00C35608" w:rsidRDefault="009A4D98" w:rsidP="009A4D98">
            <w:pPr>
              <w:jc w:val="center"/>
              <w:rPr>
                <w:sz w:val="18"/>
                <w:szCs w:val="18"/>
              </w:rPr>
            </w:pPr>
            <w:r>
              <w:rPr>
                <w:sz w:val="18"/>
                <w:szCs w:val="18"/>
              </w:rPr>
              <w:t xml:space="preserve">Mid </w:t>
            </w:r>
            <w:r w:rsidR="005F7D70" w:rsidRPr="00C35608">
              <w:rPr>
                <w:sz w:val="18"/>
                <w:szCs w:val="18"/>
              </w:rPr>
              <w:t>(</w:t>
            </w:r>
            <w:r>
              <w:rPr>
                <w:sz w:val="18"/>
                <w:szCs w:val="18"/>
              </w:rPr>
              <w:t>Vessel</w:t>
            </w:r>
            <w:r w:rsidR="005F7D70" w:rsidRPr="00C35608">
              <w:rPr>
                <w:sz w:val="18"/>
                <w:szCs w:val="18"/>
              </w:rPr>
              <w:t>·</w:t>
            </w:r>
            <w:r>
              <w:rPr>
                <w:sz w:val="18"/>
                <w:szCs w:val="18"/>
              </w:rPr>
              <w:t>Terminal Data)</w:t>
            </w:r>
          </w:p>
        </w:tc>
        <w:tc>
          <w:tcPr>
            <w:tcW w:w="3000" w:type="dxa"/>
          </w:tcPr>
          <w:p w14:paraId="50B3A40B"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w:t>
            </w:r>
            <w:r>
              <w:rPr>
                <w:sz w:val="18"/>
                <w:szCs w:val="18"/>
              </w:rPr>
              <w:t>Integrate information from multiple entities</w:t>
            </w:r>
            <w:r w:rsidR="005F7D70" w:rsidRPr="00C35608">
              <w:rPr>
                <w:sz w:val="18"/>
                <w:szCs w:val="18"/>
              </w:rPr>
              <w:t>)</w:t>
            </w:r>
          </w:p>
        </w:tc>
      </w:tr>
      <w:tr w:rsidR="009068D2" w14:paraId="08EC1DCB" w14:textId="77777777" w:rsidTr="00A81135">
        <w:tc>
          <w:tcPr>
            <w:tcW w:w="3000" w:type="dxa"/>
            <w:shd w:val="clear" w:color="auto" w:fill="F2F2F2"/>
          </w:tcPr>
          <w:p w14:paraId="7233AA57" w14:textId="77777777" w:rsidR="009B7B28" w:rsidRPr="00C35608" w:rsidRDefault="005F7D70" w:rsidP="00C56179">
            <w:pPr>
              <w:rPr>
                <w:b/>
                <w:sz w:val="18"/>
                <w:szCs w:val="18"/>
              </w:rPr>
            </w:pPr>
            <w:r w:rsidRPr="00C35608">
              <w:rPr>
                <w:b/>
                <w:sz w:val="18"/>
                <w:szCs w:val="18"/>
              </w:rPr>
              <w:t xml:space="preserve">7. Integrated </w:t>
            </w:r>
            <w:r w:rsidR="00C56179">
              <w:rPr>
                <w:b/>
                <w:sz w:val="18"/>
                <w:szCs w:val="18"/>
              </w:rPr>
              <w:t>risk m</w:t>
            </w:r>
            <w:r w:rsidRPr="00C35608">
              <w:rPr>
                <w:b/>
                <w:sz w:val="18"/>
                <w:szCs w:val="18"/>
              </w:rPr>
              <w:t>anagement·Reliability</w:t>
            </w:r>
          </w:p>
        </w:tc>
        <w:tc>
          <w:tcPr>
            <w:tcW w:w="3000" w:type="dxa"/>
            <w:shd w:val="clear" w:color="auto" w:fill="F2F2F2"/>
          </w:tcPr>
          <w:p w14:paraId="431AB2C8" w14:textId="77777777" w:rsidR="009B7B28" w:rsidRPr="00C35608" w:rsidRDefault="009A4D98" w:rsidP="009A4D98">
            <w:pPr>
              <w:jc w:val="center"/>
              <w:rPr>
                <w:sz w:val="18"/>
                <w:szCs w:val="18"/>
              </w:rPr>
            </w:pPr>
            <w:r>
              <w:rPr>
                <w:sz w:val="18"/>
                <w:szCs w:val="18"/>
              </w:rPr>
              <w:t xml:space="preserve">High </w:t>
            </w:r>
            <w:r w:rsidR="005F7D70" w:rsidRPr="00C35608">
              <w:rPr>
                <w:sz w:val="18"/>
                <w:szCs w:val="18"/>
              </w:rPr>
              <w:t>(Operations·Safety·Regulatory Response)</w:t>
            </w:r>
          </w:p>
        </w:tc>
        <w:tc>
          <w:tcPr>
            <w:tcW w:w="3000" w:type="dxa"/>
            <w:shd w:val="clear" w:color="auto" w:fill="F2F2F2"/>
          </w:tcPr>
          <w:p w14:paraId="72498123" w14:textId="77777777" w:rsidR="009B7B28" w:rsidRPr="00C35608" w:rsidRDefault="009A4D98" w:rsidP="009A4D98">
            <w:pPr>
              <w:jc w:val="center"/>
              <w:rPr>
                <w:sz w:val="18"/>
                <w:szCs w:val="18"/>
              </w:rPr>
            </w:pPr>
            <w:r>
              <w:rPr>
                <w:sz w:val="18"/>
                <w:szCs w:val="18"/>
              </w:rPr>
              <w:t>High</w:t>
            </w:r>
            <w:r w:rsidR="005F7D70" w:rsidRPr="00C35608">
              <w:rPr>
                <w:sz w:val="18"/>
                <w:szCs w:val="18"/>
              </w:rPr>
              <w:t xml:space="preserve"> (</w:t>
            </w:r>
            <w:r>
              <w:rPr>
                <w:sz w:val="18"/>
                <w:szCs w:val="18"/>
              </w:rPr>
              <w:t>Coordinator of multiple entities)</w:t>
            </w:r>
          </w:p>
        </w:tc>
      </w:tr>
    </w:tbl>
    <w:p w14:paraId="653FB4CF" w14:textId="77777777" w:rsidR="009068D2" w:rsidRDefault="009068D2" w:rsidP="009068D2">
      <w:pPr>
        <w:spacing w:before="300"/>
      </w:pPr>
      <w:r>
        <w:rPr>
          <w:i/>
          <w:color w:val="808080"/>
          <w:sz w:val="16"/>
        </w:rPr>
        <w:t xml:space="preserve">※ 'High/Med' indicates relative importance and may need to be adjusted according to </w:t>
      </w:r>
      <w:r w:rsidR="008F53AF">
        <w:rPr>
          <w:i/>
          <w:color w:val="808080"/>
          <w:sz w:val="16"/>
        </w:rPr>
        <w:t>a</w:t>
      </w:r>
      <w:r>
        <w:rPr>
          <w:i/>
          <w:color w:val="808080"/>
          <w:sz w:val="16"/>
        </w:rPr>
        <w:t xml:space="preserve"> shipper's industry, cargo volume, and transaction conditions.</w:t>
      </w:r>
    </w:p>
    <w:p w14:paraId="58084EA7" w14:textId="77777777" w:rsidR="009068D2" w:rsidRPr="009068D2" w:rsidRDefault="009068D2" w:rsidP="00B60E2F">
      <w:pPr>
        <w:jc w:val="both"/>
        <w:rPr>
          <w:rFonts w:asciiTheme="minorHAnsi" w:eastAsiaTheme="minorHAnsi"/>
          <w:sz w:val="20"/>
          <w:szCs w:val="22"/>
        </w:rPr>
      </w:pPr>
    </w:p>
    <w:p w14:paraId="51BE3442" w14:textId="77777777" w:rsidR="00B60E2F" w:rsidRPr="000D33AF" w:rsidRDefault="00B60E2F" w:rsidP="00B60E2F">
      <w:pPr>
        <w:pStyle w:val="a6"/>
        <w:ind w:left="800"/>
        <w:rPr>
          <w:rFonts w:asciiTheme="minorHAnsi" w:eastAsiaTheme="minorHAnsi"/>
          <w:color w:val="000000" w:themeColor="text1"/>
          <w:sz w:val="20"/>
          <w:szCs w:val="22"/>
        </w:rPr>
      </w:pPr>
      <w:r>
        <w:rPr>
          <w:b/>
          <w:color w:val="000000"/>
        </w:rPr>
        <w:t xml:space="preserve">3.2 </w:t>
      </w:r>
      <w:r w:rsidR="00F1088E" w:rsidRPr="00F1088E">
        <w:rPr>
          <w:b/>
          <w:color w:val="000000"/>
        </w:rPr>
        <w:t>Based on the Certainty of Transportation</w:t>
      </w:r>
    </w:p>
    <w:p w14:paraId="08E7AEC8" w14:textId="77777777" w:rsidR="00B60E2F" w:rsidRPr="000D33AF" w:rsidRDefault="00B60E2F" w:rsidP="00B60E2F">
      <w:pPr>
        <w:jc w:val="both"/>
        <w:rPr>
          <w:rFonts w:asciiTheme="minorHAnsi" w:eastAsiaTheme="minorHAnsi"/>
          <w:color w:val="000000" w:themeColor="text1"/>
          <w:sz w:val="20"/>
          <w:szCs w:val="22"/>
        </w:rPr>
      </w:pPr>
      <w:r>
        <w:rPr>
          <w:color w:val="000000"/>
          <w:sz w:val="20"/>
        </w:rPr>
        <w:t>After supply chain disruption</w:t>
      </w:r>
      <w:r w:rsidR="00F1088E">
        <w:rPr>
          <w:color w:val="000000"/>
          <w:sz w:val="20"/>
        </w:rPr>
        <w:t>s</w:t>
      </w:r>
      <w:r>
        <w:rPr>
          <w:color w:val="000000"/>
          <w:sz w:val="20"/>
        </w:rPr>
        <w:t>, shippers' criteria for selecting carriers and forwarders have not simply shifted from cost to service. The relationship between price, reliability, capacity, network, responsiveness, information, and risk management has been reassessed.</w:t>
      </w:r>
    </w:p>
    <w:p w14:paraId="3B28EA3A"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Cost remains important but should be judged from the perspective of risk-adjusted logistics costs and freight rate stability, not the lowest </w:t>
      </w:r>
      <w:r w:rsidR="00F1088E">
        <w:rPr>
          <w:color w:val="000000"/>
          <w:sz w:val="20"/>
        </w:rPr>
        <w:t>rate</w:t>
      </w:r>
      <w:r>
        <w:rPr>
          <w:color w:val="000000"/>
          <w:sz w:val="20"/>
        </w:rPr>
        <w:t xml:space="preserve">. </w:t>
      </w:r>
      <w:r w:rsidR="00F1088E">
        <w:rPr>
          <w:color w:val="000000"/>
          <w:sz w:val="20"/>
        </w:rPr>
        <w:t xml:space="preserve">Reliability </w:t>
      </w:r>
      <w:r>
        <w:rPr>
          <w:color w:val="000000"/>
          <w:sz w:val="20"/>
        </w:rPr>
        <w:t xml:space="preserve">should be evaluated based on the variability of actual transit times rather than </w:t>
      </w:r>
      <w:r w:rsidR="00F1088E">
        <w:rPr>
          <w:color w:val="000000"/>
          <w:sz w:val="20"/>
        </w:rPr>
        <w:t>announced</w:t>
      </w:r>
      <w:r>
        <w:rPr>
          <w:color w:val="000000"/>
          <w:sz w:val="20"/>
        </w:rPr>
        <w:t xml:space="preserve"> transit times. Capacity should be verified based</w:t>
      </w:r>
      <w:r w:rsidR="00F1088E">
        <w:rPr>
          <w:color w:val="000000"/>
          <w:sz w:val="20"/>
        </w:rPr>
        <w:t xml:space="preserve"> on the ability to secure it during </w:t>
      </w:r>
      <w:r>
        <w:rPr>
          <w:color w:val="000000"/>
          <w:sz w:val="20"/>
        </w:rPr>
        <w:t xml:space="preserve">disruptions, not just its usual availability. The network's ability to switch to alternative routes is more important than its </w:t>
      </w:r>
      <w:r w:rsidR="00F1088E">
        <w:rPr>
          <w:color w:val="000000"/>
          <w:sz w:val="20"/>
        </w:rPr>
        <w:t>scope</w:t>
      </w:r>
      <w:r>
        <w:rPr>
          <w:color w:val="000000"/>
          <w:sz w:val="20"/>
        </w:rPr>
        <w:t>.</w:t>
      </w:r>
    </w:p>
    <w:p w14:paraId="2BAE760F" w14:textId="77777777" w:rsidR="00B60E2F" w:rsidRPr="000D33AF" w:rsidRDefault="00B60E2F" w:rsidP="00B60E2F">
      <w:pPr>
        <w:jc w:val="both"/>
        <w:rPr>
          <w:rFonts w:asciiTheme="minorHAnsi" w:eastAsiaTheme="minorHAnsi"/>
          <w:color w:val="000000" w:themeColor="text1"/>
          <w:sz w:val="20"/>
          <w:szCs w:val="22"/>
        </w:rPr>
      </w:pPr>
      <w:r>
        <w:rPr>
          <w:color w:val="000000"/>
          <w:sz w:val="20"/>
        </w:rPr>
        <w:t>Customer service should also be evaluated not just as a response to inquiries, but as the ability to identify disruptions early and propose actionable alternatives. Information visibility must evolve beyond merely showing the current status to predicting delays and supporting responses. Corporate credibility should be assessed not only in terms of reputation but also expanded to include integrated risk management capabilities such as financial soundness, safety, regulation, cyber security, and business continuity.</w:t>
      </w:r>
    </w:p>
    <w:p w14:paraId="5EF3DFC2" w14:textId="77777777" w:rsidR="00B60E2F" w:rsidRPr="000D33AF" w:rsidRDefault="00120B39" w:rsidP="00B60E2F">
      <w:pPr>
        <w:jc w:val="both"/>
        <w:rPr>
          <w:rFonts w:asciiTheme="minorHAnsi" w:eastAsiaTheme="minorHAnsi"/>
          <w:color w:val="000000" w:themeColor="text1"/>
          <w:sz w:val="20"/>
          <w:szCs w:val="22"/>
        </w:rPr>
      </w:pPr>
      <w:r>
        <w:rPr>
          <w:color w:val="000000"/>
          <w:sz w:val="20"/>
        </w:rPr>
        <w:t>After all</w:t>
      </w:r>
      <w:r w:rsidR="00B60E2F">
        <w:rPr>
          <w:color w:val="000000"/>
          <w:sz w:val="20"/>
        </w:rPr>
        <w:t xml:space="preserve">, in the era of supply chain disruptions, the most competitive carriers and forwarders are </w:t>
      </w:r>
      <w:r w:rsidR="00B60E2F">
        <w:rPr>
          <w:color w:val="000000"/>
          <w:sz w:val="20"/>
        </w:rPr>
        <w:lastRenderedPageBreak/>
        <w:t>not always the companies offering the lowest freight rates. They are the companies that can provide alternatives to shippers when unexpected incidents occur and can convert these alternatives into actual transportation.</w:t>
      </w:r>
    </w:p>
    <w:p w14:paraId="4CDC0C2A"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What shippers must contract is not just transportation services, but the certainty of transportation that enables continued production and sales even in uncertain environments. This capability will determine the competitiveness of carriers and forwarders going forward, and ultimately </w:t>
      </w:r>
      <w:r w:rsidR="00120B39">
        <w:rPr>
          <w:color w:val="000000"/>
          <w:sz w:val="20"/>
        </w:rPr>
        <w:t>determine</w:t>
      </w:r>
      <w:r>
        <w:rPr>
          <w:color w:val="000000"/>
          <w:sz w:val="20"/>
        </w:rPr>
        <w:t xml:space="preserve"> the performance of shippers' supply chains.</w:t>
      </w:r>
    </w:p>
    <w:p w14:paraId="30CB764F" w14:textId="77777777" w:rsidR="00B60E2F" w:rsidRPr="000D33AF" w:rsidRDefault="00B60E2F" w:rsidP="00B60E2F">
      <w:pPr>
        <w:jc w:val="both"/>
        <w:rPr>
          <w:rFonts w:asciiTheme="minorHAnsi" w:eastAsiaTheme="minorHAnsi"/>
          <w:color w:val="000000" w:themeColor="text1"/>
          <w:sz w:val="20"/>
          <w:szCs w:val="22"/>
        </w:rPr>
      </w:pPr>
      <w:r>
        <w:rPr>
          <w:color w:val="000000"/>
          <w:sz w:val="20"/>
        </w:rPr>
        <w:t xml:space="preserve">However, not all shippers can apply these standards in the same way. Large corporations and </w:t>
      </w:r>
      <w:r w:rsidR="00120B39">
        <w:rPr>
          <w:color w:val="000000"/>
          <w:sz w:val="20"/>
        </w:rPr>
        <w:t>small- and medium-sized</w:t>
      </w:r>
      <w:r>
        <w:rPr>
          <w:color w:val="000000"/>
          <w:sz w:val="20"/>
        </w:rPr>
        <w:t xml:space="preserve"> shippers differ in terms of c</w:t>
      </w:r>
      <w:r w:rsidR="00120B39">
        <w:rPr>
          <w:color w:val="000000"/>
          <w:sz w:val="20"/>
        </w:rPr>
        <w:t>argo volume, negotiating power, access</w:t>
      </w:r>
      <w:r>
        <w:rPr>
          <w:color w:val="000000"/>
          <w:sz w:val="20"/>
        </w:rPr>
        <w:t xml:space="preserve"> to information, dedicated personnel, and risk tolerance. As a result, the importance and actual application of the criteria for evaluating shipping lines and forwarders </w:t>
      </w:r>
      <w:r w:rsidR="00120B39">
        <w:rPr>
          <w:color w:val="000000"/>
          <w:sz w:val="20"/>
        </w:rPr>
        <w:t>may also vary. The next column will</w:t>
      </w:r>
      <w:r>
        <w:rPr>
          <w:color w:val="000000"/>
          <w:sz w:val="20"/>
        </w:rPr>
        <w:t xml:space="preserve"> examine how the selection criteria for logistics partners should differ depending on the size of the shipper.</w:t>
      </w:r>
    </w:p>
    <w:p w14:paraId="08868061" w14:textId="77777777" w:rsidR="00B60E2F" w:rsidRDefault="00B60E2F" w:rsidP="00B60E2F">
      <w:pPr>
        <w:jc w:val="both"/>
        <w:rPr>
          <w:rFonts w:asciiTheme="minorHAnsi" w:eastAsiaTheme="minorHAnsi"/>
        </w:rPr>
      </w:pPr>
    </w:p>
    <w:p w14:paraId="2AF7CE40" w14:textId="77777777" w:rsidR="005817B1" w:rsidRPr="00B60E2F" w:rsidRDefault="005817B1" w:rsidP="00B60E2F">
      <w:pPr>
        <w:jc w:val="both"/>
        <w:rPr>
          <w:rFonts w:asciiTheme="minorHAnsi" w:eastAsiaTheme="minorHAnsi"/>
        </w:rPr>
      </w:pPr>
    </w:p>
    <w:p w14:paraId="7FB02BE3" w14:textId="77777777" w:rsidR="0038053E" w:rsidRPr="00F0723D" w:rsidRDefault="0038053E" w:rsidP="009A670F">
      <w:pPr>
        <w:rPr>
          <w:rFonts w:asciiTheme="minorHAnsi" w:eastAsiaTheme="minorHAnsi"/>
        </w:rPr>
      </w:pPr>
      <w:bookmarkStart w:id="2" w:name="_Hlk209105169"/>
      <w:r w:rsidRPr="00F0723D">
        <w:rPr>
          <w:rStyle w:val="ac"/>
          <w:rFonts w:asciiTheme="minorHAnsi" w:eastAsiaTheme="minorHAnsi" w:hint="eastAsia"/>
          <w:color w:val="121212"/>
          <w:bdr w:val="none" w:sz="0" w:space="0" w:color="auto" w:frame="1"/>
        </w:rPr>
        <w:t># Reference</w:t>
      </w:r>
    </w:p>
    <w:p w14:paraId="24909DF9" w14:textId="77777777" w:rsidR="00D77C78" w:rsidRPr="009A670F" w:rsidRDefault="00C54664" w:rsidP="009A670F">
      <w:pPr>
        <w:spacing w:line="259" w:lineRule="auto"/>
        <w:rPr>
          <w:rFonts w:asciiTheme="minorHAnsi" w:eastAsiaTheme="minorHAnsi"/>
          <w:sz w:val="20"/>
          <w:szCs w:val="22"/>
        </w:rPr>
      </w:pPr>
      <w:r>
        <w:rPr>
          <w:sz w:val="20"/>
        </w:rPr>
        <w:t xml:space="preserve">[1] Cello Square. (2025). Supply Chain </w:t>
      </w:r>
      <w:r w:rsidR="003D6287">
        <w:rPr>
          <w:sz w:val="20"/>
        </w:rPr>
        <w:t xml:space="preserve">Paradigm Shift </w:t>
      </w:r>
      <w:r>
        <w:rPr>
          <w:sz w:val="20"/>
        </w:rPr>
        <w:t xml:space="preserve">in the </w:t>
      </w:r>
      <w:r w:rsidR="003D6287">
        <w:rPr>
          <w:sz w:val="20"/>
        </w:rPr>
        <w:t>Age</w:t>
      </w:r>
      <w:r>
        <w:rPr>
          <w:sz w:val="20"/>
        </w:rPr>
        <w:t xml:space="preserve"> of </w:t>
      </w:r>
      <w:r w:rsidR="003D6287">
        <w:rPr>
          <w:sz w:val="20"/>
        </w:rPr>
        <w:t>Polycrises:</w:t>
      </w:r>
      <w:r>
        <w:rPr>
          <w:sz w:val="20"/>
        </w:rPr>
        <w:t xml:space="preserve"> </w:t>
      </w:r>
      <w:r w:rsidR="003D6287">
        <w:rPr>
          <w:sz w:val="20"/>
        </w:rPr>
        <w:t>Transition from Maximizing Efficiency to Building Resilience</w:t>
      </w:r>
      <w:r>
        <w:rPr>
          <w:sz w:val="20"/>
        </w:rPr>
        <w:t xml:space="preserve">. </w:t>
      </w:r>
      <w:hyperlink r:id="rId12" w:history="1">
        <w:r w:rsidR="003D6287" w:rsidRPr="00482F7A">
          <w:rPr>
            <w:rStyle w:val="ad"/>
            <w:sz w:val="20"/>
          </w:rPr>
          <w:t>https://www.cello-square.com/en/blog/view-1791.do</w:t>
        </w:r>
      </w:hyperlink>
      <w:r w:rsidR="003D6287">
        <w:rPr>
          <w:sz w:val="20"/>
        </w:rPr>
        <w:t xml:space="preserve"> </w:t>
      </w:r>
    </w:p>
    <w:p w14:paraId="5B0932B2" w14:textId="77777777" w:rsidR="00C54664" w:rsidRPr="009A670F" w:rsidRDefault="00C54664" w:rsidP="009A670F">
      <w:pPr>
        <w:spacing w:line="259" w:lineRule="auto"/>
        <w:rPr>
          <w:sz w:val="20"/>
          <w:szCs w:val="22"/>
        </w:rPr>
      </w:pPr>
      <w:r w:rsidRPr="009A670F">
        <w:rPr>
          <w:rFonts w:asciiTheme="minorHAnsi" w:eastAsiaTheme="minorHAnsi" w:hint="eastAsia"/>
          <w:sz w:val="20"/>
          <w:szCs w:val="22"/>
        </w:rPr>
        <w:t xml:space="preserve">[2] </w:t>
      </w:r>
      <w:r w:rsidR="00D77C78" w:rsidRPr="009A670F">
        <w:rPr>
          <w:sz w:val="20"/>
          <w:szCs w:val="22"/>
        </w:rPr>
        <w:t xml:space="preserve">UNCTAD. (2024). </w:t>
      </w:r>
      <w:r w:rsidR="00675A62" w:rsidRPr="009A670F">
        <w:rPr>
          <w:sz w:val="20"/>
          <w:szCs w:val="22"/>
        </w:rPr>
        <w:t>Navigating Troubled Waters: Impact</w:t>
      </w:r>
      <w:r w:rsidR="00D77C78" w:rsidRPr="009A670F">
        <w:rPr>
          <w:sz w:val="20"/>
          <w:szCs w:val="22"/>
        </w:rPr>
        <w:t xml:space="preserve"> to Global Trade of Disruption of Shipping Routes in the Red Sea, Black Sea and Panama Canal.</w:t>
      </w:r>
      <w:r w:rsidR="00675A62" w:rsidRPr="009A670F">
        <w:rPr>
          <w:rFonts w:hint="eastAsia"/>
          <w:sz w:val="20"/>
          <w:szCs w:val="22"/>
        </w:rPr>
        <w:t xml:space="preserve"> </w:t>
      </w:r>
      <w:hyperlink r:id="rId13" w:history="1">
        <w:r w:rsidR="00675A62" w:rsidRPr="009A670F">
          <w:rPr>
            <w:rStyle w:val="ad"/>
            <w:sz w:val="20"/>
            <w:szCs w:val="22"/>
          </w:rPr>
          <w:t>https://unctad.org/publication/navigating-troubled-waters-impact-global-trade-disruption-shipping-routes-red-sea-black</w:t>
        </w:r>
      </w:hyperlink>
    </w:p>
    <w:p w14:paraId="0AEABD52" w14:textId="77777777" w:rsidR="00D42AD1" w:rsidRPr="009A670F" w:rsidRDefault="00D42AD1" w:rsidP="009A670F">
      <w:pPr>
        <w:spacing w:line="259" w:lineRule="auto"/>
        <w:rPr>
          <w:sz w:val="20"/>
          <w:szCs w:val="22"/>
        </w:rPr>
      </w:pPr>
      <w:r w:rsidRPr="009A670F">
        <w:rPr>
          <w:rFonts w:hint="eastAsia"/>
          <w:sz w:val="20"/>
          <w:szCs w:val="22"/>
        </w:rPr>
        <w:t xml:space="preserve">[3] </w:t>
      </w:r>
      <w:r w:rsidR="00B40500" w:rsidRPr="009A670F">
        <w:rPr>
          <w:sz w:val="20"/>
          <w:szCs w:val="22"/>
        </w:rPr>
        <w:t>Shanghai Containerized Freight Index</w:t>
      </w:r>
    </w:p>
    <w:p w14:paraId="6A6DA06B" w14:textId="77777777" w:rsidR="00D42AD1" w:rsidRPr="009A670F" w:rsidRDefault="00C54664" w:rsidP="009A670F">
      <w:pPr>
        <w:spacing w:line="259" w:lineRule="auto"/>
        <w:rPr>
          <w:rFonts w:asciiTheme="minorHAnsi" w:eastAsiaTheme="minorHAnsi"/>
          <w:sz w:val="20"/>
          <w:szCs w:val="20"/>
          <w14:ligatures w14:val="none"/>
        </w:rPr>
      </w:pPr>
      <w:r w:rsidRPr="009A670F">
        <w:rPr>
          <w:rFonts w:hint="eastAsia"/>
          <w:sz w:val="20"/>
          <w:szCs w:val="22"/>
        </w:rPr>
        <w:t>[</w:t>
      </w:r>
      <w:r w:rsidR="00D42AD1" w:rsidRPr="009A670F">
        <w:rPr>
          <w:rFonts w:hint="eastAsia"/>
          <w:sz w:val="20"/>
          <w:szCs w:val="22"/>
        </w:rPr>
        <w:t>4</w:t>
      </w:r>
      <w:r w:rsidRPr="009A670F">
        <w:rPr>
          <w:rFonts w:hint="eastAsia"/>
          <w:sz w:val="20"/>
          <w:szCs w:val="22"/>
        </w:rPr>
        <w:t xml:space="preserve">] </w:t>
      </w:r>
      <w:r w:rsidR="00D42AD1" w:rsidRPr="009A670F">
        <w:rPr>
          <w:rFonts w:asciiTheme="minorHAnsi" w:eastAsiaTheme="minorHAnsi"/>
          <w:sz w:val="20"/>
          <w:szCs w:val="20"/>
          <w14:ligatures w14:val="none"/>
        </w:rPr>
        <w:t>Journal of Commerce</w:t>
      </w:r>
      <w:r w:rsidR="00D42AD1" w:rsidRPr="009A670F">
        <w:rPr>
          <w:rFonts w:hint="eastAsia"/>
          <w:sz w:val="20"/>
          <w:szCs w:val="22"/>
        </w:rPr>
        <w:t xml:space="preserve">. </w:t>
      </w:r>
      <w:r w:rsidR="00D42AD1" w:rsidRPr="009A670F">
        <w:rPr>
          <w:rFonts w:asciiTheme="minorHAnsi" w:eastAsiaTheme="minorHAnsi"/>
          <w:sz w:val="20"/>
          <w:szCs w:val="20"/>
          <w14:ligatures w14:val="none"/>
        </w:rPr>
        <w:t>(2026). Supply Chain Certainty, Rather Than Price, Will Shape Shipping in 2026.</w:t>
      </w:r>
      <w:r w:rsidR="00D42AD1" w:rsidRPr="009A670F">
        <w:rPr>
          <w:rFonts w:asciiTheme="minorHAnsi" w:eastAsiaTheme="minorHAnsi" w:hint="eastAsia"/>
          <w:sz w:val="20"/>
          <w:szCs w:val="20"/>
          <w14:ligatures w14:val="none"/>
        </w:rPr>
        <w:t xml:space="preserve"> </w:t>
      </w:r>
      <w:hyperlink r:id="rId14" w:history="1">
        <w:r w:rsidR="00D42AD1" w:rsidRPr="009A670F">
          <w:rPr>
            <w:rStyle w:val="ad"/>
            <w:rFonts w:asciiTheme="minorHAnsi" w:eastAsiaTheme="minorHAnsi"/>
            <w:sz w:val="20"/>
            <w:szCs w:val="20"/>
            <w14:ligatures w14:val="none"/>
          </w:rPr>
          <w:t>https://www.joc.com/article/supply-chain-certainty-rather-than-price-will-shape-shipping-in-2026-6155378</w:t>
        </w:r>
      </w:hyperlink>
    </w:p>
    <w:p w14:paraId="0AB01A77" w14:textId="77777777" w:rsidR="00675A62" w:rsidRPr="009A670F" w:rsidRDefault="00D42AD1" w:rsidP="009A670F">
      <w:pPr>
        <w:spacing w:line="259" w:lineRule="auto"/>
        <w:rPr>
          <w:rFonts w:asciiTheme="minorHAnsi" w:eastAsiaTheme="minorHAnsi"/>
          <w:sz w:val="20"/>
          <w:szCs w:val="20"/>
          <w14:ligatures w14:val="none"/>
        </w:rPr>
      </w:pPr>
      <w:r w:rsidRPr="009A670F">
        <w:rPr>
          <w:rFonts w:hint="eastAsia"/>
          <w:sz w:val="20"/>
          <w:szCs w:val="22"/>
        </w:rPr>
        <w:t xml:space="preserve">[5] </w:t>
      </w:r>
      <w:r w:rsidRPr="009A670F">
        <w:rPr>
          <w:rFonts w:asciiTheme="minorHAnsi" w:eastAsiaTheme="minorHAnsi"/>
          <w:sz w:val="20"/>
          <w:szCs w:val="20"/>
          <w14:ligatures w14:val="none"/>
        </w:rPr>
        <w:t>Journal of Commerce</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Drayage diversification emerging as shipper priority amid supply chain volatility.</w:t>
      </w:r>
      <w:r w:rsidRPr="009A670F">
        <w:rPr>
          <w:rFonts w:asciiTheme="minorHAnsi" w:eastAsiaTheme="minorHAnsi" w:hint="eastAsia"/>
          <w:sz w:val="20"/>
          <w:szCs w:val="20"/>
          <w14:ligatures w14:val="none"/>
        </w:rPr>
        <w:t xml:space="preserve"> </w:t>
      </w:r>
      <w:hyperlink r:id="rId15" w:history="1">
        <w:r w:rsidR="00675A62" w:rsidRPr="009A670F">
          <w:rPr>
            <w:rStyle w:val="ad"/>
            <w:rFonts w:asciiTheme="minorHAnsi" w:eastAsiaTheme="minorHAnsi"/>
            <w:sz w:val="20"/>
            <w:szCs w:val="20"/>
            <w14:ligatures w14:val="none"/>
          </w:rPr>
          <w:t>https://www.joc.com/article/drayage-diversification-emerging-as-shipper-priority-amid-supply-chain-volatility-5916296</w:t>
        </w:r>
      </w:hyperlink>
    </w:p>
    <w:p w14:paraId="20F408CC" w14:textId="77777777" w:rsidR="009A670F" w:rsidRDefault="00616576" w:rsidP="000A581C">
      <w:pPr>
        <w:spacing w:line="259" w:lineRule="auto"/>
        <w:rPr>
          <w:rFonts w:asciiTheme="minorHAnsi" w:eastAsiaTheme="minorHAnsi"/>
          <w:sz w:val="20"/>
          <w:szCs w:val="20"/>
          <w14:ligatures w14:val="none"/>
        </w:rPr>
      </w:pPr>
      <w:r w:rsidRPr="009A670F">
        <w:rPr>
          <w:rFonts w:hint="eastAsia"/>
          <w:sz w:val="20"/>
          <w:szCs w:val="22"/>
        </w:rPr>
        <w:t xml:space="preserve">[6] </w:t>
      </w:r>
      <w:r w:rsidRPr="009A670F">
        <w:rPr>
          <w:rFonts w:asciiTheme="minorHAnsi" w:eastAsiaTheme="minorHAnsi"/>
          <w:sz w:val="20"/>
          <w:szCs w:val="20"/>
          <w14:ligatures w14:val="none"/>
        </w:rPr>
        <w:t xml:space="preserve">Bloomberg </w:t>
      </w:r>
      <w:r w:rsidR="003B1F76" w:rsidRPr="009A670F">
        <w:rPr>
          <w:rFonts w:asciiTheme="minorHAnsi" w:eastAsiaTheme="minorHAnsi" w:hint="eastAsia"/>
          <w:sz w:val="20"/>
          <w:szCs w:val="20"/>
          <w14:ligatures w14:val="none"/>
        </w:rPr>
        <w:t>Law</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Shippers Cautious on Return to Red Sea Despite Israel-Hamas Deal.</w:t>
      </w:r>
      <w:r w:rsidRPr="009A670F">
        <w:rPr>
          <w:rFonts w:asciiTheme="minorHAnsi" w:eastAsiaTheme="minorHAnsi" w:hint="eastAsia"/>
          <w:sz w:val="20"/>
          <w:szCs w:val="20"/>
          <w14:ligatures w14:val="none"/>
        </w:rPr>
        <w:t xml:space="preserve"> </w:t>
      </w:r>
      <w:hyperlink r:id="rId16" w:history="1">
        <w:r w:rsidRPr="009A670F">
          <w:rPr>
            <w:rStyle w:val="ad"/>
            <w:rFonts w:asciiTheme="minorHAnsi" w:eastAsiaTheme="minorHAnsi"/>
            <w:sz w:val="20"/>
            <w:szCs w:val="20"/>
            <w14:ligatures w14:val="none"/>
          </w:rPr>
          <w:t>https://news.bloomberglaw.com/international-trade/shipping-giant-maersk-cautious-about-quick-return-to-red-sea</w:t>
        </w:r>
      </w:hyperlink>
      <w:bookmarkEnd w:id="2"/>
    </w:p>
    <w:p w14:paraId="4D022B1D" w14:textId="77777777" w:rsidR="000A581C" w:rsidRDefault="000A581C" w:rsidP="000A581C">
      <w:pPr>
        <w:spacing w:line="259" w:lineRule="auto"/>
        <w:rPr>
          <w:rFonts w:asciiTheme="minorHAnsi" w:eastAsiaTheme="minorHAnsi"/>
          <w:sz w:val="20"/>
          <w:szCs w:val="20"/>
          <w14:ligatures w14:val="none"/>
        </w:rPr>
      </w:pPr>
    </w:p>
    <w:p w14:paraId="673CC96E" w14:textId="77777777" w:rsidR="000A581C" w:rsidRPr="009A670F" w:rsidRDefault="000A581C" w:rsidP="000A581C">
      <w:pPr>
        <w:spacing w:line="259" w:lineRule="auto"/>
        <w:rPr>
          <w:rFonts w:asciiTheme="minorHAnsi" w:eastAsiaTheme="minorHAnsi"/>
          <w:sz w:val="20"/>
          <w:szCs w:val="20"/>
          <w14:ligatures w14:val="none"/>
        </w:rPr>
      </w:pPr>
    </w:p>
    <w:p w14:paraId="22086F42" w14:textId="77777777" w:rsidR="0054237A" w:rsidRDefault="0054237A" w:rsidP="00616576">
      <w:pPr>
        <w:spacing w:line="259" w:lineRule="auto"/>
        <w:jc w:val="both"/>
        <w:rPr>
          <w:rFonts w:asciiTheme="minorHAnsi" w:eastAsiaTheme="minorHAnsi"/>
          <w:szCs w:val="22"/>
          <w14:ligatures w14:val="none"/>
        </w:rPr>
      </w:pPr>
      <w:r w:rsidRPr="0058080C">
        <w:rPr>
          <w:rFonts w:asciiTheme="minorHAnsi" w:eastAsiaTheme="minorHAnsi" w:hint="eastAsia"/>
          <w:noProof/>
          <w:color w:val="000000" w:themeColor="text1"/>
          <w:szCs w:val="22"/>
        </w:rPr>
        <w:drawing>
          <wp:inline distT="0" distB="0" distL="0" distR="0" wp14:anchorId="4144A5E6" wp14:editId="019D447F">
            <wp:extent cx="5731205" cy="1262380"/>
            <wp:effectExtent l="0" t="0" r="3175" b="0"/>
            <wp:docPr id="972384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4099" name="그림 1"/>
                    <pic:cNvPicPr/>
                  </pic:nvPicPr>
                  <pic:blipFill>
                    <a:blip r:embed="rId17">
                      <a:extLst>
                        <a:ext uri="{28A0092B-C50C-407E-A947-70E740481C1C}">
                          <a14:useLocalDpi xmlns:a14="http://schemas.microsoft.com/office/drawing/2010/main" val="0"/>
                        </a:ext>
                      </a:extLst>
                    </a:blip>
                    <a:stretch>
                      <a:fillRect/>
                    </a:stretch>
                  </pic:blipFill>
                  <pic:spPr>
                    <a:xfrm>
                      <a:off x="0" y="0"/>
                      <a:ext cx="5731205" cy="1262380"/>
                    </a:xfrm>
                    <a:prstGeom prst="rect">
                      <a:avLst/>
                    </a:prstGeom>
                  </pic:spPr>
                </pic:pic>
              </a:graphicData>
            </a:graphic>
          </wp:inline>
        </w:drawing>
      </w:r>
    </w:p>
    <w:p w14:paraId="38A0F8D7" w14:textId="77777777" w:rsidR="0054237A" w:rsidRDefault="0054237A" w:rsidP="00616576">
      <w:pPr>
        <w:spacing w:line="259" w:lineRule="auto"/>
        <w:jc w:val="both"/>
        <w:rPr>
          <w:rFonts w:asciiTheme="minorHAnsi" w:eastAsiaTheme="minorHAnsi"/>
          <w:szCs w:val="22"/>
          <w14:ligatures w14:val="none"/>
        </w:rPr>
      </w:pPr>
    </w:p>
    <w:p w14:paraId="12771CFC" w14:textId="77777777" w:rsidR="001D341E" w:rsidRPr="001D341E" w:rsidRDefault="001D341E" w:rsidP="001D341E">
      <w:pPr>
        <w:spacing w:line="259" w:lineRule="auto"/>
        <w:jc w:val="both"/>
        <w:rPr>
          <w:rFonts w:asciiTheme="minorHAnsi" w:eastAsiaTheme="minorHAnsi"/>
          <w:sz w:val="20"/>
          <w:szCs w:val="20"/>
          <w14:ligatures w14:val="none"/>
        </w:rPr>
      </w:pPr>
      <w:r>
        <w:rPr>
          <w:sz w:val="20"/>
        </w:rPr>
        <w:t>▶ This content is a copyrighted work protected by copyright law, and the copyright belongs to the contributor.</w:t>
      </w:r>
    </w:p>
    <w:p w14:paraId="7E9FB0F5" w14:textId="77777777" w:rsidR="0054237A" w:rsidRPr="001D341E" w:rsidRDefault="001D341E" w:rsidP="001D341E">
      <w:pPr>
        <w:spacing w:line="259" w:lineRule="auto"/>
        <w:jc w:val="both"/>
        <w:rPr>
          <w:rFonts w:asciiTheme="minorHAnsi" w:eastAsiaTheme="minorHAnsi"/>
          <w:sz w:val="20"/>
          <w:szCs w:val="20"/>
          <w14:ligatures w14:val="none"/>
        </w:rPr>
      </w:pPr>
      <w:r>
        <w:rPr>
          <w:sz w:val="20"/>
        </w:rPr>
        <w:t>▶ This content prohibits secondary processing and commercial use without prior consent.</w:t>
      </w:r>
    </w:p>
    <w:sectPr w:rsidR="0054237A" w:rsidRPr="001D341E">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DS" w:date="2026-08-05T13:34:00Z" w:initials="S">
    <w:p w14:paraId="619F53D9" w14:textId="77777777" w:rsidR="00CB522B" w:rsidRDefault="00CB522B" w:rsidP="00CB522B">
      <w:pPr>
        <w:pStyle w:val="ab"/>
        <w:rPr>
          <w:rFonts w:hint="eastAsia"/>
        </w:rPr>
      </w:pPr>
      <w:r>
        <w:rPr>
          <w:rStyle w:val="aa"/>
        </w:rPr>
        <w:annotationRef/>
      </w:r>
      <w:r>
        <w:rPr>
          <w:rFonts w:hint="eastAsia"/>
        </w:rPr>
        <w:t>Shanghai-North Europe</w:t>
      </w:r>
    </w:p>
    <w:p w14:paraId="38609ED9" w14:textId="77777777" w:rsidR="00CB522B" w:rsidRDefault="00CB522B" w:rsidP="00CB522B">
      <w:pPr>
        <w:pStyle w:val="ab"/>
        <w:rPr>
          <w:rFonts w:hint="eastAsia"/>
        </w:rPr>
      </w:pPr>
      <w:r>
        <w:rPr>
          <w:rFonts w:hint="eastAsia"/>
        </w:rPr>
        <w:t>Shanghai-Mediterranean</w:t>
      </w:r>
    </w:p>
    <w:p w14:paraId="6DBABDB3" w14:textId="77777777" w:rsidR="00CB522B" w:rsidRDefault="00CB522B" w:rsidP="00CB522B">
      <w:pPr>
        <w:pStyle w:val="ab"/>
        <w:rPr>
          <w:rFonts w:hint="eastAsia"/>
        </w:rPr>
      </w:pPr>
    </w:p>
    <w:p w14:paraId="300C782F" w14:textId="77777777" w:rsidR="00CB522B" w:rsidRDefault="00CB522B" w:rsidP="00CB522B">
      <w:pPr>
        <w:pStyle w:val="ab"/>
        <w:rPr>
          <w:rFonts w:hint="eastAsia"/>
        </w:rPr>
      </w:pPr>
      <w:r>
        <w:rPr>
          <w:rFonts w:hint="eastAsia"/>
        </w:rPr>
        <w:t>Container Rates</w:t>
      </w:r>
    </w:p>
    <w:p w14:paraId="696B7C29" w14:textId="77777777" w:rsidR="00CB522B" w:rsidRDefault="00CB522B" w:rsidP="00CB522B">
      <w:pPr>
        <w:pStyle w:val="ab"/>
        <w:rPr>
          <w:rFonts w:hint="eastAsia"/>
        </w:rPr>
      </w:pPr>
    </w:p>
    <w:p w14:paraId="5B872FF9" w14:textId="77777777" w:rsidR="00CB522B" w:rsidRDefault="00CB522B" w:rsidP="00CB522B">
      <w:pPr>
        <w:pStyle w:val="ab"/>
        <w:rPr>
          <w:rFonts w:hint="eastAsia"/>
        </w:rPr>
      </w:pPr>
      <w:r>
        <w:rPr>
          <w:rFonts w:hint="eastAsia"/>
        </w:rPr>
        <w:t>COVID-19 supply chain disruption</w:t>
      </w:r>
    </w:p>
    <w:p w14:paraId="6C483FB1" w14:textId="77777777" w:rsidR="00CB522B" w:rsidRDefault="00CB522B" w:rsidP="00CB522B">
      <w:pPr>
        <w:pStyle w:val="ab"/>
        <w:rPr>
          <w:rFonts w:hint="eastAsia"/>
        </w:rPr>
      </w:pPr>
    </w:p>
    <w:p w14:paraId="2AC05A25" w14:textId="77777777" w:rsidR="00CB522B" w:rsidRDefault="00CB522B" w:rsidP="00CB522B">
      <w:pPr>
        <w:pStyle w:val="ab"/>
        <w:rPr>
          <w:rFonts w:hint="eastAsia"/>
        </w:rPr>
      </w:pPr>
      <w:r>
        <w:rPr>
          <w:rFonts w:hint="eastAsia"/>
        </w:rPr>
        <w:t>Red Sea crisis (Nov, 2023~)</w:t>
      </w:r>
    </w:p>
    <w:p w14:paraId="304F0633" w14:textId="77777777" w:rsidR="00CB522B" w:rsidRDefault="00CB522B" w:rsidP="00CB522B">
      <w:pPr>
        <w:pStyle w:val="ab"/>
        <w:rPr>
          <w:rFonts w:hint="eastAsia"/>
        </w:rPr>
      </w:pPr>
    </w:p>
    <w:p w14:paraId="62AD9450" w14:textId="77777777" w:rsidR="00CB522B" w:rsidRDefault="00CB522B" w:rsidP="00CB522B">
      <w:pPr>
        <w:pStyle w:val="ab"/>
        <w:rPr>
          <w:rFonts w:hint="eastAsia"/>
        </w:rPr>
      </w:pPr>
      <w:r>
        <w:rPr>
          <w:rFonts w:hint="eastAsia"/>
        </w:rPr>
        <w:t>Surged by around four-fold in two months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2AD9450"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A64BD9" w14:textId="77777777" w:rsidR="00A81135" w:rsidRDefault="00A81135" w:rsidP="009D3066">
      <w:pPr>
        <w:spacing w:after="0"/>
      </w:pPr>
      <w:r>
        <w:separator/>
      </w:r>
    </w:p>
  </w:endnote>
  <w:endnote w:type="continuationSeparator" w:id="0">
    <w:p w14:paraId="48E564D1" w14:textId="77777777" w:rsidR="00A81135" w:rsidRDefault="00A81135" w:rsidP="009D3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함초롬바탕">
    <w:charset w:val="81"/>
    <w:family w:val="modern"/>
    <w:pitch w:val="variable"/>
    <w:sig w:usb0="F7002EFF" w:usb1="19DFFFFF" w:usb2="001BFDD7" w:usb3="00000000" w:csb0="001F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4981C7" w14:textId="77777777" w:rsidR="00A81135" w:rsidRDefault="00A81135" w:rsidP="009D3066">
      <w:pPr>
        <w:spacing w:after="0"/>
      </w:pPr>
      <w:r>
        <w:separator/>
      </w:r>
    </w:p>
  </w:footnote>
  <w:footnote w:type="continuationSeparator" w:id="0">
    <w:p w14:paraId="4B89CBFE" w14:textId="77777777" w:rsidR="00A81135" w:rsidRDefault="00A81135" w:rsidP="009D30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78F5"/>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343414"/>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 w15:restartNumberingAfterBreak="0">
    <w:nsid w:val="062C78DF"/>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 w15:restartNumberingAfterBreak="0">
    <w:nsid w:val="090F3316"/>
    <w:multiLevelType w:val="hybridMultilevel"/>
    <w:tmpl w:val="656686F0"/>
    <w:lvl w:ilvl="0" w:tplc="75E428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B75BE6"/>
    <w:multiLevelType w:val="hybridMultilevel"/>
    <w:tmpl w:val="2BBC363C"/>
    <w:lvl w:ilvl="0" w:tplc="04090013">
      <w:start w:val="1"/>
      <w:numFmt w:val="upperRoman"/>
      <w:lvlText w:val="%1."/>
      <w:lvlJc w:val="left"/>
      <w:pPr>
        <w:ind w:left="880" w:hanging="440"/>
      </w:pPr>
    </w:lvl>
    <w:lvl w:ilvl="1" w:tplc="30D6F522">
      <w:start w:val="1"/>
      <w:numFmt w:val="decimal"/>
      <w:lvlText w:val="%2."/>
      <w:lvlJc w:val="left"/>
      <w:pPr>
        <w:ind w:left="1240" w:hanging="36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6C07C3"/>
    <w:multiLevelType w:val="hybridMultilevel"/>
    <w:tmpl w:val="75D63162"/>
    <w:lvl w:ilvl="0" w:tplc="A74444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AE52DDF"/>
    <w:multiLevelType w:val="hybridMultilevel"/>
    <w:tmpl w:val="454E1746"/>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E051263"/>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8" w15:restartNumberingAfterBreak="0">
    <w:nsid w:val="0F07308A"/>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9" w15:restartNumberingAfterBreak="0">
    <w:nsid w:val="1CB8764F"/>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0" w15:restartNumberingAfterBreak="0">
    <w:nsid w:val="1D590636"/>
    <w:multiLevelType w:val="hybridMultilevel"/>
    <w:tmpl w:val="7C6CB6EE"/>
    <w:lvl w:ilvl="0" w:tplc="2488B7F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1417073"/>
    <w:multiLevelType w:val="hybridMultilevel"/>
    <w:tmpl w:val="0E52C23A"/>
    <w:lvl w:ilvl="0" w:tplc="A0706E4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287711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310E147A"/>
    <w:multiLevelType w:val="hybridMultilevel"/>
    <w:tmpl w:val="44B667F8"/>
    <w:lvl w:ilvl="0" w:tplc="780CBEC6">
      <w:start w:val="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11C4E84"/>
    <w:multiLevelType w:val="hybridMultilevel"/>
    <w:tmpl w:val="093213AE"/>
    <w:lvl w:ilvl="0" w:tplc="2474B8B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3BB5351"/>
    <w:multiLevelType w:val="hybridMultilevel"/>
    <w:tmpl w:val="1CFA07F0"/>
    <w:lvl w:ilvl="0" w:tplc="495E0A36">
      <w:start w:val="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A842014"/>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7" w15:restartNumberingAfterBreak="0">
    <w:nsid w:val="4634740C"/>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8" w15:restartNumberingAfterBreak="0">
    <w:nsid w:val="46363C7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9" w15:restartNumberingAfterBreak="0">
    <w:nsid w:val="49242BC0"/>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0" w15:restartNumberingAfterBreak="0">
    <w:nsid w:val="4A6D74FE"/>
    <w:multiLevelType w:val="multilevel"/>
    <w:tmpl w:val="0A165D42"/>
    <w:lvl w:ilvl="0">
      <w:start w:val="1"/>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21" w15:restartNumberingAfterBreak="0">
    <w:nsid w:val="4E1947C9"/>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2" w15:restartNumberingAfterBreak="0">
    <w:nsid w:val="4FCC7CCE"/>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3" w15:restartNumberingAfterBreak="0">
    <w:nsid w:val="51225CEC"/>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4" w15:restartNumberingAfterBreak="0">
    <w:nsid w:val="54A75C4E"/>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57923164"/>
    <w:multiLevelType w:val="hybridMultilevel"/>
    <w:tmpl w:val="621AE718"/>
    <w:lvl w:ilvl="0" w:tplc="9C10C35E">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91F51CC"/>
    <w:multiLevelType w:val="multilevel"/>
    <w:tmpl w:val="9C609840"/>
    <w:lvl w:ilvl="0">
      <w:start w:val="3"/>
      <w:numFmt w:val="decimal"/>
      <w:lvlText w:val="%1"/>
      <w:lvlJc w:val="left"/>
      <w:pPr>
        <w:ind w:left="360" w:hanging="360"/>
      </w:pPr>
      <w:rPr>
        <w:rFonts w:hint="default"/>
      </w:rPr>
    </w:lvl>
    <w:lvl w:ilvl="1">
      <w:start w:val="4"/>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27" w15:restartNumberingAfterBreak="0">
    <w:nsid w:val="5AB17B66"/>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28" w15:restartNumberingAfterBreak="0">
    <w:nsid w:val="5B4A01C0"/>
    <w:multiLevelType w:val="hybridMultilevel"/>
    <w:tmpl w:val="40683514"/>
    <w:lvl w:ilvl="0" w:tplc="500082EC">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E0F3777"/>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0" w15:restartNumberingAfterBreak="0">
    <w:nsid w:val="608A5C4E"/>
    <w:multiLevelType w:val="hybridMultilevel"/>
    <w:tmpl w:val="ACA60392"/>
    <w:lvl w:ilvl="0" w:tplc="6ED6A8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C3C0CAC"/>
    <w:multiLevelType w:val="multilevel"/>
    <w:tmpl w:val="ABE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47B6C"/>
    <w:multiLevelType w:val="hybridMultilevel"/>
    <w:tmpl w:val="92E2847E"/>
    <w:lvl w:ilvl="0" w:tplc="ACA261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5D654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76948A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35" w15:restartNumberingAfterBreak="0">
    <w:nsid w:val="79C8471A"/>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6" w15:restartNumberingAfterBreak="0">
    <w:nsid w:val="7FF938DD"/>
    <w:multiLevelType w:val="multilevel"/>
    <w:tmpl w:val="7F08E1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2"/>
  </w:num>
  <w:num w:numId="2">
    <w:abstractNumId w:val="33"/>
  </w:num>
  <w:num w:numId="3">
    <w:abstractNumId w:val="24"/>
  </w:num>
  <w:num w:numId="4">
    <w:abstractNumId w:val="0"/>
  </w:num>
  <w:num w:numId="5">
    <w:abstractNumId w:val="12"/>
  </w:num>
  <w:num w:numId="6">
    <w:abstractNumId w:val="30"/>
  </w:num>
  <w:num w:numId="7">
    <w:abstractNumId w:val="25"/>
  </w:num>
  <w:num w:numId="8">
    <w:abstractNumId w:val="15"/>
  </w:num>
  <w:num w:numId="9">
    <w:abstractNumId w:val="35"/>
  </w:num>
  <w:num w:numId="10">
    <w:abstractNumId w:val="6"/>
  </w:num>
  <w:num w:numId="11">
    <w:abstractNumId w:val="19"/>
  </w:num>
  <w:num w:numId="12">
    <w:abstractNumId w:val="7"/>
  </w:num>
  <w:num w:numId="13">
    <w:abstractNumId w:val="11"/>
  </w:num>
  <w:num w:numId="14">
    <w:abstractNumId w:val="22"/>
  </w:num>
  <w:num w:numId="15">
    <w:abstractNumId w:val="10"/>
  </w:num>
  <w:num w:numId="16">
    <w:abstractNumId w:val="31"/>
  </w:num>
  <w:num w:numId="17">
    <w:abstractNumId w:val="2"/>
  </w:num>
  <w:num w:numId="18">
    <w:abstractNumId w:val="29"/>
  </w:num>
  <w:num w:numId="19">
    <w:abstractNumId w:val="27"/>
  </w:num>
  <w:num w:numId="20">
    <w:abstractNumId w:val="16"/>
  </w:num>
  <w:num w:numId="21">
    <w:abstractNumId w:val="21"/>
  </w:num>
  <w:num w:numId="22">
    <w:abstractNumId w:val="1"/>
  </w:num>
  <w:num w:numId="23">
    <w:abstractNumId w:val="23"/>
  </w:num>
  <w:num w:numId="24">
    <w:abstractNumId w:val="13"/>
  </w:num>
  <w:num w:numId="25">
    <w:abstractNumId w:val="4"/>
  </w:num>
  <w:num w:numId="26">
    <w:abstractNumId w:val="8"/>
  </w:num>
  <w:num w:numId="27">
    <w:abstractNumId w:val="34"/>
  </w:num>
  <w:num w:numId="28">
    <w:abstractNumId w:val="17"/>
  </w:num>
  <w:num w:numId="29">
    <w:abstractNumId w:val="20"/>
  </w:num>
  <w:num w:numId="30">
    <w:abstractNumId w:val="9"/>
  </w:num>
  <w:num w:numId="31">
    <w:abstractNumId w:val="18"/>
  </w:num>
  <w:num w:numId="32">
    <w:abstractNumId w:val="26"/>
  </w:num>
  <w:num w:numId="33">
    <w:abstractNumId w:val="3"/>
  </w:num>
  <w:num w:numId="34">
    <w:abstractNumId w:val="36"/>
  </w:num>
  <w:num w:numId="35">
    <w:abstractNumId w:val="28"/>
  </w:num>
  <w:num w:numId="36">
    <w:abstractNumId w:val="14"/>
  </w:num>
  <w:num w:numId="37">
    <w:abstractNumId w:val="5"/>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4"/>
    <w:lvlOverride w:ilvl="0"/>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DS">
    <w15:presenceInfo w15:providerId="None" w15:userId="SD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3C1"/>
    <w:rsid w:val="0000571E"/>
    <w:rsid w:val="00006C50"/>
    <w:rsid w:val="00010228"/>
    <w:rsid w:val="0001122A"/>
    <w:rsid w:val="00012D69"/>
    <w:rsid w:val="000210FD"/>
    <w:rsid w:val="0002611D"/>
    <w:rsid w:val="0003385D"/>
    <w:rsid w:val="00037868"/>
    <w:rsid w:val="00042A9B"/>
    <w:rsid w:val="00043698"/>
    <w:rsid w:val="00047EB3"/>
    <w:rsid w:val="00047EC9"/>
    <w:rsid w:val="00051362"/>
    <w:rsid w:val="000541C7"/>
    <w:rsid w:val="00057733"/>
    <w:rsid w:val="00062258"/>
    <w:rsid w:val="000828F0"/>
    <w:rsid w:val="00084087"/>
    <w:rsid w:val="00090D4F"/>
    <w:rsid w:val="00093B37"/>
    <w:rsid w:val="00096B54"/>
    <w:rsid w:val="000A0043"/>
    <w:rsid w:val="000A581C"/>
    <w:rsid w:val="000A7EF6"/>
    <w:rsid w:val="000B3A52"/>
    <w:rsid w:val="000B41F6"/>
    <w:rsid w:val="000B52FD"/>
    <w:rsid w:val="000B73D6"/>
    <w:rsid w:val="000B7DFE"/>
    <w:rsid w:val="000C647E"/>
    <w:rsid w:val="000D1FB1"/>
    <w:rsid w:val="000D33AF"/>
    <w:rsid w:val="000D5DAF"/>
    <w:rsid w:val="000D64EB"/>
    <w:rsid w:val="000D69DD"/>
    <w:rsid w:val="000E7F4E"/>
    <w:rsid w:val="000F38EB"/>
    <w:rsid w:val="000F6B4D"/>
    <w:rsid w:val="00101B52"/>
    <w:rsid w:val="00101F8F"/>
    <w:rsid w:val="00103BFD"/>
    <w:rsid w:val="001075F5"/>
    <w:rsid w:val="00115053"/>
    <w:rsid w:val="00120B39"/>
    <w:rsid w:val="001345C8"/>
    <w:rsid w:val="0014488F"/>
    <w:rsid w:val="001456AB"/>
    <w:rsid w:val="00152E1E"/>
    <w:rsid w:val="00155BB6"/>
    <w:rsid w:val="001808D0"/>
    <w:rsid w:val="001815A2"/>
    <w:rsid w:val="00185339"/>
    <w:rsid w:val="00190AAC"/>
    <w:rsid w:val="001919BC"/>
    <w:rsid w:val="0019392F"/>
    <w:rsid w:val="001A09B5"/>
    <w:rsid w:val="001A3F13"/>
    <w:rsid w:val="001B0BBC"/>
    <w:rsid w:val="001C38BD"/>
    <w:rsid w:val="001C4A3C"/>
    <w:rsid w:val="001D341E"/>
    <w:rsid w:val="001D5238"/>
    <w:rsid w:val="001D6BDD"/>
    <w:rsid w:val="001D717C"/>
    <w:rsid w:val="001E01F6"/>
    <w:rsid w:val="001E0621"/>
    <w:rsid w:val="001E29C6"/>
    <w:rsid w:val="001E7C19"/>
    <w:rsid w:val="001F12F5"/>
    <w:rsid w:val="001F1B1D"/>
    <w:rsid w:val="001F5103"/>
    <w:rsid w:val="00202EB7"/>
    <w:rsid w:val="0020393E"/>
    <w:rsid w:val="00203C4D"/>
    <w:rsid w:val="00207075"/>
    <w:rsid w:val="00212D35"/>
    <w:rsid w:val="00214AE9"/>
    <w:rsid w:val="00217436"/>
    <w:rsid w:val="00223C8D"/>
    <w:rsid w:val="00230122"/>
    <w:rsid w:val="00233223"/>
    <w:rsid w:val="00235E24"/>
    <w:rsid w:val="002455A3"/>
    <w:rsid w:val="00252B5A"/>
    <w:rsid w:val="00266288"/>
    <w:rsid w:val="00285EFD"/>
    <w:rsid w:val="002905D4"/>
    <w:rsid w:val="00292E40"/>
    <w:rsid w:val="00295DC6"/>
    <w:rsid w:val="0029683F"/>
    <w:rsid w:val="00296F25"/>
    <w:rsid w:val="002A3007"/>
    <w:rsid w:val="002A6940"/>
    <w:rsid w:val="002B0E44"/>
    <w:rsid w:val="002B3FBD"/>
    <w:rsid w:val="002B7132"/>
    <w:rsid w:val="002C7197"/>
    <w:rsid w:val="002C776A"/>
    <w:rsid w:val="002C7EDC"/>
    <w:rsid w:val="002E300D"/>
    <w:rsid w:val="002F0DE9"/>
    <w:rsid w:val="002F2969"/>
    <w:rsid w:val="002F762C"/>
    <w:rsid w:val="00300604"/>
    <w:rsid w:val="00305C98"/>
    <w:rsid w:val="00305E1C"/>
    <w:rsid w:val="00314BDC"/>
    <w:rsid w:val="0031607C"/>
    <w:rsid w:val="00316460"/>
    <w:rsid w:val="00320C38"/>
    <w:rsid w:val="00321D06"/>
    <w:rsid w:val="003237E3"/>
    <w:rsid w:val="00327791"/>
    <w:rsid w:val="00331F92"/>
    <w:rsid w:val="0033449B"/>
    <w:rsid w:val="00337B79"/>
    <w:rsid w:val="003476AB"/>
    <w:rsid w:val="003520DA"/>
    <w:rsid w:val="00356DB5"/>
    <w:rsid w:val="00362BDD"/>
    <w:rsid w:val="0038053E"/>
    <w:rsid w:val="00382C54"/>
    <w:rsid w:val="00383634"/>
    <w:rsid w:val="003840DA"/>
    <w:rsid w:val="00387393"/>
    <w:rsid w:val="00392DDC"/>
    <w:rsid w:val="00393FE1"/>
    <w:rsid w:val="003A15DF"/>
    <w:rsid w:val="003A50C8"/>
    <w:rsid w:val="003B1F76"/>
    <w:rsid w:val="003B40F4"/>
    <w:rsid w:val="003B753B"/>
    <w:rsid w:val="003C3B70"/>
    <w:rsid w:val="003C7E16"/>
    <w:rsid w:val="003D0235"/>
    <w:rsid w:val="003D1D04"/>
    <w:rsid w:val="003D27B9"/>
    <w:rsid w:val="003D5A1A"/>
    <w:rsid w:val="003D6287"/>
    <w:rsid w:val="003E0579"/>
    <w:rsid w:val="003E2900"/>
    <w:rsid w:val="003E6AF6"/>
    <w:rsid w:val="003F071D"/>
    <w:rsid w:val="003F1619"/>
    <w:rsid w:val="003F6A19"/>
    <w:rsid w:val="003F721D"/>
    <w:rsid w:val="004113B5"/>
    <w:rsid w:val="004155DE"/>
    <w:rsid w:val="00427345"/>
    <w:rsid w:val="00432A2A"/>
    <w:rsid w:val="00432A9A"/>
    <w:rsid w:val="00432CC3"/>
    <w:rsid w:val="004378D2"/>
    <w:rsid w:val="00437929"/>
    <w:rsid w:val="004451E6"/>
    <w:rsid w:val="00445E95"/>
    <w:rsid w:val="004544A5"/>
    <w:rsid w:val="00457072"/>
    <w:rsid w:val="00457D7F"/>
    <w:rsid w:val="0046698B"/>
    <w:rsid w:val="00467650"/>
    <w:rsid w:val="004706E7"/>
    <w:rsid w:val="00476485"/>
    <w:rsid w:val="00480DB1"/>
    <w:rsid w:val="00481616"/>
    <w:rsid w:val="00482BE7"/>
    <w:rsid w:val="0048361B"/>
    <w:rsid w:val="00483FD9"/>
    <w:rsid w:val="004872A5"/>
    <w:rsid w:val="0049055D"/>
    <w:rsid w:val="00491761"/>
    <w:rsid w:val="00494025"/>
    <w:rsid w:val="004A1B87"/>
    <w:rsid w:val="004A20B6"/>
    <w:rsid w:val="004A6FA3"/>
    <w:rsid w:val="004A7EA7"/>
    <w:rsid w:val="004C3421"/>
    <w:rsid w:val="004C43C1"/>
    <w:rsid w:val="004C49DE"/>
    <w:rsid w:val="004C4F7F"/>
    <w:rsid w:val="004D24D7"/>
    <w:rsid w:val="004D6313"/>
    <w:rsid w:val="004D758F"/>
    <w:rsid w:val="004D7F94"/>
    <w:rsid w:val="004E0FCD"/>
    <w:rsid w:val="004F317B"/>
    <w:rsid w:val="00503B10"/>
    <w:rsid w:val="005043FD"/>
    <w:rsid w:val="0050457F"/>
    <w:rsid w:val="00504640"/>
    <w:rsid w:val="005070FF"/>
    <w:rsid w:val="00525C78"/>
    <w:rsid w:val="0053178E"/>
    <w:rsid w:val="00536123"/>
    <w:rsid w:val="00537248"/>
    <w:rsid w:val="005379C6"/>
    <w:rsid w:val="00540325"/>
    <w:rsid w:val="0054237A"/>
    <w:rsid w:val="0054607F"/>
    <w:rsid w:val="005527B6"/>
    <w:rsid w:val="0055557C"/>
    <w:rsid w:val="00566FDB"/>
    <w:rsid w:val="005808C6"/>
    <w:rsid w:val="00580B1A"/>
    <w:rsid w:val="005817B1"/>
    <w:rsid w:val="00582FA9"/>
    <w:rsid w:val="00584A97"/>
    <w:rsid w:val="00585AED"/>
    <w:rsid w:val="0059000B"/>
    <w:rsid w:val="00593192"/>
    <w:rsid w:val="005939C1"/>
    <w:rsid w:val="005A2954"/>
    <w:rsid w:val="005A5041"/>
    <w:rsid w:val="005A7370"/>
    <w:rsid w:val="005B1018"/>
    <w:rsid w:val="005B423D"/>
    <w:rsid w:val="005B573F"/>
    <w:rsid w:val="005B6041"/>
    <w:rsid w:val="005C0D9E"/>
    <w:rsid w:val="005C1E7C"/>
    <w:rsid w:val="005C44E3"/>
    <w:rsid w:val="005C4901"/>
    <w:rsid w:val="005C4AC8"/>
    <w:rsid w:val="005C7FD3"/>
    <w:rsid w:val="005D061F"/>
    <w:rsid w:val="005D4A1B"/>
    <w:rsid w:val="005E4905"/>
    <w:rsid w:val="005F2CAB"/>
    <w:rsid w:val="005F5677"/>
    <w:rsid w:val="005F7D70"/>
    <w:rsid w:val="00601F03"/>
    <w:rsid w:val="0061238F"/>
    <w:rsid w:val="00612702"/>
    <w:rsid w:val="00613CEB"/>
    <w:rsid w:val="00615582"/>
    <w:rsid w:val="00615854"/>
    <w:rsid w:val="00616576"/>
    <w:rsid w:val="00617781"/>
    <w:rsid w:val="00623FDA"/>
    <w:rsid w:val="0063124C"/>
    <w:rsid w:val="00633BD9"/>
    <w:rsid w:val="00634406"/>
    <w:rsid w:val="006476E6"/>
    <w:rsid w:val="0065526A"/>
    <w:rsid w:val="00655D1D"/>
    <w:rsid w:val="00657FA2"/>
    <w:rsid w:val="00661626"/>
    <w:rsid w:val="00662F07"/>
    <w:rsid w:val="00663598"/>
    <w:rsid w:val="0066424A"/>
    <w:rsid w:val="00675A62"/>
    <w:rsid w:val="006848CD"/>
    <w:rsid w:val="00687B0B"/>
    <w:rsid w:val="006A2B5C"/>
    <w:rsid w:val="006A7E19"/>
    <w:rsid w:val="006B080E"/>
    <w:rsid w:val="006C0D8A"/>
    <w:rsid w:val="006D09AD"/>
    <w:rsid w:val="006E07DF"/>
    <w:rsid w:val="006F161F"/>
    <w:rsid w:val="006F1FEE"/>
    <w:rsid w:val="006F4DE6"/>
    <w:rsid w:val="006F6948"/>
    <w:rsid w:val="006F78EB"/>
    <w:rsid w:val="0070466D"/>
    <w:rsid w:val="00707025"/>
    <w:rsid w:val="00710CF4"/>
    <w:rsid w:val="00711438"/>
    <w:rsid w:val="007162B6"/>
    <w:rsid w:val="00717270"/>
    <w:rsid w:val="00717731"/>
    <w:rsid w:val="00722359"/>
    <w:rsid w:val="00722C26"/>
    <w:rsid w:val="00730C9B"/>
    <w:rsid w:val="00732C44"/>
    <w:rsid w:val="00733E0E"/>
    <w:rsid w:val="00741D54"/>
    <w:rsid w:val="00741EBA"/>
    <w:rsid w:val="00746B8E"/>
    <w:rsid w:val="00747FD8"/>
    <w:rsid w:val="00750F61"/>
    <w:rsid w:val="00753FE5"/>
    <w:rsid w:val="007565E6"/>
    <w:rsid w:val="00756E20"/>
    <w:rsid w:val="00761138"/>
    <w:rsid w:val="00767A8E"/>
    <w:rsid w:val="00772AED"/>
    <w:rsid w:val="00772D28"/>
    <w:rsid w:val="007739D8"/>
    <w:rsid w:val="007754ED"/>
    <w:rsid w:val="007806F9"/>
    <w:rsid w:val="00780812"/>
    <w:rsid w:val="0079322C"/>
    <w:rsid w:val="007A67EF"/>
    <w:rsid w:val="007B0191"/>
    <w:rsid w:val="007B07B5"/>
    <w:rsid w:val="007B4A06"/>
    <w:rsid w:val="007B560F"/>
    <w:rsid w:val="007B56AB"/>
    <w:rsid w:val="007C2D87"/>
    <w:rsid w:val="007C5616"/>
    <w:rsid w:val="007D32AF"/>
    <w:rsid w:val="007D3BEB"/>
    <w:rsid w:val="007F2C1D"/>
    <w:rsid w:val="007F4CCD"/>
    <w:rsid w:val="0080266E"/>
    <w:rsid w:val="00807112"/>
    <w:rsid w:val="008102EF"/>
    <w:rsid w:val="00813AFC"/>
    <w:rsid w:val="00813E8D"/>
    <w:rsid w:val="008163F6"/>
    <w:rsid w:val="0082151B"/>
    <w:rsid w:val="00821895"/>
    <w:rsid w:val="00827E57"/>
    <w:rsid w:val="00837AF2"/>
    <w:rsid w:val="008410B3"/>
    <w:rsid w:val="00842606"/>
    <w:rsid w:val="00842AAB"/>
    <w:rsid w:val="008531A6"/>
    <w:rsid w:val="008538F1"/>
    <w:rsid w:val="0085417E"/>
    <w:rsid w:val="00856784"/>
    <w:rsid w:val="00856C52"/>
    <w:rsid w:val="00861DD0"/>
    <w:rsid w:val="008627A0"/>
    <w:rsid w:val="008765E2"/>
    <w:rsid w:val="0087713E"/>
    <w:rsid w:val="00881A6F"/>
    <w:rsid w:val="00881CDD"/>
    <w:rsid w:val="00883259"/>
    <w:rsid w:val="00891159"/>
    <w:rsid w:val="00892BF4"/>
    <w:rsid w:val="00893437"/>
    <w:rsid w:val="00894AD9"/>
    <w:rsid w:val="008A7475"/>
    <w:rsid w:val="008B5736"/>
    <w:rsid w:val="008B5F99"/>
    <w:rsid w:val="008C28A5"/>
    <w:rsid w:val="008D02D6"/>
    <w:rsid w:val="008D2621"/>
    <w:rsid w:val="008D3268"/>
    <w:rsid w:val="008D5997"/>
    <w:rsid w:val="008D7C3A"/>
    <w:rsid w:val="008E3BE3"/>
    <w:rsid w:val="008F4529"/>
    <w:rsid w:val="008F53AF"/>
    <w:rsid w:val="008F6987"/>
    <w:rsid w:val="00903C91"/>
    <w:rsid w:val="009068D2"/>
    <w:rsid w:val="00913D5E"/>
    <w:rsid w:val="00914F2E"/>
    <w:rsid w:val="00920650"/>
    <w:rsid w:val="00924843"/>
    <w:rsid w:val="00930A86"/>
    <w:rsid w:val="00931891"/>
    <w:rsid w:val="00931EC8"/>
    <w:rsid w:val="0093588B"/>
    <w:rsid w:val="00935CC8"/>
    <w:rsid w:val="00937A94"/>
    <w:rsid w:val="00937CD9"/>
    <w:rsid w:val="0094445A"/>
    <w:rsid w:val="00957285"/>
    <w:rsid w:val="00957B64"/>
    <w:rsid w:val="00972D9C"/>
    <w:rsid w:val="0097433C"/>
    <w:rsid w:val="0098022C"/>
    <w:rsid w:val="0098421C"/>
    <w:rsid w:val="00984C1C"/>
    <w:rsid w:val="00991AC3"/>
    <w:rsid w:val="0099227F"/>
    <w:rsid w:val="009927F3"/>
    <w:rsid w:val="009944AB"/>
    <w:rsid w:val="00996B52"/>
    <w:rsid w:val="0099745F"/>
    <w:rsid w:val="009A024E"/>
    <w:rsid w:val="009A11C5"/>
    <w:rsid w:val="009A4D98"/>
    <w:rsid w:val="009A4E23"/>
    <w:rsid w:val="009A59D8"/>
    <w:rsid w:val="009A670F"/>
    <w:rsid w:val="009B139E"/>
    <w:rsid w:val="009B27C7"/>
    <w:rsid w:val="009B4D23"/>
    <w:rsid w:val="009B7B28"/>
    <w:rsid w:val="009C00EF"/>
    <w:rsid w:val="009D2093"/>
    <w:rsid w:val="009D3066"/>
    <w:rsid w:val="009D455D"/>
    <w:rsid w:val="009D4D2C"/>
    <w:rsid w:val="009D607A"/>
    <w:rsid w:val="009D734E"/>
    <w:rsid w:val="009E60E2"/>
    <w:rsid w:val="009E7419"/>
    <w:rsid w:val="009F3D6E"/>
    <w:rsid w:val="009F4CB0"/>
    <w:rsid w:val="009F6842"/>
    <w:rsid w:val="00A0368D"/>
    <w:rsid w:val="00A17400"/>
    <w:rsid w:val="00A23B3D"/>
    <w:rsid w:val="00A33418"/>
    <w:rsid w:val="00A35DA8"/>
    <w:rsid w:val="00A36BAC"/>
    <w:rsid w:val="00A43174"/>
    <w:rsid w:val="00A672B0"/>
    <w:rsid w:val="00A672F4"/>
    <w:rsid w:val="00A81135"/>
    <w:rsid w:val="00A871D7"/>
    <w:rsid w:val="00A9189C"/>
    <w:rsid w:val="00A953B6"/>
    <w:rsid w:val="00A96A1F"/>
    <w:rsid w:val="00AA09D7"/>
    <w:rsid w:val="00AA27FE"/>
    <w:rsid w:val="00AA5423"/>
    <w:rsid w:val="00AA5614"/>
    <w:rsid w:val="00AB064B"/>
    <w:rsid w:val="00AB6F44"/>
    <w:rsid w:val="00AC0D6A"/>
    <w:rsid w:val="00AC6A5D"/>
    <w:rsid w:val="00AD1198"/>
    <w:rsid w:val="00AD24CE"/>
    <w:rsid w:val="00AD3D7C"/>
    <w:rsid w:val="00AD42C3"/>
    <w:rsid w:val="00AD5A53"/>
    <w:rsid w:val="00AE20E1"/>
    <w:rsid w:val="00AE4E1E"/>
    <w:rsid w:val="00AE4F38"/>
    <w:rsid w:val="00AE7A74"/>
    <w:rsid w:val="00AF08E1"/>
    <w:rsid w:val="00AF182C"/>
    <w:rsid w:val="00AF6450"/>
    <w:rsid w:val="00B100ED"/>
    <w:rsid w:val="00B123D2"/>
    <w:rsid w:val="00B16F44"/>
    <w:rsid w:val="00B20526"/>
    <w:rsid w:val="00B226CB"/>
    <w:rsid w:val="00B273A0"/>
    <w:rsid w:val="00B278E9"/>
    <w:rsid w:val="00B27C7F"/>
    <w:rsid w:val="00B27F57"/>
    <w:rsid w:val="00B31744"/>
    <w:rsid w:val="00B350E6"/>
    <w:rsid w:val="00B35CD6"/>
    <w:rsid w:val="00B404E9"/>
    <w:rsid w:val="00B40500"/>
    <w:rsid w:val="00B4200E"/>
    <w:rsid w:val="00B51162"/>
    <w:rsid w:val="00B54DA4"/>
    <w:rsid w:val="00B57198"/>
    <w:rsid w:val="00B57C37"/>
    <w:rsid w:val="00B60E2F"/>
    <w:rsid w:val="00B6265E"/>
    <w:rsid w:val="00B62943"/>
    <w:rsid w:val="00B63261"/>
    <w:rsid w:val="00B65E78"/>
    <w:rsid w:val="00B66DAE"/>
    <w:rsid w:val="00B706BC"/>
    <w:rsid w:val="00B72D43"/>
    <w:rsid w:val="00B73689"/>
    <w:rsid w:val="00B81EBB"/>
    <w:rsid w:val="00B843B2"/>
    <w:rsid w:val="00B858E1"/>
    <w:rsid w:val="00B955CD"/>
    <w:rsid w:val="00B955DB"/>
    <w:rsid w:val="00BA150F"/>
    <w:rsid w:val="00BA21E0"/>
    <w:rsid w:val="00BA26B0"/>
    <w:rsid w:val="00BA64D3"/>
    <w:rsid w:val="00BA64E1"/>
    <w:rsid w:val="00BB35E3"/>
    <w:rsid w:val="00BB40BD"/>
    <w:rsid w:val="00BB50E5"/>
    <w:rsid w:val="00BC211E"/>
    <w:rsid w:val="00BC3E41"/>
    <w:rsid w:val="00BC451E"/>
    <w:rsid w:val="00BD0571"/>
    <w:rsid w:val="00BD3030"/>
    <w:rsid w:val="00BD5717"/>
    <w:rsid w:val="00BD5AAF"/>
    <w:rsid w:val="00BE1FF2"/>
    <w:rsid w:val="00BE37E6"/>
    <w:rsid w:val="00C06A47"/>
    <w:rsid w:val="00C15205"/>
    <w:rsid w:val="00C17453"/>
    <w:rsid w:val="00C2554F"/>
    <w:rsid w:val="00C27782"/>
    <w:rsid w:val="00C35608"/>
    <w:rsid w:val="00C35BDD"/>
    <w:rsid w:val="00C4412D"/>
    <w:rsid w:val="00C463A1"/>
    <w:rsid w:val="00C47808"/>
    <w:rsid w:val="00C52E1C"/>
    <w:rsid w:val="00C5327B"/>
    <w:rsid w:val="00C54664"/>
    <w:rsid w:val="00C56179"/>
    <w:rsid w:val="00C567A9"/>
    <w:rsid w:val="00C56C77"/>
    <w:rsid w:val="00C56CE4"/>
    <w:rsid w:val="00C57234"/>
    <w:rsid w:val="00C57375"/>
    <w:rsid w:val="00C603F1"/>
    <w:rsid w:val="00C60CF3"/>
    <w:rsid w:val="00C6205C"/>
    <w:rsid w:val="00C65CA1"/>
    <w:rsid w:val="00C72547"/>
    <w:rsid w:val="00C766A7"/>
    <w:rsid w:val="00C902A2"/>
    <w:rsid w:val="00CB522B"/>
    <w:rsid w:val="00CC1AE3"/>
    <w:rsid w:val="00CC2BC3"/>
    <w:rsid w:val="00CC3280"/>
    <w:rsid w:val="00CD251C"/>
    <w:rsid w:val="00CD2777"/>
    <w:rsid w:val="00CD766E"/>
    <w:rsid w:val="00CE3E25"/>
    <w:rsid w:val="00CE7484"/>
    <w:rsid w:val="00CE7C91"/>
    <w:rsid w:val="00CF2B72"/>
    <w:rsid w:val="00CF6EAC"/>
    <w:rsid w:val="00D00B3C"/>
    <w:rsid w:val="00D01850"/>
    <w:rsid w:val="00D155F0"/>
    <w:rsid w:val="00D1703E"/>
    <w:rsid w:val="00D17B1B"/>
    <w:rsid w:val="00D24CA7"/>
    <w:rsid w:val="00D3000A"/>
    <w:rsid w:val="00D32AAE"/>
    <w:rsid w:val="00D42AD1"/>
    <w:rsid w:val="00D44A72"/>
    <w:rsid w:val="00D44C7A"/>
    <w:rsid w:val="00D46D1B"/>
    <w:rsid w:val="00D5229B"/>
    <w:rsid w:val="00D577C6"/>
    <w:rsid w:val="00D71F9A"/>
    <w:rsid w:val="00D74612"/>
    <w:rsid w:val="00D7600B"/>
    <w:rsid w:val="00D77C78"/>
    <w:rsid w:val="00D819C4"/>
    <w:rsid w:val="00D83089"/>
    <w:rsid w:val="00D8413F"/>
    <w:rsid w:val="00D85ADF"/>
    <w:rsid w:val="00D86136"/>
    <w:rsid w:val="00D95A58"/>
    <w:rsid w:val="00DA00C7"/>
    <w:rsid w:val="00DA2148"/>
    <w:rsid w:val="00DB0268"/>
    <w:rsid w:val="00DC59C7"/>
    <w:rsid w:val="00DC7781"/>
    <w:rsid w:val="00DD72BE"/>
    <w:rsid w:val="00DD7300"/>
    <w:rsid w:val="00DD7F6D"/>
    <w:rsid w:val="00DE0049"/>
    <w:rsid w:val="00DF3A55"/>
    <w:rsid w:val="00DF4297"/>
    <w:rsid w:val="00E038CF"/>
    <w:rsid w:val="00E04B7C"/>
    <w:rsid w:val="00E0546A"/>
    <w:rsid w:val="00E0774F"/>
    <w:rsid w:val="00E079F4"/>
    <w:rsid w:val="00E126BF"/>
    <w:rsid w:val="00E1468C"/>
    <w:rsid w:val="00E14FFF"/>
    <w:rsid w:val="00E1640F"/>
    <w:rsid w:val="00E20A4C"/>
    <w:rsid w:val="00E2221B"/>
    <w:rsid w:val="00E25B9F"/>
    <w:rsid w:val="00E316DA"/>
    <w:rsid w:val="00E41D9A"/>
    <w:rsid w:val="00E4214B"/>
    <w:rsid w:val="00E535B4"/>
    <w:rsid w:val="00E65DE3"/>
    <w:rsid w:val="00E665F8"/>
    <w:rsid w:val="00E67E81"/>
    <w:rsid w:val="00E73E5C"/>
    <w:rsid w:val="00E7713F"/>
    <w:rsid w:val="00E84ACD"/>
    <w:rsid w:val="00E906C8"/>
    <w:rsid w:val="00E90719"/>
    <w:rsid w:val="00E90F0B"/>
    <w:rsid w:val="00E9314B"/>
    <w:rsid w:val="00E95B7C"/>
    <w:rsid w:val="00E97ABD"/>
    <w:rsid w:val="00EA2107"/>
    <w:rsid w:val="00EA461C"/>
    <w:rsid w:val="00EA63FD"/>
    <w:rsid w:val="00EB4F2F"/>
    <w:rsid w:val="00EC393C"/>
    <w:rsid w:val="00EC644E"/>
    <w:rsid w:val="00EC6AF3"/>
    <w:rsid w:val="00ED4B74"/>
    <w:rsid w:val="00EE3A78"/>
    <w:rsid w:val="00EE468F"/>
    <w:rsid w:val="00EE7ADD"/>
    <w:rsid w:val="00EF2BAB"/>
    <w:rsid w:val="00EF2C25"/>
    <w:rsid w:val="00EF44FA"/>
    <w:rsid w:val="00EF6550"/>
    <w:rsid w:val="00EF67D2"/>
    <w:rsid w:val="00F0115E"/>
    <w:rsid w:val="00F02298"/>
    <w:rsid w:val="00F058E2"/>
    <w:rsid w:val="00F0628B"/>
    <w:rsid w:val="00F0723D"/>
    <w:rsid w:val="00F1088E"/>
    <w:rsid w:val="00F13367"/>
    <w:rsid w:val="00F13768"/>
    <w:rsid w:val="00F14911"/>
    <w:rsid w:val="00F16732"/>
    <w:rsid w:val="00F24C37"/>
    <w:rsid w:val="00F40789"/>
    <w:rsid w:val="00F4394A"/>
    <w:rsid w:val="00F45691"/>
    <w:rsid w:val="00F53214"/>
    <w:rsid w:val="00F56684"/>
    <w:rsid w:val="00F5761C"/>
    <w:rsid w:val="00F62D01"/>
    <w:rsid w:val="00F64EA9"/>
    <w:rsid w:val="00F670B9"/>
    <w:rsid w:val="00F7186A"/>
    <w:rsid w:val="00F71F0B"/>
    <w:rsid w:val="00F74144"/>
    <w:rsid w:val="00F74636"/>
    <w:rsid w:val="00F8489F"/>
    <w:rsid w:val="00FA36B8"/>
    <w:rsid w:val="00FA3768"/>
    <w:rsid w:val="00FA5A04"/>
    <w:rsid w:val="00FA7D75"/>
    <w:rsid w:val="00FB0F9C"/>
    <w:rsid w:val="00FB7122"/>
    <w:rsid w:val="00FB7BBF"/>
    <w:rsid w:val="00FD0A25"/>
    <w:rsid w:val="00FD13B2"/>
    <w:rsid w:val="00FD18B5"/>
    <w:rsid w:val="00FD1DEC"/>
    <w:rsid w:val="00FE1EBD"/>
    <w:rsid w:val="00FE59CD"/>
    <w:rsid w:val="00FF1BA2"/>
    <w:rsid w:val="00FF56FA"/>
    <w:rsid w:val="00FF6B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1760D6"/>
  <w15:chartTrackingRefBased/>
  <w15:docId w15:val="{9779D117-441E-4298-8951-7D5BA33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4843"/>
    <w:pPr>
      <w:widowControl w:val="0"/>
      <w:wordWrap w:val="0"/>
      <w:autoSpaceDE w:val="0"/>
      <w:autoSpaceDN w:val="0"/>
    </w:pPr>
  </w:style>
  <w:style w:type="paragraph" w:styleId="1">
    <w:name w:val="heading 1"/>
    <w:basedOn w:val="a"/>
    <w:next w:val="a"/>
    <w:link w:val="1Char"/>
    <w:uiPriority w:val="9"/>
    <w:qFormat/>
    <w:rsid w:val="004C43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3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C43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3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3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3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3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3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3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3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3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C43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3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3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3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3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3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3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3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3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3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3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3C1"/>
    <w:pPr>
      <w:spacing w:before="160"/>
      <w:jc w:val="center"/>
    </w:pPr>
    <w:rPr>
      <w:i/>
      <w:iCs/>
      <w:color w:val="404040" w:themeColor="text1" w:themeTint="BF"/>
    </w:rPr>
  </w:style>
  <w:style w:type="character" w:customStyle="1" w:styleId="Char1">
    <w:name w:val="인용 Char"/>
    <w:basedOn w:val="a0"/>
    <w:link w:val="a5"/>
    <w:uiPriority w:val="29"/>
    <w:rsid w:val="004C43C1"/>
    <w:rPr>
      <w:i/>
      <w:iCs/>
      <w:color w:val="404040" w:themeColor="text1" w:themeTint="BF"/>
    </w:rPr>
  </w:style>
  <w:style w:type="paragraph" w:styleId="a6">
    <w:name w:val="List Paragraph"/>
    <w:basedOn w:val="a"/>
    <w:uiPriority w:val="34"/>
    <w:qFormat/>
    <w:rsid w:val="004C43C1"/>
    <w:pPr>
      <w:ind w:left="720"/>
      <w:contextualSpacing/>
    </w:pPr>
  </w:style>
  <w:style w:type="character" w:styleId="a7">
    <w:name w:val="Intense Emphasis"/>
    <w:basedOn w:val="a0"/>
    <w:uiPriority w:val="21"/>
    <w:qFormat/>
    <w:rsid w:val="004C43C1"/>
    <w:rPr>
      <w:i/>
      <w:iCs/>
      <w:color w:val="0F4761" w:themeColor="accent1" w:themeShade="BF"/>
    </w:rPr>
  </w:style>
  <w:style w:type="paragraph" w:styleId="a8">
    <w:name w:val="Intense Quote"/>
    <w:basedOn w:val="a"/>
    <w:next w:val="a"/>
    <w:link w:val="Char2"/>
    <w:uiPriority w:val="30"/>
    <w:qFormat/>
    <w:rsid w:val="004C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3C1"/>
    <w:rPr>
      <w:i/>
      <w:iCs/>
      <w:color w:val="0F4761" w:themeColor="accent1" w:themeShade="BF"/>
    </w:rPr>
  </w:style>
  <w:style w:type="character" w:styleId="a9">
    <w:name w:val="Intense Reference"/>
    <w:basedOn w:val="a0"/>
    <w:uiPriority w:val="32"/>
    <w:qFormat/>
    <w:rsid w:val="004C43C1"/>
    <w:rPr>
      <w:b/>
      <w:bCs/>
      <w:smallCaps/>
      <w:color w:val="0F4761" w:themeColor="accent1" w:themeShade="BF"/>
      <w:spacing w:val="5"/>
    </w:rPr>
  </w:style>
  <w:style w:type="character" w:styleId="aa">
    <w:name w:val="annotation reference"/>
    <w:basedOn w:val="a0"/>
    <w:uiPriority w:val="99"/>
    <w:semiHidden/>
    <w:unhideWhenUsed/>
    <w:rsid w:val="0038053E"/>
    <w:rPr>
      <w:sz w:val="18"/>
      <w:szCs w:val="18"/>
    </w:rPr>
  </w:style>
  <w:style w:type="paragraph" w:styleId="ab">
    <w:name w:val="annotation text"/>
    <w:basedOn w:val="a"/>
    <w:link w:val="Char3"/>
    <w:uiPriority w:val="99"/>
    <w:unhideWhenUsed/>
    <w:rsid w:val="0038053E"/>
    <w:pPr>
      <w:spacing w:line="259" w:lineRule="auto"/>
    </w:pPr>
    <w:rPr>
      <w:rFonts w:asciiTheme="minorHAnsi"/>
      <w:sz w:val="20"/>
      <w:szCs w:val="22"/>
      <w14:ligatures w14:val="none"/>
    </w:rPr>
  </w:style>
  <w:style w:type="character" w:customStyle="1" w:styleId="Char3">
    <w:name w:val="메모 텍스트 Char"/>
    <w:basedOn w:val="a0"/>
    <w:link w:val="ab"/>
    <w:uiPriority w:val="99"/>
    <w:rsid w:val="0038053E"/>
    <w:rPr>
      <w:rFonts w:asciiTheme="minorHAnsi"/>
      <w:sz w:val="20"/>
      <w:szCs w:val="22"/>
      <w14:ligatures w14:val="none"/>
    </w:rPr>
  </w:style>
  <w:style w:type="character" w:styleId="ac">
    <w:name w:val="Strong"/>
    <w:basedOn w:val="a0"/>
    <w:uiPriority w:val="22"/>
    <w:qFormat/>
    <w:rsid w:val="0038053E"/>
    <w:rPr>
      <w:b/>
      <w:bCs/>
    </w:rPr>
  </w:style>
  <w:style w:type="character" w:styleId="ad">
    <w:name w:val="Hyperlink"/>
    <w:basedOn w:val="a0"/>
    <w:uiPriority w:val="99"/>
    <w:unhideWhenUsed/>
    <w:rsid w:val="0038053E"/>
    <w:rPr>
      <w:color w:val="467886" w:themeColor="hyperlink"/>
      <w:u w:val="single"/>
    </w:rPr>
  </w:style>
  <w:style w:type="character" w:customStyle="1" w:styleId="10">
    <w:name w:val="확인되지 않은 멘션1"/>
    <w:basedOn w:val="a0"/>
    <w:uiPriority w:val="99"/>
    <w:semiHidden/>
    <w:unhideWhenUsed/>
    <w:rsid w:val="0038053E"/>
    <w:rPr>
      <w:color w:val="605E5C"/>
      <w:shd w:val="clear" w:color="auto" w:fill="E1DFDD"/>
    </w:rPr>
  </w:style>
  <w:style w:type="paragraph" w:styleId="ae">
    <w:name w:val="No Spacing"/>
    <w:uiPriority w:val="1"/>
    <w:qFormat/>
    <w:rsid w:val="000D69DD"/>
    <w:pPr>
      <w:widowControl w:val="0"/>
      <w:wordWrap w:val="0"/>
      <w:autoSpaceDE w:val="0"/>
      <w:autoSpaceDN w:val="0"/>
      <w:spacing w:after="0"/>
    </w:pPr>
  </w:style>
  <w:style w:type="paragraph" w:styleId="af">
    <w:name w:val="annotation subject"/>
    <w:basedOn w:val="ab"/>
    <w:next w:val="ab"/>
    <w:link w:val="Char4"/>
    <w:uiPriority w:val="99"/>
    <w:semiHidden/>
    <w:unhideWhenUsed/>
    <w:rsid w:val="00BD3030"/>
    <w:pPr>
      <w:spacing w:line="240" w:lineRule="auto"/>
    </w:pPr>
    <w:rPr>
      <w:rFonts w:asciiTheme="minorEastAsia"/>
      <w:b/>
      <w:bCs/>
      <w:sz w:val="22"/>
      <w:szCs w:val="24"/>
      <w14:ligatures w14:val="standardContextual"/>
    </w:rPr>
  </w:style>
  <w:style w:type="character" w:customStyle="1" w:styleId="Char4">
    <w:name w:val="메모 주제 Char"/>
    <w:basedOn w:val="Char3"/>
    <w:link w:val="af"/>
    <w:uiPriority w:val="99"/>
    <w:semiHidden/>
    <w:rsid w:val="00BD3030"/>
    <w:rPr>
      <w:rFonts w:asciiTheme="minorHAnsi"/>
      <w:b/>
      <w:bCs/>
      <w:sz w:val="20"/>
      <w:szCs w:val="22"/>
      <w14:ligatures w14:val="none"/>
    </w:rPr>
  </w:style>
  <w:style w:type="paragraph" w:styleId="af0">
    <w:name w:val="Balloon Text"/>
    <w:basedOn w:val="a"/>
    <w:link w:val="Char5"/>
    <w:uiPriority w:val="99"/>
    <w:semiHidden/>
    <w:unhideWhenUsed/>
    <w:rsid w:val="00A9189C"/>
    <w:pPr>
      <w:spacing w:after="0"/>
    </w:pPr>
    <w:rPr>
      <w:rFonts w:asciiTheme="majorHAnsi" w:eastAsiaTheme="majorEastAsia" w:hAnsiTheme="majorHAnsi" w:cstheme="majorBidi"/>
      <w:sz w:val="18"/>
      <w:szCs w:val="18"/>
    </w:rPr>
  </w:style>
  <w:style w:type="character" w:customStyle="1" w:styleId="Char5">
    <w:name w:val="풍선 도움말 텍스트 Char"/>
    <w:basedOn w:val="a0"/>
    <w:link w:val="af0"/>
    <w:uiPriority w:val="99"/>
    <w:semiHidden/>
    <w:rsid w:val="00A9189C"/>
    <w:rPr>
      <w:rFonts w:asciiTheme="majorHAnsi" w:eastAsiaTheme="majorEastAsia" w:hAnsiTheme="majorHAnsi" w:cstheme="majorBidi"/>
      <w:sz w:val="18"/>
      <w:szCs w:val="18"/>
    </w:rPr>
  </w:style>
  <w:style w:type="character" w:customStyle="1" w:styleId="20">
    <w:name w:val="확인되지 않은 멘션2"/>
    <w:basedOn w:val="a0"/>
    <w:uiPriority w:val="99"/>
    <w:semiHidden/>
    <w:unhideWhenUsed/>
    <w:rsid w:val="003476AB"/>
    <w:rPr>
      <w:color w:val="605E5C"/>
      <w:shd w:val="clear" w:color="auto" w:fill="E1DFDD"/>
    </w:rPr>
  </w:style>
  <w:style w:type="paragraph" w:styleId="af1">
    <w:name w:val="Normal (Web)"/>
    <w:basedOn w:val="a"/>
    <w:uiPriority w:val="99"/>
    <w:semiHidden/>
    <w:unhideWhenUsed/>
    <w:rsid w:val="00D1703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FollowedHyperlink"/>
    <w:basedOn w:val="a0"/>
    <w:uiPriority w:val="99"/>
    <w:semiHidden/>
    <w:unhideWhenUsed/>
    <w:rsid w:val="007D3BEB"/>
    <w:rPr>
      <w:color w:val="96607D" w:themeColor="followedHyperlink"/>
      <w:u w:val="single"/>
    </w:rPr>
  </w:style>
  <w:style w:type="paragraph" w:styleId="af3">
    <w:name w:val="footnote text"/>
    <w:basedOn w:val="a"/>
    <w:link w:val="Char6"/>
    <w:uiPriority w:val="99"/>
    <w:semiHidden/>
    <w:unhideWhenUsed/>
    <w:rsid w:val="009D3066"/>
    <w:pPr>
      <w:snapToGrid w:val="0"/>
    </w:pPr>
  </w:style>
  <w:style w:type="character" w:customStyle="1" w:styleId="Char6">
    <w:name w:val="각주 텍스트 Char"/>
    <w:basedOn w:val="a0"/>
    <w:link w:val="af3"/>
    <w:uiPriority w:val="99"/>
    <w:semiHidden/>
    <w:rsid w:val="009D3066"/>
  </w:style>
  <w:style w:type="character" w:styleId="af4">
    <w:name w:val="footnote reference"/>
    <w:basedOn w:val="a0"/>
    <w:uiPriority w:val="99"/>
    <w:semiHidden/>
    <w:unhideWhenUsed/>
    <w:rsid w:val="009D3066"/>
    <w:rPr>
      <w:vertAlign w:val="superscript"/>
    </w:rPr>
  </w:style>
  <w:style w:type="paragraph" w:styleId="af5">
    <w:name w:val="header"/>
    <w:basedOn w:val="a"/>
    <w:link w:val="Char7"/>
    <w:uiPriority w:val="99"/>
    <w:unhideWhenUsed/>
    <w:rsid w:val="00EF2BAB"/>
    <w:pPr>
      <w:tabs>
        <w:tab w:val="center" w:pos="4513"/>
        <w:tab w:val="right" w:pos="9026"/>
      </w:tabs>
      <w:snapToGrid w:val="0"/>
    </w:pPr>
  </w:style>
  <w:style w:type="character" w:customStyle="1" w:styleId="Char7">
    <w:name w:val="머리글 Char"/>
    <w:basedOn w:val="a0"/>
    <w:link w:val="af5"/>
    <w:uiPriority w:val="99"/>
    <w:rsid w:val="00EF2BAB"/>
  </w:style>
  <w:style w:type="paragraph" w:styleId="af6">
    <w:name w:val="footer"/>
    <w:basedOn w:val="a"/>
    <w:link w:val="Char8"/>
    <w:uiPriority w:val="99"/>
    <w:unhideWhenUsed/>
    <w:rsid w:val="00EF2BAB"/>
    <w:pPr>
      <w:tabs>
        <w:tab w:val="center" w:pos="4513"/>
        <w:tab w:val="right" w:pos="9026"/>
      </w:tabs>
      <w:snapToGrid w:val="0"/>
    </w:pPr>
  </w:style>
  <w:style w:type="character" w:customStyle="1" w:styleId="Char8">
    <w:name w:val="바닥글 Char"/>
    <w:basedOn w:val="a0"/>
    <w:link w:val="af6"/>
    <w:uiPriority w:val="99"/>
    <w:rsid w:val="00EF2BAB"/>
  </w:style>
  <w:style w:type="table" w:styleId="af7">
    <w:name w:val="Table Grid"/>
    <w:basedOn w:val="a1"/>
    <w:uiPriority w:val="39"/>
    <w:rsid w:val="009E74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9E741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30">
    <w:name w:val="확인되지 않은 멘션3"/>
    <w:basedOn w:val="a0"/>
    <w:uiPriority w:val="99"/>
    <w:semiHidden/>
    <w:unhideWhenUsed/>
    <w:rsid w:val="00BD5717"/>
    <w:rPr>
      <w:color w:val="605E5C"/>
      <w:shd w:val="clear" w:color="auto" w:fill="E1DFDD"/>
    </w:rPr>
  </w:style>
  <w:style w:type="character" w:customStyle="1" w:styleId="40">
    <w:name w:val="확인되지 않은 멘션4"/>
    <w:basedOn w:val="a0"/>
    <w:uiPriority w:val="99"/>
    <w:semiHidden/>
    <w:unhideWhenUsed/>
    <w:rsid w:val="009D455D"/>
    <w:rPr>
      <w:color w:val="605E5C"/>
      <w:shd w:val="clear" w:color="auto" w:fill="E1DFDD"/>
    </w:rPr>
  </w:style>
  <w:style w:type="paragraph" w:customStyle="1" w:styleId="af8">
    <w:name w:val="바탕글"/>
    <w:basedOn w:val="a"/>
    <w:rsid w:val="0019392F"/>
    <w:pPr>
      <w:widowControl/>
      <w:wordWrap/>
      <w:autoSpaceDE/>
      <w:autoSpaceDN/>
      <w:spacing w:after="0" w:line="384" w:lineRule="auto"/>
      <w:textAlignment w:val="baseline"/>
    </w:pPr>
    <w:rPr>
      <w:rFonts w:ascii="함초롬바탕" w:eastAsia="굴림" w:hAnsi="굴림" w:cs="굴림"/>
      <w:color w:val="000000"/>
      <w:kern w:val="0"/>
      <w:sz w:val="24"/>
      <w:szCs w:val="20"/>
      <w14:ligatures w14:val="none"/>
    </w:rPr>
  </w:style>
  <w:style w:type="paragraph" w:styleId="af9">
    <w:name w:val="Revision"/>
    <w:hidden/>
    <w:uiPriority w:val="99"/>
    <w:semiHidden/>
    <w:rsid w:val="00457072"/>
    <w:pPr>
      <w:spacing w:after="0"/>
    </w:pPr>
  </w:style>
  <w:style w:type="character" w:customStyle="1" w:styleId="UnresolvedMention">
    <w:name w:val="Unresolved Mention"/>
    <w:basedOn w:val="a0"/>
    <w:uiPriority w:val="99"/>
    <w:semiHidden/>
    <w:unhideWhenUsed/>
    <w:rsid w:val="00914F2E"/>
    <w:rPr>
      <w:color w:val="605E5C"/>
      <w:shd w:val="clear" w:color="auto" w:fill="E1DFDD"/>
    </w:rPr>
  </w:style>
  <w:style w:type="character" w:styleId="afa">
    <w:name w:val="Emphasis"/>
    <w:basedOn w:val="a0"/>
    <w:uiPriority w:val="20"/>
    <w:qFormat/>
    <w:rsid w:val="00FB7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3831">
      <w:bodyDiv w:val="1"/>
      <w:marLeft w:val="0"/>
      <w:marRight w:val="0"/>
      <w:marTop w:val="0"/>
      <w:marBottom w:val="0"/>
      <w:divBdr>
        <w:top w:val="none" w:sz="0" w:space="0" w:color="auto"/>
        <w:left w:val="none" w:sz="0" w:space="0" w:color="auto"/>
        <w:bottom w:val="none" w:sz="0" w:space="0" w:color="auto"/>
        <w:right w:val="none" w:sz="0" w:space="0" w:color="auto"/>
      </w:divBdr>
    </w:div>
    <w:div w:id="186335508">
      <w:bodyDiv w:val="1"/>
      <w:marLeft w:val="0"/>
      <w:marRight w:val="0"/>
      <w:marTop w:val="0"/>
      <w:marBottom w:val="0"/>
      <w:divBdr>
        <w:top w:val="none" w:sz="0" w:space="0" w:color="auto"/>
        <w:left w:val="none" w:sz="0" w:space="0" w:color="auto"/>
        <w:bottom w:val="none" w:sz="0" w:space="0" w:color="auto"/>
        <w:right w:val="none" w:sz="0" w:space="0" w:color="auto"/>
      </w:divBdr>
    </w:div>
    <w:div w:id="208805662">
      <w:bodyDiv w:val="1"/>
      <w:marLeft w:val="0"/>
      <w:marRight w:val="0"/>
      <w:marTop w:val="0"/>
      <w:marBottom w:val="0"/>
      <w:divBdr>
        <w:top w:val="none" w:sz="0" w:space="0" w:color="auto"/>
        <w:left w:val="none" w:sz="0" w:space="0" w:color="auto"/>
        <w:bottom w:val="none" w:sz="0" w:space="0" w:color="auto"/>
        <w:right w:val="none" w:sz="0" w:space="0" w:color="auto"/>
      </w:divBdr>
    </w:div>
    <w:div w:id="211427898">
      <w:bodyDiv w:val="1"/>
      <w:marLeft w:val="0"/>
      <w:marRight w:val="0"/>
      <w:marTop w:val="0"/>
      <w:marBottom w:val="0"/>
      <w:divBdr>
        <w:top w:val="none" w:sz="0" w:space="0" w:color="auto"/>
        <w:left w:val="none" w:sz="0" w:space="0" w:color="auto"/>
        <w:bottom w:val="none" w:sz="0" w:space="0" w:color="auto"/>
        <w:right w:val="none" w:sz="0" w:space="0" w:color="auto"/>
      </w:divBdr>
    </w:div>
    <w:div w:id="216746010">
      <w:bodyDiv w:val="1"/>
      <w:marLeft w:val="0"/>
      <w:marRight w:val="0"/>
      <w:marTop w:val="0"/>
      <w:marBottom w:val="0"/>
      <w:divBdr>
        <w:top w:val="none" w:sz="0" w:space="0" w:color="auto"/>
        <w:left w:val="none" w:sz="0" w:space="0" w:color="auto"/>
        <w:bottom w:val="none" w:sz="0" w:space="0" w:color="auto"/>
        <w:right w:val="none" w:sz="0" w:space="0" w:color="auto"/>
      </w:divBdr>
    </w:div>
    <w:div w:id="256914002">
      <w:bodyDiv w:val="1"/>
      <w:marLeft w:val="0"/>
      <w:marRight w:val="0"/>
      <w:marTop w:val="0"/>
      <w:marBottom w:val="0"/>
      <w:divBdr>
        <w:top w:val="none" w:sz="0" w:space="0" w:color="auto"/>
        <w:left w:val="none" w:sz="0" w:space="0" w:color="auto"/>
        <w:bottom w:val="none" w:sz="0" w:space="0" w:color="auto"/>
        <w:right w:val="none" w:sz="0" w:space="0" w:color="auto"/>
      </w:divBdr>
    </w:div>
    <w:div w:id="271671335">
      <w:bodyDiv w:val="1"/>
      <w:marLeft w:val="0"/>
      <w:marRight w:val="0"/>
      <w:marTop w:val="0"/>
      <w:marBottom w:val="0"/>
      <w:divBdr>
        <w:top w:val="none" w:sz="0" w:space="0" w:color="auto"/>
        <w:left w:val="none" w:sz="0" w:space="0" w:color="auto"/>
        <w:bottom w:val="none" w:sz="0" w:space="0" w:color="auto"/>
        <w:right w:val="none" w:sz="0" w:space="0" w:color="auto"/>
      </w:divBdr>
    </w:div>
    <w:div w:id="273440163">
      <w:bodyDiv w:val="1"/>
      <w:marLeft w:val="0"/>
      <w:marRight w:val="0"/>
      <w:marTop w:val="0"/>
      <w:marBottom w:val="0"/>
      <w:divBdr>
        <w:top w:val="none" w:sz="0" w:space="0" w:color="auto"/>
        <w:left w:val="none" w:sz="0" w:space="0" w:color="auto"/>
        <w:bottom w:val="none" w:sz="0" w:space="0" w:color="auto"/>
        <w:right w:val="none" w:sz="0" w:space="0" w:color="auto"/>
      </w:divBdr>
    </w:div>
    <w:div w:id="301623112">
      <w:bodyDiv w:val="1"/>
      <w:marLeft w:val="0"/>
      <w:marRight w:val="0"/>
      <w:marTop w:val="0"/>
      <w:marBottom w:val="0"/>
      <w:divBdr>
        <w:top w:val="none" w:sz="0" w:space="0" w:color="auto"/>
        <w:left w:val="none" w:sz="0" w:space="0" w:color="auto"/>
        <w:bottom w:val="none" w:sz="0" w:space="0" w:color="auto"/>
        <w:right w:val="none" w:sz="0" w:space="0" w:color="auto"/>
      </w:divBdr>
    </w:div>
    <w:div w:id="332225917">
      <w:bodyDiv w:val="1"/>
      <w:marLeft w:val="0"/>
      <w:marRight w:val="0"/>
      <w:marTop w:val="0"/>
      <w:marBottom w:val="0"/>
      <w:divBdr>
        <w:top w:val="none" w:sz="0" w:space="0" w:color="auto"/>
        <w:left w:val="none" w:sz="0" w:space="0" w:color="auto"/>
        <w:bottom w:val="none" w:sz="0" w:space="0" w:color="auto"/>
        <w:right w:val="none" w:sz="0" w:space="0" w:color="auto"/>
      </w:divBdr>
    </w:div>
    <w:div w:id="370768898">
      <w:bodyDiv w:val="1"/>
      <w:marLeft w:val="0"/>
      <w:marRight w:val="0"/>
      <w:marTop w:val="0"/>
      <w:marBottom w:val="0"/>
      <w:divBdr>
        <w:top w:val="none" w:sz="0" w:space="0" w:color="auto"/>
        <w:left w:val="none" w:sz="0" w:space="0" w:color="auto"/>
        <w:bottom w:val="none" w:sz="0" w:space="0" w:color="auto"/>
        <w:right w:val="none" w:sz="0" w:space="0" w:color="auto"/>
      </w:divBdr>
    </w:div>
    <w:div w:id="378676195">
      <w:bodyDiv w:val="1"/>
      <w:marLeft w:val="0"/>
      <w:marRight w:val="0"/>
      <w:marTop w:val="0"/>
      <w:marBottom w:val="0"/>
      <w:divBdr>
        <w:top w:val="none" w:sz="0" w:space="0" w:color="auto"/>
        <w:left w:val="none" w:sz="0" w:space="0" w:color="auto"/>
        <w:bottom w:val="none" w:sz="0" w:space="0" w:color="auto"/>
        <w:right w:val="none" w:sz="0" w:space="0" w:color="auto"/>
      </w:divBdr>
    </w:div>
    <w:div w:id="399988352">
      <w:bodyDiv w:val="1"/>
      <w:marLeft w:val="0"/>
      <w:marRight w:val="0"/>
      <w:marTop w:val="0"/>
      <w:marBottom w:val="0"/>
      <w:divBdr>
        <w:top w:val="none" w:sz="0" w:space="0" w:color="auto"/>
        <w:left w:val="none" w:sz="0" w:space="0" w:color="auto"/>
        <w:bottom w:val="none" w:sz="0" w:space="0" w:color="auto"/>
        <w:right w:val="none" w:sz="0" w:space="0" w:color="auto"/>
      </w:divBdr>
      <w:divsChild>
        <w:div w:id="1687172741">
          <w:marLeft w:val="0"/>
          <w:marRight w:val="0"/>
          <w:marTop w:val="0"/>
          <w:marBottom w:val="0"/>
          <w:divBdr>
            <w:top w:val="none" w:sz="0" w:space="0" w:color="auto"/>
            <w:left w:val="none" w:sz="0" w:space="0" w:color="auto"/>
            <w:bottom w:val="none" w:sz="0" w:space="0" w:color="auto"/>
            <w:right w:val="none" w:sz="0" w:space="0" w:color="auto"/>
          </w:divBdr>
        </w:div>
      </w:divsChild>
    </w:div>
    <w:div w:id="402072961">
      <w:bodyDiv w:val="1"/>
      <w:marLeft w:val="0"/>
      <w:marRight w:val="0"/>
      <w:marTop w:val="0"/>
      <w:marBottom w:val="0"/>
      <w:divBdr>
        <w:top w:val="none" w:sz="0" w:space="0" w:color="auto"/>
        <w:left w:val="none" w:sz="0" w:space="0" w:color="auto"/>
        <w:bottom w:val="none" w:sz="0" w:space="0" w:color="auto"/>
        <w:right w:val="none" w:sz="0" w:space="0" w:color="auto"/>
      </w:divBdr>
    </w:div>
    <w:div w:id="413287267">
      <w:bodyDiv w:val="1"/>
      <w:marLeft w:val="0"/>
      <w:marRight w:val="0"/>
      <w:marTop w:val="0"/>
      <w:marBottom w:val="0"/>
      <w:divBdr>
        <w:top w:val="none" w:sz="0" w:space="0" w:color="auto"/>
        <w:left w:val="none" w:sz="0" w:space="0" w:color="auto"/>
        <w:bottom w:val="none" w:sz="0" w:space="0" w:color="auto"/>
        <w:right w:val="none" w:sz="0" w:space="0" w:color="auto"/>
      </w:divBdr>
    </w:div>
    <w:div w:id="415787270">
      <w:bodyDiv w:val="1"/>
      <w:marLeft w:val="0"/>
      <w:marRight w:val="0"/>
      <w:marTop w:val="0"/>
      <w:marBottom w:val="0"/>
      <w:divBdr>
        <w:top w:val="none" w:sz="0" w:space="0" w:color="auto"/>
        <w:left w:val="none" w:sz="0" w:space="0" w:color="auto"/>
        <w:bottom w:val="none" w:sz="0" w:space="0" w:color="auto"/>
        <w:right w:val="none" w:sz="0" w:space="0" w:color="auto"/>
      </w:divBdr>
    </w:div>
    <w:div w:id="424962801">
      <w:bodyDiv w:val="1"/>
      <w:marLeft w:val="0"/>
      <w:marRight w:val="0"/>
      <w:marTop w:val="0"/>
      <w:marBottom w:val="0"/>
      <w:divBdr>
        <w:top w:val="none" w:sz="0" w:space="0" w:color="auto"/>
        <w:left w:val="none" w:sz="0" w:space="0" w:color="auto"/>
        <w:bottom w:val="none" w:sz="0" w:space="0" w:color="auto"/>
        <w:right w:val="none" w:sz="0" w:space="0" w:color="auto"/>
      </w:divBdr>
    </w:div>
    <w:div w:id="443617140">
      <w:bodyDiv w:val="1"/>
      <w:marLeft w:val="0"/>
      <w:marRight w:val="0"/>
      <w:marTop w:val="0"/>
      <w:marBottom w:val="0"/>
      <w:divBdr>
        <w:top w:val="none" w:sz="0" w:space="0" w:color="auto"/>
        <w:left w:val="none" w:sz="0" w:space="0" w:color="auto"/>
        <w:bottom w:val="none" w:sz="0" w:space="0" w:color="auto"/>
        <w:right w:val="none" w:sz="0" w:space="0" w:color="auto"/>
      </w:divBdr>
    </w:div>
    <w:div w:id="473182917">
      <w:bodyDiv w:val="1"/>
      <w:marLeft w:val="0"/>
      <w:marRight w:val="0"/>
      <w:marTop w:val="0"/>
      <w:marBottom w:val="0"/>
      <w:divBdr>
        <w:top w:val="none" w:sz="0" w:space="0" w:color="auto"/>
        <w:left w:val="none" w:sz="0" w:space="0" w:color="auto"/>
        <w:bottom w:val="none" w:sz="0" w:space="0" w:color="auto"/>
        <w:right w:val="none" w:sz="0" w:space="0" w:color="auto"/>
      </w:divBdr>
    </w:div>
    <w:div w:id="484782586">
      <w:bodyDiv w:val="1"/>
      <w:marLeft w:val="0"/>
      <w:marRight w:val="0"/>
      <w:marTop w:val="0"/>
      <w:marBottom w:val="0"/>
      <w:divBdr>
        <w:top w:val="none" w:sz="0" w:space="0" w:color="auto"/>
        <w:left w:val="none" w:sz="0" w:space="0" w:color="auto"/>
        <w:bottom w:val="none" w:sz="0" w:space="0" w:color="auto"/>
        <w:right w:val="none" w:sz="0" w:space="0" w:color="auto"/>
      </w:divBdr>
    </w:div>
    <w:div w:id="493451569">
      <w:bodyDiv w:val="1"/>
      <w:marLeft w:val="0"/>
      <w:marRight w:val="0"/>
      <w:marTop w:val="0"/>
      <w:marBottom w:val="0"/>
      <w:divBdr>
        <w:top w:val="none" w:sz="0" w:space="0" w:color="auto"/>
        <w:left w:val="none" w:sz="0" w:space="0" w:color="auto"/>
        <w:bottom w:val="none" w:sz="0" w:space="0" w:color="auto"/>
        <w:right w:val="none" w:sz="0" w:space="0" w:color="auto"/>
      </w:divBdr>
    </w:div>
    <w:div w:id="517352171">
      <w:bodyDiv w:val="1"/>
      <w:marLeft w:val="0"/>
      <w:marRight w:val="0"/>
      <w:marTop w:val="0"/>
      <w:marBottom w:val="0"/>
      <w:divBdr>
        <w:top w:val="none" w:sz="0" w:space="0" w:color="auto"/>
        <w:left w:val="none" w:sz="0" w:space="0" w:color="auto"/>
        <w:bottom w:val="none" w:sz="0" w:space="0" w:color="auto"/>
        <w:right w:val="none" w:sz="0" w:space="0" w:color="auto"/>
      </w:divBdr>
    </w:div>
    <w:div w:id="531848615">
      <w:bodyDiv w:val="1"/>
      <w:marLeft w:val="0"/>
      <w:marRight w:val="0"/>
      <w:marTop w:val="0"/>
      <w:marBottom w:val="0"/>
      <w:divBdr>
        <w:top w:val="none" w:sz="0" w:space="0" w:color="auto"/>
        <w:left w:val="none" w:sz="0" w:space="0" w:color="auto"/>
        <w:bottom w:val="none" w:sz="0" w:space="0" w:color="auto"/>
        <w:right w:val="none" w:sz="0" w:space="0" w:color="auto"/>
      </w:divBdr>
    </w:div>
    <w:div w:id="534928673">
      <w:bodyDiv w:val="1"/>
      <w:marLeft w:val="0"/>
      <w:marRight w:val="0"/>
      <w:marTop w:val="0"/>
      <w:marBottom w:val="0"/>
      <w:divBdr>
        <w:top w:val="none" w:sz="0" w:space="0" w:color="auto"/>
        <w:left w:val="none" w:sz="0" w:space="0" w:color="auto"/>
        <w:bottom w:val="none" w:sz="0" w:space="0" w:color="auto"/>
        <w:right w:val="none" w:sz="0" w:space="0" w:color="auto"/>
      </w:divBdr>
    </w:div>
    <w:div w:id="566301570">
      <w:bodyDiv w:val="1"/>
      <w:marLeft w:val="0"/>
      <w:marRight w:val="0"/>
      <w:marTop w:val="0"/>
      <w:marBottom w:val="0"/>
      <w:divBdr>
        <w:top w:val="none" w:sz="0" w:space="0" w:color="auto"/>
        <w:left w:val="none" w:sz="0" w:space="0" w:color="auto"/>
        <w:bottom w:val="none" w:sz="0" w:space="0" w:color="auto"/>
        <w:right w:val="none" w:sz="0" w:space="0" w:color="auto"/>
      </w:divBdr>
      <w:divsChild>
        <w:div w:id="1947228083">
          <w:marLeft w:val="0"/>
          <w:marRight w:val="0"/>
          <w:marTop w:val="0"/>
          <w:marBottom w:val="0"/>
          <w:divBdr>
            <w:top w:val="none" w:sz="0" w:space="0" w:color="auto"/>
            <w:left w:val="none" w:sz="0" w:space="0" w:color="auto"/>
            <w:bottom w:val="none" w:sz="0" w:space="0" w:color="auto"/>
            <w:right w:val="none" w:sz="0" w:space="0" w:color="auto"/>
          </w:divBdr>
        </w:div>
      </w:divsChild>
    </w:div>
    <w:div w:id="610743320">
      <w:bodyDiv w:val="1"/>
      <w:marLeft w:val="0"/>
      <w:marRight w:val="0"/>
      <w:marTop w:val="0"/>
      <w:marBottom w:val="0"/>
      <w:divBdr>
        <w:top w:val="none" w:sz="0" w:space="0" w:color="auto"/>
        <w:left w:val="none" w:sz="0" w:space="0" w:color="auto"/>
        <w:bottom w:val="none" w:sz="0" w:space="0" w:color="auto"/>
        <w:right w:val="none" w:sz="0" w:space="0" w:color="auto"/>
      </w:divBdr>
    </w:div>
    <w:div w:id="615330747">
      <w:bodyDiv w:val="1"/>
      <w:marLeft w:val="0"/>
      <w:marRight w:val="0"/>
      <w:marTop w:val="0"/>
      <w:marBottom w:val="0"/>
      <w:divBdr>
        <w:top w:val="none" w:sz="0" w:space="0" w:color="auto"/>
        <w:left w:val="none" w:sz="0" w:space="0" w:color="auto"/>
        <w:bottom w:val="none" w:sz="0" w:space="0" w:color="auto"/>
        <w:right w:val="none" w:sz="0" w:space="0" w:color="auto"/>
      </w:divBdr>
    </w:div>
    <w:div w:id="649093186">
      <w:bodyDiv w:val="1"/>
      <w:marLeft w:val="0"/>
      <w:marRight w:val="0"/>
      <w:marTop w:val="0"/>
      <w:marBottom w:val="0"/>
      <w:divBdr>
        <w:top w:val="none" w:sz="0" w:space="0" w:color="auto"/>
        <w:left w:val="none" w:sz="0" w:space="0" w:color="auto"/>
        <w:bottom w:val="none" w:sz="0" w:space="0" w:color="auto"/>
        <w:right w:val="none" w:sz="0" w:space="0" w:color="auto"/>
      </w:divBdr>
    </w:div>
    <w:div w:id="706174620">
      <w:bodyDiv w:val="1"/>
      <w:marLeft w:val="0"/>
      <w:marRight w:val="0"/>
      <w:marTop w:val="0"/>
      <w:marBottom w:val="0"/>
      <w:divBdr>
        <w:top w:val="none" w:sz="0" w:space="0" w:color="auto"/>
        <w:left w:val="none" w:sz="0" w:space="0" w:color="auto"/>
        <w:bottom w:val="none" w:sz="0" w:space="0" w:color="auto"/>
        <w:right w:val="none" w:sz="0" w:space="0" w:color="auto"/>
      </w:divBdr>
    </w:div>
    <w:div w:id="727074959">
      <w:bodyDiv w:val="1"/>
      <w:marLeft w:val="0"/>
      <w:marRight w:val="0"/>
      <w:marTop w:val="0"/>
      <w:marBottom w:val="0"/>
      <w:divBdr>
        <w:top w:val="none" w:sz="0" w:space="0" w:color="auto"/>
        <w:left w:val="none" w:sz="0" w:space="0" w:color="auto"/>
        <w:bottom w:val="none" w:sz="0" w:space="0" w:color="auto"/>
        <w:right w:val="none" w:sz="0" w:space="0" w:color="auto"/>
      </w:divBdr>
    </w:div>
    <w:div w:id="739059182">
      <w:bodyDiv w:val="1"/>
      <w:marLeft w:val="0"/>
      <w:marRight w:val="0"/>
      <w:marTop w:val="0"/>
      <w:marBottom w:val="0"/>
      <w:divBdr>
        <w:top w:val="none" w:sz="0" w:space="0" w:color="auto"/>
        <w:left w:val="none" w:sz="0" w:space="0" w:color="auto"/>
        <w:bottom w:val="none" w:sz="0" w:space="0" w:color="auto"/>
        <w:right w:val="none" w:sz="0" w:space="0" w:color="auto"/>
      </w:divBdr>
    </w:div>
    <w:div w:id="763116357">
      <w:bodyDiv w:val="1"/>
      <w:marLeft w:val="0"/>
      <w:marRight w:val="0"/>
      <w:marTop w:val="0"/>
      <w:marBottom w:val="0"/>
      <w:divBdr>
        <w:top w:val="none" w:sz="0" w:space="0" w:color="auto"/>
        <w:left w:val="none" w:sz="0" w:space="0" w:color="auto"/>
        <w:bottom w:val="none" w:sz="0" w:space="0" w:color="auto"/>
        <w:right w:val="none" w:sz="0" w:space="0" w:color="auto"/>
      </w:divBdr>
    </w:div>
    <w:div w:id="769353131">
      <w:bodyDiv w:val="1"/>
      <w:marLeft w:val="0"/>
      <w:marRight w:val="0"/>
      <w:marTop w:val="0"/>
      <w:marBottom w:val="0"/>
      <w:divBdr>
        <w:top w:val="none" w:sz="0" w:space="0" w:color="auto"/>
        <w:left w:val="none" w:sz="0" w:space="0" w:color="auto"/>
        <w:bottom w:val="none" w:sz="0" w:space="0" w:color="auto"/>
        <w:right w:val="none" w:sz="0" w:space="0" w:color="auto"/>
      </w:divBdr>
    </w:div>
    <w:div w:id="811092910">
      <w:bodyDiv w:val="1"/>
      <w:marLeft w:val="0"/>
      <w:marRight w:val="0"/>
      <w:marTop w:val="0"/>
      <w:marBottom w:val="0"/>
      <w:divBdr>
        <w:top w:val="none" w:sz="0" w:space="0" w:color="auto"/>
        <w:left w:val="none" w:sz="0" w:space="0" w:color="auto"/>
        <w:bottom w:val="none" w:sz="0" w:space="0" w:color="auto"/>
        <w:right w:val="none" w:sz="0" w:space="0" w:color="auto"/>
      </w:divBdr>
    </w:div>
    <w:div w:id="847869437">
      <w:bodyDiv w:val="1"/>
      <w:marLeft w:val="0"/>
      <w:marRight w:val="0"/>
      <w:marTop w:val="0"/>
      <w:marBottom w:val="0"/>
      <w:divBdr>
        <w:top w:val="none" w:sz="0" w:space="0" w:color="auto"/>
        <w:left w:val="none" w:sz="0" w:space="0" w:color="auto"/>
        <w:bottom w:val="none" w:sz="0" w:space="0" w:color="auto"/>
        <w:right w:val="none" w:sz="0" w:space="0" w:color="auto"/>
      </w:divBdr>
    </w:div>
    <w:div w:id="865169502">
      <w:bodyDiv w:val="1"/>
      <w:marLeft w:val="0"/>
      <w:marRight w:val="0"/>
      <w:marTop w:val="0"/>
      <w:marBottom w:val="0"/>
      <w:divBdr>
        <w:top w:val="none" w:sz="0" w:space="0" w:color="auto"/>
        <w:left w:val="none" w:sz="0" w:space="0" w:color="auto"/>
        <w:bottom w:val="none" w:sz="0" w:space="0" w:color="auto"/>
        <w:right w:val="none" w:sz="0" w:space="0" w:color="auto"/>
      </w:divBdr>
    </w:div>
    <w:div w:id="873929682">
      <w:bodyDiv w:val="1"/>
      <w:marLeft w:val="0"/>
      <w:marRight w:val="0"/>
      <w:marTop w:val="0"/>
      <w:marBottom w:val="0"/>
      <w:divBdr>
        <w:top w:val="none" w:sz="0" w:space="0" w:color="auto"/>
        <w:left w:val="none" w:sz="0" w:space="0" w:color="auto"/>
        <w:bottom w:val="none" w:sz="0" w:space="0" w:color="auto"/>
        <w:right w:val="none" w:sz="0" w:space="0" w:color="auto"/>
      </w:divBdr>
    </w:div>
    <w:div w:id="886380398">
      <w:bodyDiv w:val="1"/>
      <w:marLeft w:val="0"/>
      <w:marRight w:val="0"/>
      <w:marTop w:val="0"/>
      <w:marBottom w:val="0"/>
      <w:divBdr>
        <w:top w:val="none" w:sz="0" w:space="0" w:color="auto"/>
        <w:left w:val="none" w:sz="0" w:space="0" w:color="auto"/>
        <w:bottom w:val="none" w:sz="0" w:space="0" w:color="auto"/>
        <w:right w:val="none" w:sz="0" w:space="0" w:color="auto"/>
      </w:divBdr>
    </w:div>
    <w:div w:id="891115299">
      <w:bodyDiv w:val="1"/>
      <w:marLeft w:val="0"/>
      <w:marRight w:val="0"/>
      <w:marTop w:val="0"/>
      <w:marBottom w:val="0"/>
      <w:divBdr>
        <w:top w:val="none" w:sz="0" w:space="0" w:color="auto"/>
        <w:left w:val="none" w:sz="0" w:space="0" w:color="auto"/>
        <w:bottom w:val="none" w:sz="0" w:space="0" w:color="auto"/>
        <w:right w:val="none" w:sz="0" w:space="0" w:color="auto"/>
      </w:divBdr>
    </w:div>
    <w:div w:id="929579583">
      <w:bodyDiv w:val="1"/>
      <w:marLeft w:val="0"/>
      <w:marRight w:val="0"/>
      <w:marTop w:val="0"/>
      <w:marBottom w:val="0"/>
      <w:divBdr>
        <w:top w:val="none" w:sz="0" w:space="0" w:color="auto"/>
        <w:left w:val="none" w:sz="0" w:space="0" w:color="auto"/>
        <w:bottom w:val="none" w:sz="0" w:space="0" w:color="auto"/>
        <w:right w:val="none" w:sz="0" w:space="0" w:color="auto"/>
      </w:divBdr>
      <w:divsChild>
        <w:div w:id="36591367">
          <w:marLeft w:val="0"/>
          <w:marRight w:val="0"/>
          <w:marTop w:val="600"/>
          <w:marBottom w:val="45"/>
          <w:divBdr>
            <w:top w:val="none" w:sz="0" w:space="0" w:color="auto"/>
            <w:left w:val="none" w:sz="0" w:space="0" w:color="auto"/>
            <w:bottom w:val="none" w:sz="0" w:space="0" w:color="auto"/>
            <w:right w:val="none" w:sz="0" w:space="0" w:color="auto"/>
          </w:divBdr>
        </w:div>
      </w:divsChild>
    </w:div>
    <w:div w:id="1047729127">
      <w:bodyDiv w:val="1"/>
      <w:marLeft w:val="0"/>
      <w:marRight w:val="0"/>
      <w:marTop w:val="0"/>
      <w:marBottom w:val="0"/>
      <w:divBdr>
        <w:top w:val="none" w:sz="0" w:space="0" w:color="auto"/>
        <w:left w:val="none" w:sz="0" w:space="0" w:color="auto"/>
        <w:bottom w:val="none" w:sz="0" w:space="0" w:color="auto"/>
        <w:right w:val="none" w:sz="0" w:space="0" w:color="auto"/>
      </w:divBdr>
    </w:div>
    <w:div w:id="1049960931">
      <w:bodyDiv w:val="1"/>
      <w:marLeft w:val="0"/>
      <w:marRight w:val="0"/>
      <w:marTop w:val="0"/>
      <w:marBottom w:val="0"/>
      <w:divBdr>
        <w:top w:val="none" w:sz="0" w:space="0" w:color="auto"/>
        <w:left w:val="none" w:sz="0" w:space="0" w:color="auto"/>
        <w:bottom w:val="none" w:sz="0" w:space="0" w:color="auto"/>
        <w:right w:val="none" w:sz="0" w:space="0" w:color="auto"/>
      </w:divBdr>
    </w:div>
    <w:div w:id="1095370666">
      <w:bodyDiv w:val="1"/>
      <w:marLeft w:val="0"/>
      <w:marRight w:val="0"/>
      <w:marTop w:val="0"/>
      <w:marBottom w:val="0"/>
      <w:divBdr>
        <w:top w:val="none" w:sz="0" w:space="0" w:color="auto"/>
        <w:left w:val="none" w:sz="0" w:space="0" w:color="auto"/>
        <w:bottom w:val="none" w:sz="0" w:space="0" w:color="auto"/>
        <w:right w:val="none" w:sz="0" w:space="0" w:color="auto"/>
      </w:divBdr>
    </w:div>
    <w:div w:id="1131091868">
      <w:bodyDiv w:val="1"/>
      <w:marLeft w:val="0"/>
      <w:marRight w:val="0"/>
      <w:marTop w:val="0"/>
      <w:marBottom w:val="0"/>
      <w:divBdr>
        <w:top w:val="none" w:sz="0" w:space="0" w:color="auto"/>
        <w:left w:val="none" w:sz="0" w:space="0" w:color="auto"/>
        <w:bottom w:val="none" w:sz="0" w:space="0" w:color="auto"/>
        <w:right w:val="none" w:sz="0" w:space="0" w:color="auto"/>
      </w:divBdr>
    </w:div>
    <w:div w:id="1140463132">
      <w:bodyDiv w:val="1"/>
      <w:marLeft w:val="0"/>
      <w:marRight w:val="0"/>
      <w:marTop w:val="0"/>
      <w:marBottom w:val="0"/>
      <w:divBdr>
        <w:top w:val="none" w:sz="0" w:space="0" w:color="auto"/>
        <w:left w:val="none" w:sz="0" w:space="0" w:color="auto"/>
        <w:bottom w:val="none" w:sz="0" w:space="0" w:color="auto"/>
        <w:right w:val="none" w:sz="0" w:space="0" w:color="auto"/>
      </w:divBdr>
    </w:div>
    <w:div w:id="1151992721">
      <w:bodyDiv w:val="1"/>
      <w:marLeft w:val="0"/>
      <w:marRight w:val="0"/>
      <w:marTop w:val="0"/>
      <w:marBottom w:val="0"/>
      <w:divBdr>
        <w:top w:val="none" w:sz="0" w:space="0" w:color="auto"/>
        <w:left w:val="none" w:sz="0" w:space="0" w:color="auto"/>
        <w:bottom w:val="none" w:sz="0" w:space="0" w:color="auto"/>
        <w:right w:val="none" w:sz="0" w:space="0" w:color="auto"/>
      </w:divBdr>
    </w:div>
    <w:div w:id="1169981161">
      <w:bodyDiv w:val="1"/>
      <w:marLeft w:val="0"/>
      <w:marRight w:val="0"/>
      <w:marTop w:val="0"/>
      <w:marBottom w:val="0"/>
      <w:divBdr>
        <w:top w:val="none" w:sz="0" w:space="0" w:color="auto"/>
        <w:left w:val="none" w:sz="0" w:space="0" w:color="auto"/>
        <w:bottom w:val="none" w:sz="0" w:space="0" w:color="auto"/>
        <w:right w:val="none" w:sz="0" w:space="0" w:color="auto"/>
      </w:divBdr>
    </w:div>
    <w:div w:id="1186092933">
      <w:bodyDiv w:val="1"/>
      <w:marLeft w:val="0"/>
      <w:marRight w:val="0"/>
      <w:marTop w:val="0"/>
      <w:marBottom w:val="0"/>
      <w:divBdr>
        <w:top w:val="none" w:sz="0" w:space="0" w:color="auto"/>
        <w:left w:val="none" w:sz="0" w:space="0" w:color="auto"/>
        <w:bottom w:val="none" w:sz="0" w:space="0" w:color="auto"/>
        <w:right w:val="none" w:sz="0" w:space="0" w:color="auto"/>
      </w:divBdr>
    </w:div>
    <w:div w:id="1226838457">
      <w:bodyDiv w:val="1"/>
      <w:marLeft w:val="0"/>
      <w:marRight w:val="0"/>
      <w:marTop w:val="0"/>
      <w:marBottom w:val="0"/>
      <w:divBdr>
        <w:top w:val="none" w:sz="0" w:space="0" w:color="auto"/>
        <w:left w:val="none" w:sz="0" w:space="0" w:color="auto"/>
        <w:bottom w:val="none" w:sz="0" w:space="0" w:color="auto"/>
        <w:right w:val="none" w:sz="0" w:space="0" w:color="auto"/>
      </w:divBdr>
    </w:div>
    <w:div w:id="1264535785">
      <w:bodyDiv w:val="1"/>
      <w:marLeft w:val="0"/>
      <w:marRight w:val="0"/>
      <w:marTop w:val="0"/>
      <w:marBottom w:val="0"/>
      <w:divBdr>
        <w:top w:val="none" w:sz="0" w:space="0" w:color="auto"/>
        <w:left w:val="none" w:sz="0" w:space="0" w:color="auto"/>
        <w:bottom w:val="none" w:sz="0" w:space="0" w:color="auto"/>
        <w:right w:val="none" w:sz="0" w:space="0" w:color="auto"/>
      </w:divBdr>
    </w:div>
    <w:div w:id="1268198936">
      <w:bodyDiv w:val="1"/>
      <w:marLeft w:val="0"/>
      <w:marRight w:val="0"/>
      <w:marTop w:val="0"/>
      <w:marBottom w:val="0"/>
      <w:divBdr>
        <w:top w:val="none" w:sz="0" w:space="0" w:color="auto"/>
        <w:left w:val="none" w:sz="0" w:space="0" w:color="auto"/>
        <w:bottom w:val="none" w:sz="0" w:space="0" w:color="auto"/>
        <w:right w:val="none" w:sz="0" w:space="0" w:color="auto"/>
      </w:divBdr>
    </w:div>
    <w:div w:id="1280067907">
      <w:bodyDiv w:val="1"/>
      <w:marLeft w:val="0"/>
      <w:marRight w:val="0"/>
      <w:marTop w:val="0"/>
      <w:marBottom w:val="0"/>
      <w:divBdr>
        <w:top w:val="none" w:sz="0" w:space="0" w:color="auto"/>
        <w:left w:val="none" w:sz="0" w:space="0" w:color="auto"/>
        <w:bottom w:val="none" w:sz="0" w:space="0" w:color="auto"/>
        <w:right w:val="none" w:sz="0" w:space="0" w:color="auto"/>
      </w:divBdr>
    </w:div>
    <w:div w:id="1291086598">
      <w:bodyDiv w:val="1"/>
      <w:marLeft w:val="0"/>
      <w:marRight w:val="0"/>
      <w:marTop w:val="0"/>
      <w:marBottom w:val="0"/>
      <w:divBdr>
        <w:top w:val="none" w:sz="0" w:space="0" w:color="auto"/>
        <w:left w:val="none" w:sz="0" w:space="0" w:color="auto"/>
        <w:bottom w:val="none" w:sz="0" w:space="0" w:color="auto"/>
        <w:right w:val="none" w:sz="0" w:space="0" w:color="auto"/>
      </w:divBdr>
    </w:div>
    <w:div w:id="1306816076">
      <w:bodyDiv w:val="1"/>
      <w:marLeft w:val="0"/>
      <w:marRight w:val="0"/>
      <w:marTop w:val="0"/>
      <w:marBottom w:val="0"/>
      <w:divBdr>
        <w:top w:val="none" w:sz="0" w:space="0" w:color="auto"/>
        <w:left w:val="none" w:sz="0" w:space="0" w:color="auto"/>
        <w:bottom w:val="none" w:sz="0" w:space="0" w:color="auto"/>
        <w:right w:val="none" w:sz="0" w:space="0" w:color="auto"/>
      </w:divBdr>
    </w:div>
    <w:div w:id="1360741064">
      <w:bodyDiv w:val="1"/>
      <w:marLeft w:val="0"/>
      <w:marRight w:val="0"/>
      <w:marTop w:val="0"/>
      <w:marBottom w:val="0"/>
      <w:divBdr>
        <w:top w:val="none" w:sz="0" w:space="0" w:color="auto"/>
        <w:left w:val="none" w:sz="0" w:space="0" w:color="auto"/>
        <w:bottom w:val="none" w:sz="0" w:space="0" w:color="auto"/>
        <w:right w:val="none" w:sz="0" w:space="0" w:color="auto"/>
      </w:divBdr>
    </w:div>
    <w:div w:id="1415856194">
      <w:bodyDiv w:val="1"/>
      <w:marLeft w:val="0"/>
      <w:marRight w:val="0"/>
      <w:marTop w:val="0"/>
      <w:marBottom w:val="0"/>
      <w:divBdr>
        <w:top w:val="none" w:sz="0" w:space="0" w:color="auto"/>
        <w:left w:val="none" w:sz="0" w:space="0" w:color="auto"/>
        <w:bottom w:val="none" w:sz="0" w:space="0" w:color="auto"/>
        <w:right w:val="none" w:sz="0" w:space="0" w:color="auto"/>
      </w:divBdr>
    </w:div>
    <w:div w:id="1417634411">
      <w:bodyDiv w:val="1"/>
      <w:marLeft w:val="0"/>
      <w:marRight w:val="0"/>
      <w:marTop w:val="0"/>
      <w:marBottom w:val="0"/>
      <w:divBdr>
        <w:top w:val="none" w:sz="0" w:space="0" w:color="auto"/>
        <w:left w:val="none" w:sz="0" w:space="0" w:color="auto"/>
        <w:bottom w:val="none" w:sz="0" w:space="0" w:color="auto"/>
        <w:right w:val="none" w:sz="0" w:space="0" w:color="auto"/>
      </w:divBdr>
    </w:div>
    <w:div w:id="1423644385">
      <w:bodyDiv w:val="1"/>
      <w:marLeft w:val="0"/>
      <w:marRight w:val="0"/>
      <w:marTop w:val="0"/>
      <w:marBottom w:val="0"/>
      <w:divBdr>
        <w:top w:val="none" w:sz="0" w:space="0" w:color="auto"/>
        <w:left w:val="none" w:sz="0" w:space="0" w:color="auto"/>
        <w:bottom w:val="none" w:sz="0" w:space="0" w:color="auto"/>
        <w:right w:val="none" w:sz="0" w:space="0" w:color="auto"/>
      </w:divBdr>
    </w:div>
    <w:div w:id="1425999027">
      <w:bodyDiv w:val="1"/>
      <w:marLeft w:val="0"/>
      <w:marRight w:val="0"/>
      <w:marTop w:val="0"/>
      <w:marBottom w:val="0"/>
      <w:divBdr>
        <w:top w:val="none" w:sz="0" w:space="0" w:color="auto"/>
        <w:left w:val="none" w:sz="0" w:space="0" w:color="auto"/>
        <w:bottom w:val="none" w:sz="0" w:space="0" w:color="auto"/>
        <w:right w:val="none" w:sz="0" w:space="0" w:color="auto"/>
      </w:divBdr>
    </w:div>
    <w:div w:id="1445689104">
      <w:bodyDiv w:val="1"/>
      <w:marLeft w:val="0"/>
      <w:marRight w:val="0"/>
      <w:marTop w:val="0"/>
      <w:marBottom w:val="0"/>
      <w:divBdr>
        <w:top w:val="none" w:sz="0" w:space="0" w:color="auto"/>
        <w:left w:val="none" w:sz="0" w:space="0" w:color="auto"/>
        <w:bottom w:val="none" w:sz="0" w:space="0" w:color="auto"/>
        <w:right w:val="none" w:sz="0" w:space="0" w:color="auto"/>
      </w:divBdr>
    </w:div>
    <w:div w:id="1478179259">
      <w:bodyDiv w:val="1"/>
      <w:marLeft w:val="0"/>
      <w:marRight w:val="0"/>
      <w:marTop w:val="0"/>
      <w:marBottom w:val="0"/>
      <w:divBdr>
        <w:top w:val="none" w:sz="0" w:space="0" w:color="auto"/>
        <w:left w:val="none" w:sz="0" w:space="0" w:color="auto"/>
        <w:bottom w:val="none" w:sz="0" w:space="0" w:color="auto"/>
        <w:right w:val="none" w:sz="0" w:space="0" w:color="auto"/>
      </w:divBdr>
    </w:div>
    <w:div w:id="1480146146">
      <w:bodyDiv w:val="1"/>
      <w:marLeft w:val="0"/>
      <w:marRight w:val="0"/>
      <w:marTop w:val="0"/>
      <w:marBottom w:val="0"/>
      <w:divBdr>
        <w:top w:val="none" w:sz="0" w:space="0" w:color="auto"/>
        <w:left w:val="none" w:sz="0" w:space="0" w:color="auto"/>
        <w:bottom w:val="none" w:sz="0" w:space="0" w:color="auto"/>
        <w:right w:val="none" w:sz="0" w:space="0" w:color="auto"/>
      </w:divBdr>
    </w:div>
    <w:div w:id="1517384484">
      <w:bodyDiv w:val="1"/>
      <w:marLeft w:val="0"/>
      <w:marRight w:val="0"/>
      <w:marTop w:val="0"/>
      <w:marBottom w:val="0"/>
      <w:divBdr>
        <w:top w:val="none" w:sz="0" w:space="0" w:color="auto"/>
        <w:left w:val="none" w:sz="0" w:space="0" w:color="auto"/>
        <w:bottom w:val="none" w:sz="0" w:space="0" w:color="auto"/>
        <w:right w:val="none" w:sz="0" w:space="0" w:color="auto"/>
      </w:divBdr>
    </w:div>
    <w:div w:id="1520118727">
      <w:bodyDiv w:val="1"/>
      <w:marLeft w:val="0"/>
      <w:marRight w:val="0"/>
      <w:marTop w:val="0"/>
      <w:marBottom w:val="0"/>
      <w:divBdr>
        <w:top w:val="none" w:sz="0" w:space="0" w:color="auto"/>
        <w:left w:val="none" w:sz="0" w:space="0" w:color="auto"/>
        <w:bottom w:val="none" w:sz="0" w:space="0" w:color="auto"/>
        <w:right w:val="none" w:sz="0" w:space="0" w:color="auto"/>
      </w:divBdr>
    </w:div>
    <w:div w:id="1595045682">
      <w:bodyDiv w:val="1"/>
      <w:marLeft w:val="0"/>
      <w:marRight w:val="0"/>
      <w:marTop w:val="0"/>
      <w:marBottom w:val="0"/>
      <w:divBdr>
        <w:top w:val="none" w:sz="0" w:space="0" w:color="auto"/>
        <w:left w:val="none" w:sz="0" w:space="0" w:color="auto"/>
        <w:bottom w:val="none" w:sz="0" w:space="0" w:color="auto"/>
        <w:right w:val="none" w:sz="0" w:space="0" w:color="auto"/>
      </w:divBdr>
    </w:div>
    <w:div w:id="1628199112">
      <w:bodyDiv w:val="1"/>
      <w:marLeft w:val="0"/>
      <w:marRight w:val="0"/>
      <w:marTop w:val="0"/>
      <w:marBottom w:val="0"/>
      <w:divBdr>
        <w:top w:val="none" w:sz="0" w:space="0" w:color="auto"/>
        <w:left w:val="none" w:sz="0" w:space="0" w:color="auto"/>
        <w:bottom w:val="none" w:sz="0" w:space="0" w:color="auto"/>
        <w:right w:val="none" w:sz="0" w:space="0" w:color="auto"/>
      </w:divBdr>
    </w:div>
    <w:div w:id="1632055935">
      <w:bodyDiv w:val="1"/>
      <w:marLeft w:val="0"/>
      <w:marRight w:val="0"/>
      <w:marTop w:val="0"/>
      <w:marBottom w:val="0"/>
      <w:divBdr>
        <w:top w:val="none" w:sz="0" w:space="0" w:color="auto"/>
        <w:left w:val="none" w:sz="0" w:space="0" w:color="auto"/>
        <w:bottom w:val="none" w:sz="0" w:space="0" w:color="auto"/>
        <w:right w:val="none" w:sz="0" w:space="0" w:color="auto"/>
      </w:divBdr>
    </w:div>
    <w:div w:id="1663073653">
      <w:bodyDiv w:val="1"/>
      <w:marLeft w:val="0"/>
      <w:marRight w:val="0"/>
      <w:marTop w:val="0"/>
      <w:marBottom w:val="0"/>
      <w:divBdr>
        <w:top w:val="none" w:sz="0" w:space="0" w:color="auto"/>
        <w:left w:val="none" w:sz="0" w:space="0" w:color="auto"/>
        <w:bottom w:val="none" w:sz="0" w:space="0" w:color="auto"/>
        <w:right w:val="none" w:sz="0" w:space="0" w:color="auto"/>
      </w:divBdr>
    </w:div>
    <w:div w:id="1668440774">
      <w:bodyDiv w:val="1"/>
      <w:marLeft w:val="0"/>
      <w:marRight w:val="0"/>
      <w:marTop w:val="0"/>
      <w:marBottom w:val="0"/>
      <w:divBdr>
        <w:top w:val="none" w:sz="0" w:space="0" w:color="auto"/>
        <w:left w:val="none" w:sz="0" w:space="0" w:color="auto"/>
        <w:bottom w:val="none" w:sz="0" w:space="0" w:color="auto"/>
        <w:right w:val="none" w:sz="0" w:space="0" w:color="auto"/>
      </w:divBdr>
    </w:div>
    <w:div w:id="1676691999">
      <w:bodyDiv w:val="1"/>
      <w:marLeft w:val="0"/>
      <w:marRight w:val="0"/>
      <w:marTop w:val="0"/>
      <w:marBottom w:val="0"/>
      <w:divBdr>
        <w:top w:val="none" w:sz="0" w:space="0" w:color="auto"/>
        <w:left w:val="none" w:sz="0" w:space="0" w:color="auto"/>
        <w:bottom w:val="none" w:sz="0" w:space="0" w:color="auto"/>
        <w:right w:val="none" w:sz="0" w:space="0" w:color="auto"/>
      </w:divBdr>
    </w:div>
    <w:div w:id="1734506694">
      <w:bodyDiv w:val="1"/>
      <w:marLeft w:val="0"/>
      <w:marRight w:val="0"/>
      <w:marTop w:val="0"/>
      <w:marBottom w:val="0"/>
      <w:divBdr>
        <w:top w:val="none" w:sz="0" w:space="0" w:color="auto"/>
        <w:left w:val="none" w:sz="0" w:space="0" w:color="auto"/>
        <w:bottom w:val="none" w:sz="0" w:space="0" w:color="auto"/>
        <w:right w:val="none" w:sz="0" w:space="0" w:color="auto"/>
      </w:divBdr>
    </w:div>
    <w:div w:id="1775979411">
      <w:bodyDiv w:val="1"/>
      <w:marLeft w:val="0"/>
      <w:marRight w:val="0"/>
      <w:marTop w:val="0"/>
      <w:marBottom w:val="0"/>
      <w:divBdr>
        <w:top w:val="none" w:sz="0" w:space="0" w:color="auto"/>
        <w:left w:val="none" w:sz="0" w:space="0" w:color="auto"/>
        <w:bottom w:val="none" w:sz="0" w:space="0" w:color="auto"/>
        <w:right w:val="none" w:sz="0" w:space="0" w:color="auto"/>
      </w:divBdr>
    </w:div>
    <w:div w:id="1843426391">
      <w:bodyDiv w:val="1"/>
      <w:marLeft w:val="0"/>
      <w:marRight w:val="0"/>
      <w:marTop w:val="0"/>
      <w:marBottom w:val="0"/>
      <w:divBdr>
        <w:top w:val="none" w:sz="0" w:space="0" w:color="auto"/>
        <w:left w:val="none" w:sz="0" w:space="0" w:color="auto"/>
        <w:bottom w:val="none" w:sz="0" w:space="0" w:color="auto"/>
        <w:right w:val="none" w:sz="0" w:space="0" w:color="auto"/>
      </w:divBdr>
    </w:div>
    <w:div w:id="1845318124">
      <w:bodyDiv w:val="1"/>
      <w:marLeft w:val="0"/>
      <w:marRight w:val="0"/>
      <w:marTop w:val="0"/>
      <w:marBottom w:val="0"/>
      <w:divBdr>
        <w:top w:val="none" w:sz="0" w:space="0" w:color="auto"/>
        <w:left w:val="none" w:sz="0" w:space="0" w:color="auto"/>
        <w:bottom w:val="none" w:sz="0" w:space="0" w:color="auto"/>
        <w:right w:val="none" w:sz="0" w:space="0" w:color="auto"/>
      </w:divBdr>
    </w:div>
    <w:div w:id="1910072877">
      <w:bodyDiv w:val="1"/>
      <w:marLeft w:val="0"/>
      <w:marRight w:val="0"/>
      <w:marTop w:val="0"/>
      <w:marBottom w:val="0"/>
      <w:divBdr>
        <w:top w:val="none" w:sz="0" w:space="0" w:color="auto"/>
        <w:left w:val="none" w:sz="0" w:space="0" w:color="auto"/>
        <w:bottom w:val="none" w:sz="0" w:space="0" w:color="auto"/>
        <w:right w:val="none" w:sz="0" w:space="0" w:color="auto"/>
      </w:divBdr>
    </w:div>
    <w:div w:id="1982732785">
      <w:bodyDiv w:val="1"/>
      <w:marLeft w:val="0"/>
      <w:marRight w:val="0"/>
      <w:marTop w:val="0"/>
      <w:marBottom w:val="0"/>
      <w:divBdr>
        <w:top w:val="none" w:sz="0" w:space="0" w:color="auto"/>
        <w:left w:val="none" w:sz="0" w:space="0" w:color="auto"/>
        <w:bottom w:val="none" w:sz="0" w:space="0" w:color="auto"/>
        <w:right w:val="none" w:sz="0" w:space="0" w:color="auto"/>
      </w:divBdr>
      <w:divsChild>
        <w:div w:id="974799303">
          <w:marLeft w:val="0"/>
          <w:marRight w:val="0"/>
          <w:marTop w:val="0"/>
          <w:marBottom w:val="0"/>
          <w:divBdr>
            <w:top w:val="none" w:sz="0" w:space="0" w:color="auto"/>
            <w:left w:val="none" w:sz="0" w:space="0" w:color="auto"/>
            <w:bottom w:val="none" w:sz="0" w:space="0" w:color="auto"/>
            <w:right w:val="none" w:sz="0" w:space="0" w:color="auto"/>
          </w:divBdr>
          <w:divsChild>
            <w:div w:id="1281955386">
              <w:marLeft w:val="0"/>
              <w:marRight w:val="0"/>
              <w:marTop w:val="0"/>
              <w:marBottom w:val="0"/>
              <w:divBdr>
                <w:top w:val="none" w:sz="0" w:space="0" w:color="auto"/>
                <w:left w:val="none" w:sz="0" w:space="0" w:color="auto"/>
                <w:bottom w:val="none" w:sz="0" w:space="0" w:color="auto"/>
                <w:right w:val="none" w:sz="0" w:space="0" w:color="auto"/>
              </w:divBdr>
              <w:divsChild>
                <w:div w:id="2068331920">
                  <w:marLeft w:val="0"/>
                  <w:marRight w:val="0"/>
                  <w:marTop w:val="0"/>
                  <w:marBottom w:val="0"/>
                  <w:divBdr>
                    <w:top w:val="none" w:sz="0" w:space="0" w:color="auto"/>
                    <w:left w:val="none" w:sz="0" w:space="0" w:color="auto"/>
                    <w:bottom w:val="none" w:sz="0" w:space="0" w:color="auto"/>
                    <w:right w:val="none" w:sz="0" w:space="0" w:color="auto"/>
                  </w:divBdr>
                  <w:divsChild>
                    <w:div w:id="752242023">
                      <w:marLeft w:val="0"/>
                      <w:marRight w:val="0"/>
                      <w:marTop w:val="0"/>
                      <w:marBottom w:val="0"/>
                      <w:divBdr>
                        <w:top w:val="none" w:sz="0" w:space="0" w:color="auto"/>
                        <w:left w:val="none" w:sz="0" w:space="0" w:color="auto"/>
                        <w:bottom w:val="none" w:sz="0" w:space="0" w:color="auto"/>
                        <w:right w:val="none" w:sz="0" w:space="0" w:color="auto"/>
                      </w:divBdr>
                      <w:divsChild>
                        <w:div w:id="2078478428">
                          <w:marLeft w:val="0"/>
                          <w:marRight w:val="0"/>
                          <w:marTop w:val="0"/>
                          <w:marBottom w:val="0"/>
                          <w:divBdr>
                            <w:top w:val="none" w:sz="0" w:space="0" w:color="auto"/>
                            <w:left w:val="none" w:sz="0" w:space="0" w:color="auto"/>
                            <w:bottom w:val="none" w:sz="0" w:space="0" w:color="auto"/>
                            <w:right w:val="none" w:sz="0" w:space="0" w:color="auto"/>
                          </w:divBdr>
                          <w:divsChild>
                            <w:div w:id="2109884364">
                              <w:marLeft w:val="0"/>
                              <w:marRight w:val="0"/>
                              <w:marTop w:val="0"/>
                              <w:marBottom w:val="0"/>
                              <w:divBdr>
                                <w:top w:val="none" w:sz="0" w:space="0" w:color="auto"/>
                                <w:left w:val="none" w:sz="0" w:space="0" w:color="auto"/>
                                <w:bottom w:val="none" w:sz="0" w:space="0" w:color="auto"/>
                                <w:right w:val="none" w:sz="0" w:space="0" w:color="auto"/>
                              </w:divBdr>
                              <w:divsChild>
                                <w:div w:id="1422481551">
                                  <w:marLeft w:val="0"/>
                                  <w:marRight w:val="0"/>
                                  <w:marTop w:val="0"/>
                                  <w:marBottom w:val="0"/>
                                  <w:divBdr>
                                    <w:top w:val="none" w:sz="0" w:space="0" w:color="auto"/>
                                    <w:left w:val="none" w:sz="0" w:space="0" w:color="auto"/>
                                    <w:bottom w:val="none" w:sz="0" w:space="0" w:color="auto"/>
                                    <w:right w:val="none" w:sz="0" w:space="0" w:color="auto"/>
                                  </w:divBdr>
                                  <w:divsChild>
                                    <w:div w:id="1409034358">
                                      <w:marLeft w:val="0"/>
                                      <w:marRight w:val="0"/>
                                      <w:marTop w:val="0"/>
                                      <w:marBottom w:val="0"/>
                                      <w:divBdr>
                                        <w:top w:val="none" w:sz="0" w:space="0" w:color="auto"/>
                                        <w:left w:val="none" w:sz="0" w:space="0" w:color="auto"/>
                                        <w:bottom w:val="none" w:sz="0" w:space="0" w:color="auto"/>
                                        <w:right w:val="none" w:sz="0" w:space="0" w:color="auto"/>
                                      </w:divBdr>
                                      <w:divsChild>
                                        <w:div w:id="1985348227">
                                          <w:marLeft w:val="0"/>
                                          <w:marRight w:val="0"/>
                                          <w:marTop w:val="0"/>
                                          <w:marBottom w:val="0"/>
                                          <w:divBdr>
                                            <w:top w:val="none" w:sz="0" w:space="0" w:color="auto"/>
                                            <w:left w:val="none" w:sz="0" w:space="0" w:color="auto"/>
                                            <w:bottom w:val="none" w:sz="0" w:space="0" w:color="auto"/>
                                            <w:right w:val="none" w:sz="0" w:space="0" w:color="auto"/>
                                          </w:divBdr>
                                          <w:divsChild>
                                            <w:div w:id="463742174">
                                              <w:marLeft w:val="0"/>
                                              <w:marRight w:val="0"/>
                                              <w:marTop w:val="0"/>
                                              <w:marBottom w:val="0"/>
                                              <w:divBdr>
                                                <w:top w:val="none" w:sz="0" w:space="0" w:color="auto"/>
                                                <w:left w:val="none" w:sz="0" w:space="0" w:color="auto"/>
                                                <w:bottom w:val="none" w:sz="0" w:space="0" w:color="auto"/>
                                                <w:right w:val="none" w:sz="0" w:space="0" w:color="auto"/>
                                              </w:divBdr>
                                              <w:divsChild>
                                                <w:div w:id="3972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838511">
          <w:marLeft w:val="0"/>
          <w:marRight w:val="0"/>
          <w:marTop w:val="0"/>
          <w:marBottom w:val="0"/>
          <w:divBdr>
            <w:top w:val="none" w:sz="0" w:space="0" w:color="auto"/>
            <w:left w:val="none" w:sz="0" w:space="0" w:color="auto"/>
            <w:bottom w:val="none" w:sz="0" w:space="0" w:color="auto"/>
            <w:right w:val="none" w:sz="0" w:space="0" w:color="auto"/>
          </w:divBdr>
          <w:divsChild>
            <w:div w:id="1516067560">
              <w:marLeft w:val="0"/>
              <w:marRight w:val="0"/>
              <w:marTop w:val="0"/>
              <w:marBottom w:val="0"/>
              <w:divBdr>
                <w:top w:val="none" w:sz="0" w:space="0" w:color="auto"/>
                <w:left w:val="none" w:sz="0" w:space="0" w:color="auto"/>
                <w:bottom w:val="none" w:sz="0" w:space="0" w:color="auto"/>
                <w:right w:val="none" w:sz="0" w:space="0" w:color="auto"/>
              </w:divBdr>
              <w:divsChild>
                <w:div w:id="997877196">
                  <w:marLeft w:val="0"/>
                  <w:marRight w:val="0"/>
                  <w:marTop w:val="0"/>
                  <w:marBottom w:val="0"/>
                  <w:divBdr>
                    <w:top w:val="none" w:sz="0" w:space="0" w:color="auto"/>
                    <w:left w:val="none" w:sz="0" w:space="0" w:color="auto"/>
                    <w:bottom w:val="none" w:sz="0" w:space="0" w:color="auto"/>
                    <w:right w:val="none" w:sz="0" w:space="0" w:color="auto"/>
                  </w:divBdr>
                  <w:divsChild>
                    <w:div w:id="933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2561">
      <w:bodyDiv w:val="1"/>
      <w:marLeft w:val="0"/>
      <w:marRight w:val="0"/>
      <w:marTop w:val="0"/>
      <w:marBottom w:val="0"/>
      <w:divBdr>
        <w:top w:val="none" w:sz="0" w:space="0" w:color="auto"/>
        <w:left w:val="none" w:sz="0" w:space="0" w:color="auto"/>
        <w:bottom w:val="none" w:sz="0" w:space="0" w:color="auto"/>
        <w:right w:val="none" w:sz="0" w:space="0" w:color="auto"/>
      </w:divBdr>
    </w:div>
    <w:div w:id="2009822315">
      <w:bodyDiv w:val="1"/>
      <w:marLeft w:val="0"/>
      <w:marRight w:val="0"/>
      <w:marTop w:val="0"/>
      <w:marBottom w:val="0"/>
      <w:divBdr>
        <w:top w:val="none" w:sz="0" w:space="0" w:color="auto"/>
        <w:left w:val="none" w:sz="0" w:space="0" w:color="auto"/>
        <w:bottom w:val="none" w:sz="0" w:space="0" w:color="auto"/>
        <w:right w:val="none" w:sz="0" w:space="0" w:color="auto"/>
      </w:divBdr>
    </w:div>
    <w:div w:id="2015647239">
      <w:bodyDiv w:val="1"/>
      <w:marLeft w:val="0"/>
      <w:marRight w:val="0"/>
      <w:marTop w:val="0"/>
      <w:marBottom w:val="0"/>
      <w:divBdr>
        <w:top w:val="none" w:sz="0" w:space="0" w:color="auto"/>
        <w:left w:val="none" w:sz="0" w:space="0" w:color="auto"/>
        <w:bottom w:val="none" w:sz="0" w:space="0" w:color="auto"/>
        <w:right w:val="none" w:sz="0" w:space="0" w:color="auto"/>
      </w:divBdr>
    </w:div>
    <w:div w:id="2016032463">
      <w:bodyDiv w:val="1"/>
      <w:marLeft w:val="0"/>
      <w:marRight w:val="0"/>
      <w:marTop w:val="0"/>
      <w:marBottom w:val="0"/>
      <w:divBdr>
        <w:top w:val="none" w:sz="0" w:space="0" w:color="auto"/>
        <w:left w:val="none" w:sz="0" w:space="0" w:color="auto"/>
        <w:bottom w:val="none" w:sz="0" w:space="0" w:color="auto"/>
        <w:right w:val="none" w:sz="0" w:space="0" w:color="auto"/>
      </w:divBdr>
    </w:div>
    <w:div w:id="2027170675">
      <w:bodyDiv w:val="1"/>
      <w:marLeft w:val="0"/>
      <w:marRight w:val="0"/>
      <w:marTop w:val="0"/>
      <w:marBottom w:val="0"/>
      <w:divBdr>
        <w:top w:val="none" w:sz="0" w:space="0" w:color="auto"/>
        <w:left w:val="none" w:sz="0" w:space="0" w:color="auto"/>
        <w:bottom w:val="none" w:sz="0" w:space="0" w:color="auto"/>
        <w:right w:val="none" w:sz="0" w:space="0" w:color="auto"/>
      </w:divBdr>
    </w:div>
    <w:div w:id="2064210683">
      <w:bodyDiv w:val="1"/>
      <w:marLeft w:val="0"/>
      <w:marRight w:val="0"/>
      <w:marTop w:val="0"/>
      <w:marBottom w:val="0"/>
      <w:divBdr>
        <w:top w:val="none" w:sz="0" w:space="0" w:color="auto"/>
        <w:left w:val="none" w:sz="0" w:space="0" w:color="auto"/>
        <w:bottom w:val="none" w:sz="0" w:space="0" w:color="auto"/>
        <w:right w:val="none" w:sz="0" w:space="0" w:color="auto"/>
      </w:divBdr>
    </w:div>
    <w:div w:id="211983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unctad.org/publication/navigating-troubled-waters-impact-global-trade-disruption-shipping-routes-red-sea-blac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ello-square.com/en/blog/view-1791.do" TargetMode="External"/><Relationship Id="rId17" Type="http://schemas.openxmlformats.org/officeDocument/2006/relationships/image" Target="media/image3.jpg"/><Relationship Id="rId2" Type="http://schemas.openxmlformats.org/officeDocument/2006/relationships/numbering" Target="numbering.xml"/><Relationship Id="rId16" Type="http://schemas.openxmlformats.org/officeDocument/2006/relationships/hyperlink" Target="https://news.bloomberglaw.com/international-trade/shipping-giant-maersk-cautious-about-quick-return-to-red-sea"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www.joc.com/article/drayage-diversification-emerging-as-shipper-priority-amid-supply-chain-volatility-5916296"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joc.com/article/supply-chain-certainty-rather-than-price-will-shape-shipping-in-2026-6155378"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C7BBA-5B91-475E-B041-C21BFE94E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14</Pages>
  <Words>3887</Words>
  <Characters>22158</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전준우</dc:creator>
  <cp:keywords/>
  <dc:description/>
  <cp:lastModifiedBy>prof</cp:lastModifiedBy>
  <cp:revision>4</cp:revision>
  <cp:lastPrinted>2025-02-25T01:05:00Z</cp:lastPrinted>
  <dcterms:created xsi:type="dcterms:W3CDTF">2026-08-06T04:17:00Z</dcterms:created>
  <dcterms:modified xsi:type="dcterms:W3CDTF">2026-08-06T08:29:00Z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F9E0791E718618CE3081FEB2A91DB486DA86E2E557AE677E662A4C61F9A7468A33AF78ECBFAF290776035557E81183FD08BCD8E6376E3ED8A7DC6A8D7B0A2233</vt:lpwstr>
  </property>
  <property fmtid="{D5CDD505-2E9C-101B-9397-08002B2CF9AE}" pid="4" name="GrammarlyDocumentId">
    <vt:lpwstr>7edeb646-3dd5-4242-b051-b3cd22b5ec2c</vt:lpwstr>
  </property>
</Properties>
</file>