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156" w:rsidRPr="00A10156" w:rsidRDefault="00A10156" w:rsidP="00A10156">
      <w:pPr>
        <w:rPr>
          <w:b/>
        </w:rPr>
      </w:pPr>
      <w:r w:rsidRPr="00A10156">
        <w:rPr>
          <w:rFonts w:hint="eastAsia"/>
          <w:b/>
        </w:rPr>
        <w:t>글로벌</w:t>
      </w:r>
      <w:r w:rsidRPr="00A10156">
        <w:rPr>
          <w:b/>
        </w:rPr>
        <w:t xml:space="preserve"> 컨테이너 선사의 친환경 이행성과 분석</w:t>
      </w:r>
    </w:p>
    <w:p w:rsidR="00A10156" w:rsidRDefault="00A10156" w:rsidP="00A10156">
      <w:r w:rsidRPr="00A10156">
        <w:t>ESG 보고서로 살펴보는 글로벌 해운사의 환경규제 대응과 감축 성과</w:t>
      </w:r>
    </w:p>
    <w:p w:rsidR="003D4E64" w:rsidRPr="00A10156" w:rsidRDefault="003D4E64" w:rsidP="00A10156"/>
    <w:p w:rsidR="00A10156" w:rsidRPr="003D4E64" w:rsidRDefault="00A10156" w:rsidP="00A10156">
      <w:pPr>
        <w:rPr>
          <w:b/>
        </w:rPr>
      </w:pPr>
      <w:r w:rsidRPr="003D4E64">
        <w:rPr>
          <w:rFonts w:hint="eastAsia"/>
          <w:b/>
        </w:rPr>
        <w:t>해운산업의</w:t>
      </w:r>
      <w:r w:rsidRPr="003D4E64">
        <w:rPr>
          <w:b/>
        </w:rPr>
        <w:t xml:space="preserve"> 친환경 전환과 ESG 이행 성과</w:t>
      </w:r>
    </w:p>
    <w:p w:rsidR="00A10156" w:rsidRPr="00A10156" w:rsidRDefault="00A10156" w:rsidP="00A10156">
      <w:r w:rsidRPr="00A10156">
        <w:rPr>
          <w:rFonts w:hint="eastAsia"/>
        </w:rPr>
        <w:t>국제</w:t>
      </w:r>
      <w:r w:rsidRPr="00A10156">
        <w:t xml:space="preserve"> 해운산업은 글로벌 물류망을 지탱하는 핵심 인프라이지만, 동시에 SO</w:t>
      </w:r>
      <w:r w:rsidRPr="00A10156">
        <w:rPr>
          <w:rFonts w:ascii="Calibri" w:hAnsi="Calibri" w:cs="Calibri"/>
        </w:rPr>
        <w:t>ₓ</w:t>
      </w:r>
      <w:r w:rsidRPr="00A10156">
        <w:t>, NO</w:t>
      </w:r>
      <w:r w:rsidRPr="00A10156">
        <w:rPr>
          <w:rFonts w:ascii="Calibri" w:hAnsi="Calibri" w:cs="Calibri"/>
        </w:rPr>
        <w:t>ₓ</w:t>
      </w:r>
      <w:r w:rsidRPr="00A10156">
        <w:t>, 미세먼지, CO₂ 등 대기오염물질과 온실가스를 배출하는 산업이기도 합니다. 이에 국제해사기구 IMO는 2050년까지 국제 해운 부문의 Net Zero 달성을 선언했으며, 글로벌 컨테이너 선사들은 저유황유 전환, 스크러버와 SCR 도입, 대체연료 선박 투자, 운항 최적화, ESG 공시 강화 등을 통해 친환경 전환을 추진하고 있습니다.</w:t>
      </w:r>
    </w:p>
    <w:p w:rsidR="00A10156" w:rsidRPr="00A10156" w:rsidRDefault="00A10156" w:rsidP="00A10156">
      <w:r w:rsidRPr="00A10156">
        <w:rPr>
          <w:rFonts w:hint="eastAsia"/>
        </w:rPr>
        <w:t>본</w:t>
      </w:r>
      <w:r w:rsidRPr="00A10156">
        <w:t xml:space="preserve"> 백서는 글로벌 10대 컨테이너 선사의 지속가능경영 ESG 보고서를 기반으로 2019년부터 2024년까지의 대기오염물질 감축 활동과 이행 성과를 분석합니다. 특히 IMO 환경규제, ESG 평가 기준, SO</w:t>
      </w:r>
      <w:r w:rsidRPr="00A10156">
        <w:rPr>
          <w:rFonts w:ascii="Calibri" w:hAnsi="Calibri" w:cs="Calibri"/>
        </w:rPr>
        <w:t>ₓ</w:t>
      </w:r>
      <w:r w:rsidRPr="00A10156">
        <w:rPr>
          <w:rFonts w:ascii="맑은 고딕" w:eastAsia="맑은 고딕" w:hAnsi="맑은 고딕" w:cs="맑은 고딕" w:hint="eastAsia"/>
        </w:rPr>
        <w:t>·</w:t>
      </w:r>
      <w:r w:rsidRPr="00A10156">
        <w:t>NO</w:t>
      </w:r>
      <w:r w:rsidRPr="00A10156">
        <w:rPr>
          <w:rFonts w:ascii="Calibri" w:hAnsi="Calibri" w:cs="Calibri"/>
        </w:rPr>
        <w:t>ₓ</w:t>
      </w:r>
      <w:r w:rsidRPr="00A10156">
        <w:rPr>
          <w:rFonts w:ascii="맑은 고딕" w:eastAsia="맑은 고딕" w:hAnsi="맑은 고딕" w:cs="맑은 고딕" w:hint="eastAsia"/>
        </w:rPr>
        <w:t>·</w:t>
      </w:r>
      <w:r w:rsidRPr="00A10156">
        <w:t>CO</w:t>
      </w:r>
      <w:r w:rsidRPr="00A10156">
        <w:rPr>
          <w:rFonts w:ascii="맑은 고딕" w:eastAsia="맑은 고딕" w:hAnsi="맑은 고딕" w:cs="맑은 고딕" w:hint="eastAsia"/>
        </w:rPr>
        <w:t>₂</w:t>
      </w:r>
      <w:r w:rsidRPr="00A10156">
        <w:t xml:space="preserve"> 배출 실적, Scope 1·2·3 공시 수준, 글로벌 선사의 친환경 전략을 종합적으로 살펴보고, 해운산업의 Net Zero 전환을 위한 시사점을 제시합니다.</w:t>
      </w:r>
    </w:p>
    <w:p w:rsidR="004F4BDA" w:rsidRPr="00A10156" w:rsidRDefault="00A10156" w:rsidP="00A10156">
      <w:pPr>
        <w:rPr>
          <w:rFonts w:ascii="맑은 고딕" w:hAnsi="맑은 고딕" w:cs="맑은 고딕"/>
        </w:rPr>
      </w:pPr>
      <w:r w:rsidRPr="00A10156">
        <w:rPr>
          <w:rFonts w:hint="eastAsia"/>
        </w:rPr>
        <w:t>게시일자</w:t>
      </w:r>
      <w:r w:rsidRPr="00A10156">
        <w:t xml:space="preserve"> : 2026년</w:t>
      </w:r>
      <w:r>
        <w:t xml:space="preserve"> 8</w:t>
      </w:r>
      <w:r w:rsidRPr="00A10156">
        <w:t>월 00일</w:t>
      </w:r>
    </w:p>
    <w:p w:rsidR="00A10156" w:rsidRDefault="00A10156" w:rsidP="004F4BDA">
      <w:pPr>
        <w:rPr>
          <w:rFonts w:ascii="맑은 고딕" w:hAnsi="맑은 고딕" w:cs="맑은 고딕"/>
        </w:rPr>
      </w:pPr>
    </w:p>
    <w:p w:rsidR="004F4BDA" w:rsidRPr="00A10156" w:rsidRDefault="004F4BDA" w:rsidP="004F4BDA">
      <w:pPr>
        <w:rPr>
          <w:rFonts w:ascii="맑은 고딕" w:hAnsi="맑은 고딕" w:cs="맑은 고딕"/>
          <w:b/>
        </w:rPr>
      </w:pPr>
      <w:r w:rsidRPr="00A10156">
        <w:rPr>
          <w:rFonts w:ascii="맑은 고딕" w:hAnsi="맑은 고딕" w:cs="맑은 고딕" w:hint="eastAsia"/>
          <w:b/>
        </w:rPr>
        <w:t xml:space="preserve">저자 </w:t>
      </w:r>
      <w:r w:rsidR="00A10156">
        <w:rPr>
          <w:rFonts w:ascii="맑은 고딕" w:hAnsi="맑은 고딕" w:cs="맑은 고딕" w:hint="eastAsia"/>
          <w:b/>
        </w:rPr>
        <w:t>소개</w:t>
      </w:r>
    </w:p>
    <w:p w:rsidR="00A10156" w:rsidRPr="00A10156" w:rsidRDefault="00A10156" w:rsidP="00A10156">
      <w:pPr>
        <w:rPr>
          <w:rFonts w:ascii="맑은 고딕" w:hAnsi="맑은 고딕" w:cs="맑은 고딕"/>
          <w:b/>
        </w:rPr>
      </w:pPr>
      <w:r w:rsidRPr="00A10156">
        <w:rPr>
          <w:rFonts w:ascii="맑은 고딕" w:hAnsi="맑은 고딕" w:cs="맑은 고딕" w:hint="eastAsia"/>
          <w:b/>
        </w:rPr>
        <w:t>이상윤</w:t>
      </w:r>
      <w:r w:rsidRPr="00A10156">
        <w:rPr>
          <w:rFonts w:ascii="맑은 고딕" w:hAnsi="맑은 고딕" w:cs="맑은 고딕"/>
          <w:b/>
        </w:rPr>
        <w:t xml:space="preserve"> 교수</w:t>
      </w:r>
    </w:p>
    <w:p w:rsidR="00301F14" w:rsidRPr="00A10156" w:rsidRDefault="00A10156" w:rsidP="00A10156">
      <w:pPr>
        <w:rPr>
          <w:rFonts w:ascii="맑은 고딕" w:hAnsi="맑은 고딕" w:cs="맑은 고딕"/>
        </w:rPr>
      </w:pPr>
      <w:r w:rsidRPr="00A10156">
        <w:rPr>
          <w:rFonts w:ascii="맑은 고딕" w:hAnsi="맑은 고딕" w:cs="맑은 고딕"/>
        </w:rPr>
        <w:t>해운항만, 국제물류, 국제통상 분야의 전문 연구자로, 지난 30여 년간 국내외 정부기관, 국제기구, 대학, 연구소, 기업체와 150건 이상의 학술·산업·정책·자문 연구를 수행했습니다. 현재 인하대학교 아태물류학부 교수이자 BK21 디지털 전환시대 사회적 격차해소 물류교육연구단장으로서 물류 부문의 디지털 전환과 사회적 책임에 대한 교육과 연구를 이끌고 있습니다.</w:t>
      </w:r>
    </w:p>
    <w:p w:rsidR="00A10156" w:rsidRDefault="00A10156" w:rsidP="004F4BDA">
      <w:pPr>
        <w:rPr>
          <w:rFonts w:ascii="맑은 고딕" w:hAnsi="맑은 고딕" w:cs="맑은 고딕"/>
          <w:b/>
        </w:rPr>
      </w:pPr>
    </w:p>
    <w:p w:rsidR="004F4BDA" w:rsidRPr="003F5295" w:rsidRDefault="004F4BDA" w:rsidP="004F4BDA">
      <w:pPr>
        <w:rPr>
          <w:rFonts w:ascii="맑은 고딕" w:hAnsi="맑은 고딕" w:cs="맑은 고딕"/>
          <w:b/>
        </w:rPr>
      </w:pPr>
      <w:r w:rsidRPr="003F5295">
        <w:rPr>
          <w:rFonts w:ascii="맑은 고딕" w:hAnsi="맑은 고딕" w:cs="맑은 고딕"/>
          <w:b/>
        </w:rPr>
        <w:t>주요</w:t>
      </w:r>
      <w:r w:rsidRPr="003F5295">
        <w:rPr>
          <w:rFonts w:ascii="맑은 고딕" w:hAnsi="맑은 고딕" w:cs="맑은 고딕" w:hint="eastAsia"/>
          <w:b/>
        </w:rPr>
        <w:t xml:space="preserve"> 개념 정의</w:t>
      </w:r>
    </w:p>
    <w:p w:rsidR="00A10156" w:rsidRPr="00A10156" w:rsidRDefault="00A10156" w:rsidP="00A10156">
      <w:pPr>
        <w:rPr>
          <w:rFonts w:ascii="맑은 고딕" w:hAnsi="맑은 고딕" w:cs="맑은 고딕"/>
        </w:rPr>
      </w:pPr>
      <w:r w:rsidRPr="00A10156">
        <w:rPr>
          <w:rFonts w:ascii="맑은 고딕" w:hAnsi="맑은 고딕" w:cs="맑은 고딕"/>
        </w:rPr>
        <w:t>IMO, International Maritime Organization</w:t>
      </w:r>
    </w:p>
    <w:p w:rsidR="00A10156" w:rsidRPr="00A10156" w:rsidRDefault="00A10156" w:rsidP="00A10156">
      <w:pPr>
        <w:rPr>
          <w:rFonts w:ascii="맑은 고딕" w:hAnsi="맑은 고딕" w:cs="맑은 고딕"/>
        </w:rPr>
      </w:pPr>
      <w:r w:rsidRPr="00A10156">
        <w:rPr>
          <w:rFonts w:ascii="맑은 고딕" w:hAnsi="맑은 고딕" w:cs="맑은 고딕"/>
        </w:rPr>
        <w:t>IMO는 국제해사기구로, 국제 해운의 안전, 환경보호, 해양오염 방지를 위한 규범과 기준을 수립하는 국제기구입니다. 해운산업의 온실가스 감축과 대기오염물질 규제는 IMO의 환경규제를 중심으로 강화되고 있습니다.</w:t>
      </w:r>
    </w:p>
    <w:p w:rsidR="00A10156" w:rsidRPr="00A10156" w:rsidRDefault="00A10156" w:rsidP="00A10156">
      <w:pPr>
        <w:rPr>
          <w:rFonts w:ascii="맑은 고딕" w:hAnsi="맑은 고딕" w:cs="맑은 고딕"/>
        </w:rPr>
      </w:pPr>
      <w:r w:rsidRPr="00A10156">
        <w:rPr>
          <w:rFonts w:ascii="맑은 고딕" w:hAnsi="맑은 고딕" w:cs="맑은 고딕"/>
        </w:rPr>
        <w:t>MARPOL Annex VI</w:t>
      </w:r>
    </w:p>
    <w:p w:rsidR="00A10156" w:rsidRPr="00A10156" w:rsidRDefault="00A10156" w:rsidP="00A10156">
      <w:pPr>
        <w:rPr>
          <w:rFonts w:ascii="맑은 고딕" w:hAnsi="맑은 고딕" w:cs="맑은 고딕"/>
        </w:rPr>
      </w:pPr>
      <w:r w:rsidRPr="00A10156">
        <w:rPr>
          <w:rFonts w:ascii="맑은 고딕" w:hAnsi="맑은 고딕" w:cs="맑은 고딕"/>
        </w:rPr>
        <w:t>MARPOL Annex VI는 선박에서 발생하는 대기오염을 방지하기 위한 국제 규정입니다. SO</w:t>
      </w:r>
      <w:r w:rsidRPr="00A10156">
        <w:rPr>
          <w:rFonts w:ascii="Calibri" w:hAnsi="Calibri" w:cs="Calibri"/>
        </w:rPr>
        <w:t>ₓ</w:t>
      </w:r>
      <w:r w:rsidRPr="00A10156">
        <w:rPr>
          <w:rFonts w:ascii="맑은 고딕" w:hAnsi="맑은 고딕" w:cs="맑은 고딕"/>
        </w:rPr>
        <w:t>, NO</w:t>
      </w:r>
      <w:r w:rsidRPr="00A10156">
        <w:rPr>
          <w:rFonts w:ascii="Calibri" w:hAnsi="Calibri" w:cs="Calibri"/>
        </w:rPr>
        <w:t>ₓ</w:t>
      </w:r>
      <w:r w:rsidRPr="00A10156">
        <w:rPr>
          <w:rFonts w:ascii="맑은 고딕" w:hAnsi="맑은 고딕" w:cs="맑은 고딕"/>
        </w:rPr>
        <w:t>, 미</w:t>
      </w:r>
      <w:r w:rsidRPr="00A10156">
        <w:rPr>
          <w:rFonts w:ascii="맑은 고딕" w:hAnsi="맑은 고딕" w:cs="맑은 고딕"/>
        </w:rPr>
        <w:lastRenderedPageBreak/>
        <w:t>세먼지, 온실가스 배출을 줄이기 위한 연료 황 함유량 제한, 질소산화물 기준, 에너지 효율 관리 등이 포함됩니다.</w:t>
      </w:r>
    </w:p>
    <w:p w:rsidR="00A10156" w:rsidRPr="00A10156" w:rsidRDefault="00A10156" w:rsidP="00A10156">
      <w:pPr>
        <w:rPr>
          <w:rFonts w:ascii="맑은 고딕" w:hAnsi="맑은 고딕" w:cs="맑은 고딕"/>
        </w:rPr>
      </w:pPr>
      <w:r w:rsidRPr="00A10156">
        <w:rPr>
          <w:rFonts w:ascii="맑은 고딕" w:hAnsi="맑은 고딕" w:cs="맑은 고딕"/>
        </w:rPr>
        <w:t>IMO 2050 Net Zero</w:t>
      </w:r>
    </w:p>
    <w:p w:rsidR="00A10156" w:rsidRPr="00A10156" w:rsidRDefault="00A10156" w:rsidP="00A10156">
      <w:pPr>
        <w:rPr>
          <w:rFonts w:ascii="맑은 고딕" w:hAnsi="맑은 고딕" w:cs="맑은 고딕"/>
        </w:rPr>
      </w:pPr>
      <w:r w:rsidRPr="00A10156">
        <w:rPr>
          <w:rFonts w:ascii="맑은 고딕" w:hAnsi="맑은 고딕" w:cs="맑은 고딕"/>
        </w:rPr>
        <w:t>IMO 2050 Net Zero는 2050년까지 국제 해운 부문에서 온실가스 순배출을 제로 수준으로 줄이겠다는 목표입니다. 백서는 이 목표가 선사의 연료 전환, 선박 투자, 운항 방식, ESG 공시 전략에 직접적인 영향을 미치고 있다고 설명합니다.</w:t>
      </w:r>
    </w:p>
    <w:p w:rsidR="00A10156" w:rsidRPr="00A10156" w:rsidRDefault="00A10156" w:rsidP="00A10156">
      <w:pPr>
        <w:rPr>
          <w:rFonts w:ascii="맑은 고딕" w:hAnsi="맑은 고딕" w:cs="맑은 고딕"/>
        </w:rPr>
      </w:pPr>
      <w:r w:rsidRPr="00A10156">
        <w:rPr>
          <w:rFonts w:ascii="맑은 고딕" w:hAnsi="맑은 고딕" w:cs="맑은 고딕"/>
        </w:rPr>
        <w:t>EEDI, Energy Efficiency Design Index</w:t>
      </w:r>
    </w:p>
    <w:p w:rsidR="00A10156" w:rsidRPr="00A10156" w:rsidRDefault="00A10156" w:rsidP="00A10156">
      <w:pPr>
        <w:rPr>
          <w:rFonts w:ascii="맑은 고딕" w:hAnsi="맑은 고딕" w:cs="맑은 고딕"/>
        </w:rPr>
      </w:pPr>
      <w:r w:rsidRPr="00A10156">
        <w:rPr>
          <w:rFonts w:ascii="맑은 고딕" w:hAnsi="맑은 고딕" w:cs="맑은 고딕"/>
        </w:rPr>
        <w:t>EEDI는 신조 선박의 설계 단계에서 에너지 효율을 평가하는 지표입니다. 선박이 일정 수준 이상의 연료 효율과 CO₂ 배출 저감 성능을 갖추도록 유도하는 규제 수단입니다.</w:t>
      </w:r>
    </w:p>
    <w:p w:rsidR="00A10156" w:rsidRPr="00A10156" w:rsidRDefault="00A10156" w:rsidP="00A10156">
      <w:pPr>
        <w:rPr>
          <w:rFonts w:ascii="맑은 고딕" w:hAnsi="맑은 고딕" w:cs="맑은 고딕"/>
        </w:rPr>
      </w:pPr>
      <w:r w:rsidRPr="00A10156">
        <w:rPr>
          <w:rFonts w:ascii="맑은 고딕" w:hAnsi="맑은 고딕" w:cs="맑은 고딕"/>
        </w:rPr>
        <w:t>EEXI, Energy Efficiency Existing Ship Index</w:t>
      </w:r>
    </w:p>
    <w:p w:rsidR="00A10156" w:rsidRPr="00A10156" w:rsidRDefault="00A10156" w:rsidP="00A10156">
      <w:pPr>
        <w:rPr>
          <w:rFonts w:ascii="맑은 고딕" w:hAnsi="맑은 고딕" w:cs="맑은 고딕"/>
        </w:rPr>
      </w:pPr>
      <w:r w:rsidRPr="00A10156">
        <w:rPr>
          <w:rFonts w:ascii="맑은 고딕" w:hAnsi="맑은 고딕" w:cs="맑은 고딕"/>
        </w:rPr>
        <w:t>EEXI는 기존 선박의 에너지 효율을 평가하는 지표입니다. 신조선뿐 아니라 이미 운항 중인 선박도 설계 효율 기준을 충족하도록 관리하기 위해 도입되었습니다.</w:t>
      </w:r>
    </w:p>
    <w:p w:rsidR="00A10156" w:rsidRPr="00A10156" w:rsidRDefault="00A10156" w:rsidP="00A10156">
      <w:pPr>
        <w:rPr>
          <w:rFonts w:ascii="맑은 고딕" w:hAnsi="맑은 고딕" w:cs="맑은 고딕"/>
        </w:rPr>
      </w:pPr>
      <w:r w:rsidRPr="00A10156">
        <w:rPr>
          <w:rFonts w:ascii="맑은 고딕" w:hAnsi="맑은 고딕" w:cs="맑은 고딕"/>
        </w:rPr>
        <w:t>CII, Carbon Intensity Indicator</w:t>
      </w:r>
    </w:p>
    <w:p w:rsidR="00A10156" w:rsidRPr="00A10156" w:rsidRDefault="00A10156" w:rsidP="00A10156">
      <w:pPr>
        <w:rPr>
          <w:rFonts w:ascii="맑은 고딕" w:hAnsi="맑은 고딕" w:cs="맑은 고딕"/>
        </w:rPr>
      </w:pPr>
      <w:r w:rsidRPr="00A10156">
        <w:rPr>
          <w:rFonts w:ascii="맑은 고딕" w:hAnsi="맑은 고딕" w:cs="맑은 고딕"/>
        </w:rPr>
        <w:t>CII는 선박의 운항 실적을 기반으로 탄소집약도를 등급화하는 지표입니다. 선박이 실제 운항 과정에서 얼마나 효율적으로 탄소를 배출하는지 평가하며, 등급이 낮은 선박은 개선 계획 제출이 요구될 수 있습니다.</w:t>
      </w:r>
    </w:p>
    <w:p w:rsidR="00A10156" w:rsidRPr="00A10156" w:rsidRDefault="00A10156" w:rsidP="00A10156">
      <w:pPr>
        <w:rPr>
          <w:rFonts w:ascii="맑은 고딕" w:hAnsi="맑은 고딕" w:cs="맑은 고딕"/>
        </w:rPr>
      </w:pPr>
      <w:r w:rsidRPr="00A10156">
        <w:rPr>
          <w:rFonts w:ascii="맑은 고딕" w:hAnsi="맑은 고딕" w:cs="맑은 고딕"/>
        </w:rPr>
        <w:t>ESG 경영</w:t>
      </w:r>
    </w:p>
    <w:p w:rsidR="00A10156" w:rsidRPr="00A10156" w:rsidRDefault="00A10156" w:rsidP="00A10156">
      <w:pPr>
        <w:rPr>
          <w:rFonts w:ascii="맑은 고딕" w:hAnsi="맑은 고딕" w:cs="맑은 고딕"/>
        </w:rPr>
      </w:pPr>
      <w:r w:rsidRPr="00A10156">
        <w:rPr>
          <w:rFonts w:ascii="맑은 고딕" w:hAnsi="맑은 고딕" w:cs="맑은 고딕"/>
        </w:rPr>
        <w:t>ESG 경영은 환경, 사회, 지배구조 요소를 기업 전략에 반영하는 경영 방식입니다. 해운산업에서는 특히 환경 항목이 중요하며, CO₂, SO</w:t>
      </w:r>
      <w:r w:rsidRPr="00A10156">
        <w:rPr>
          <w:rFonts w:ascii="Calibri" w:hAnsi="Calibri" w:cs="Calibri"/>
        </w:rPr>
        <w:t>ₓ</w:t>
      </w:r>
      <w:r w:rsidRPr="00A10156">
        <w:rPr>
          <w:rFonts w:ascii="맑은 고딕" w:hAnsi="맑은 고딕" w:cs="맑은 고딕"/>
        </w:rPr>
        <w:t>, NO</w:t>
      </w:r>
      <w:r w:rsidRPr="00A10156">
        <w:rPr>
          <w:rFonts w:ascii="Calibri" w:hAnsi="Calibri" w:cs="Calibri"/>
        </w:rPr>
        <w:t>ₓ</w:t>
      </w:r>
      <w:r w:rsidRPr="00A10156">
        <w:rPr>
          <w:rFonts w:ascii="맑은 고딕" w:hAnsi="맑은 고딕" w:cs="맑은 고딕"/>
        </w:rPr>
        <w:t>, 미세먼지, 연료 효율, 폐기물 처리, 대체연료 도입 계획 등이 주요 평가 요소가 됩니다.</w:t>
      </w:r>
    </w:p>
    <w:p w:rsidR="00A10156" w:rsidRPr="00A10156" w:rsidRDefault="00A10156" w:rsidP="00A10156">
      <w:pPr>
        <w:rPr>
          <w:rFonts w:ascii="맑은 고딕" w:hAnsi="맑은 고딕" w:cs="맑은 고딕"/>
        </w:rPr>
      </w:pPr>
      <w:r w:rsidRPr="00A10156">
        <w:rPr>
          <w:rFonts w:ascii="맑은 고딕" w:hAnsi="맑은 고딕" w:cs="맑은 고딕"/>
        </w:rPr>
        <w:t>Scope 1 배출량</w:t>
      </w:r>
    </w:p>
    <w:p w:rsidR="00A10156" w:rsidRPr="00A10156" w:rsidRDefault="00A10156" w:rsidP="00A10156">
      <w:pPr>
        <w:rPr>
          <w:rFonts w:ascii="맑은 고딕" w:hAnsi="맑은 고딕" w:cs="맑은 고딕"/>
        </w:rPr>
      </w:pPr>
      <w:r w:rsidRPr="00A10156">
        <w:rPr>
          <w:rFonts w:ascii="맑은 고딕" w:hAnsi="맑은 고딕" w:cs="맑은 고딕"/>
        </w:rPr>
        <w:t>Scope 1은 기업이 직접 소유하거나 통제하는 자산에서 발생하는 직접 배출량입니다. 해운산업에서는 선박 연료 연소, 터미널 장비 운용 등에서 발생하는 배출이 Scope 1에 해당합니다.</w:t>
      </w:r>
    </w:p>
    <w:p w:rsidR="00A10156" w:rsidRPr="00A10156" w:rsidRDefault="00A10156" w:rsidP="00A10156">
      <w:pPr>
        <w:rPr>
          <w:rFonts w:ascii="맑은 고딕" w:hAnsi="맑은 고딕" w:cs="맑은 고딕"/>
        </w:rPr>
      </w:pPr>
      <w:r w:rsidRPr="00A10156">
        <w:rPr>
          <w:rFonts w:ascii="맑은 고딕" w:hAnsi="맑은 고딕" w:cs="맑은 고딕"/>
        </w:rPr>
        <w:t>Scope 2 배출량</w:t>
      </w:r>
    </w:p>
    <w:p w:rsidR="00A10156" w:rsidRPr="00A10156" w:rsidRDefault="00A10156" w:rsidP="00A10156">
      <w:pPr>
        <w:rPr>
          <w:rFonts w:ascii="맑은 고딕" w:hAnsi="맑은 고딕" w:cs="맑은 고딕"/>
        </w:rPr>
      </w:pPr>
      <w:r w:rsidRPr="00A10156">
        <w:rPr>
          <w:rFonts w:ascii="맑은 고딕" w:hAnsi="맑은 고딕" w:cs="맑은 고딕"/>
        </w:rPr>
        <w:t>Scope 2는 기업이 구매해 사용하는 전력, 열, 냉방 등 에너지 사용에서 발생하는 간접 배출량입니다. 해운사 사무실, 터미널, 육상 설비에서 사용하는 전력 관련 배출이 포함됩니다.</w:t>
      </w:r>
    </w:p>
    <w:p w:rsidR="00A10156" w:rsidRPr="00A10156" w:rsidRDefault="00A10156" w:rsidP="00A10156">
      <w:pPr>
        <w:rPr>
          <w:rFonts w:ascii="맑은 고딕" w:hAnsi="맑은 고딕" w:cs="맑은 고딕"/>
        </w:rPr>
      </w:pPr>
      <w:r w:rsidRPr="00A10156">
        <w:rPr>
          <w:rFonts w:ascii="맑은 고딕" w:hAnsi="맑은 고딕" w:cs="맑은 고딕"/>
        </w:rPr>
        <w:t>Scope 3 배출량</w:t>
      </w:r>
    </w:p>
    <w:p w:rsidR="00A10156" w:rsidRPr="00A10156" w:rsidRDefault="00A10156" w:rsidP="00A10156">
      <w:pPr>
        <w:rPr>
          <w:rFonts w:ascii="맑은 고딕" w:hAnsi="맑은 고딕" w:cs="맑은 고딕"/>
        </w:rPr>
      </w:pPr>
      <w:r w:rsidRPr="00A10156">
        <w:rPr>
          <w:rFonts w:ascii="맑은 고딕" w:hAnsi="맑은 고딕" w:cs="맑은 고딕"/>
        </w:rPr>
        <w:t xml:space="preserve">Scope 3는 기업의 가치사슬 전반에서 발생하는 기타 간접 배출량입니다. 해운산업에서는 연료 생산, 부품 제조, 운송 이후 사용 및 폐기 등 공급망 전체의 배출이 포함될 수 있으며, 아직 데이터 </w:t>
      </w:r>
      <w:r w:rsidRPr="00A10156">
        <w:rPr>
          <w:rFonts w:ascii="맑은 고딕" w:hAnsi="맑은 고딕" w:cs="맑은 고딕"/>
        </w:rPr>
        <w:lastRenderedPageBreak/>
        <w:t>수집과 관리가 초기 단계인 경우가 많습니다.</w:t>
      </w:r>
    </w:p>
    <w:p w:rsidR="00A10156" w:rsidRDefault="00A10156" w:rsidP="00A10156">
      <w:pPr>
        <w:rPr>
          <w:rFonts w:ascii="맑은 고딕" w:hAnsi="맑은 고딕" w:cs="맑은 고딕"/>
        </w:rPr>
      </w:pPr>
    </w:p>
    <w:p w:rsidR="00A10156" w:rsidRPr="00A10156" w:rsidRDefault="00A10156" w:rsidP="00A10156">
      <w:pPr>
        <w:rPr>
          <w:rFonts w:ascii="맑은 고딕" w:hAnsi="맑은 고딕" w:cs="맑은 고딕"/>
        </w:rPr>
      </w:pPr>
      <w:r w:rsidRPr="00A10156">
        <w:rPr>
          <w:rFonts w:ascii="맑은 고딕" w:hAnsi="맑은 고딕" w:cs="맑은 고딕"/>
        </w:rPr>
        <w:t>SO</w:t>
      </w:r>
      <w:r w:rsidRPr="00A10156">
        <w:rPr>
          <w:rFonts w:ascii="Calibri" w:hAnsi="Calibri" w:cs="Calibri"/>
        </w:rPr>
        <w:t>ₓ</w:t>
      </w:r>
      <w:r w:rsidRPr="00A10156">
        <w:rPr>
          <w:rFonts w:ascii="맑은 고딕" w:hAnsi="맑은 고딕" w:cs="맑은 고딕"/>
        </w:rPr>
        <w:t>, 황산화물</w:t>
      </w:r>
    </w:p>
    <w:p w:rsidR="00A10156" w:rsidRPr="00A10156" w:rsidRDefault="00A10156" w:rsidP="00A10156">
      <w:pPr>
        <w:rPr>
          <w:rFonts w:ascii="맑은 고딕" w:hAnsi="맑은 고딕" w:cs="맑은 고딕"/>
        </w:rPr>
      </w:pPr>
      <w:r w:rsidRPr="00A10156">
        <w:rPr>
          <w:rFonts w:ascii="맑은 고딕" w:hAnsi="맑은 고딕" w:cs="맑은 고딕"/>
        </w:rPr>
        <w:t>SO</w:t>
      </w:r>
      <w:r w:rsidRPr="00A10156">
        <w:rPr>
          <w:rFonts w:ascii="Calibri" w:hAnsi="Calibri" w:cs="Calibri"/>
        </w:rPr>
        <w:t>ₓ</w:t>
      </w:r>
      <w:r w:rsidRPr="00A10156">
        <w:rPr>
          <w:rFonts w:ascii="맑은 고딕" w:hAnsi="맑은 고딕" w:cs="맑은 고딕"/>
        </w:rPr>
        <w:t>는 선박 연료의 황 성분이 연소되며 발생하는 대기오염물질입니다. 산성비와 해양 산성화의 원인이 될 수 있으며, IMO 2020 황 함유량 규제를 통해 배출 저감이 본격화되었습니다.</w:t>
      </w:r>
    </w:p>
    <w:p w:rsidR="00A10156" w:rsidRPr="00A10156" w:rsidRDefault="00A10156" w:rsidP="00A10156">
      <w:pPr>
        <w:rPr>
          <w:rFonts w:ascii="맑은 고딕" w:hAnsi="맑은 고딕" w:cs="맑은 고딕"/>
        </w:rPr>
      </w:pPr>
      <w:r w:rsidRPr="00A10156">
        <w:rPr>
          <w:rFonts w:ascii="맑은 고딕" w:hAnsi="맑은 고딕" w:cs="맑은 고딕"/>
        </w:rPr>
        <w:t>NO</w:t>
      </w:r>
      <w:r w:rsidRPr="00A10156">
        <w:rPr>
          <w:rFonts w:ascii="Calibri" w:hAnsi="Calibri" w:cs="Calibri"/>
        </w:rPr>
        <w:t>ₓ</w:t>
      </w:r>
      <w:r w:rsidRPr="00A10156">
        <w:rPr>
          <w:rFonts w:ascii="맑은 고딕" w:hAnsi="맑은 고딕" w:cs="맑은 고딕"/>
        </w:rPr>
        <w:t>, 질소산화물</w:t>
      </w:r>
    </w:p>
    <w:p w:rsidR="00A10156" w:rsidRPr="00A10156" w:rsidRDefault="00A10156" w:rsidP="00A10156">
      <w:pPr>
        <w:rPr>
          <w:rFonts w:ascii="맑은 고딕" w:hAnsi="맑은 고딕" w:cs="맑은 고딕"/>
        </w:rPr>
      </w:pPr>
      <w:r w:rsidRPr="00A10156">
        <w:rPr>
          <w:rFonts w:ascii="맑은 고딕" w:hAnsi="맑은 고딕" w:cs="맑은 고딕"/>
        </w:rPr>
        <w:t>NO</w:t>
      </w:r>
      <w:r w:rsidRPr="00A10156">
        <w:rPr>
          <w:rFonts w:ascii="Calibri" w:hAnsi="Calibri" w:cs="Calibri"/>
        </w:rPr>
        <w:t>ₓ</w:t>
      </w:r>
      <w:r w:rsidRPr="00A10156">
        <w:rPr>
          <w:rFonts w:ascii="맑은 고딕" w:hAnsi="맑은 고딕" w:cs="맑은 고딕"/>
        </w:rPr>
        <w:t>는 선박 엔진의 고온 연소 과정에서 발생하는 대기오염물질입니다. 광화학 스모그와 미세먼지 생성에 영향을 미치며, IMO Tier I·II·III 기준과 SCR 도입 등을 통해 관리됩니다.</w:t>
      </w:r>
    </w:p>
    <w:p w:rsidR="00A10156" w:rsidRPr="00A10156" w:rsidRDefault="00A10156" w:rsidP="00A10156">
      <w:pPr>
        <w:rPr>
          <w:rFonts w:ascii="맑은 고딕" w:hAnsi="맑은 고딕" w:cs="맑은 고딕"/>
        </w:rPr>
      </w:pPr>
      <w:r w:rsidRPr="00A10156">
        <w:rPr>
          <w:rFonts w:ascii="맑은 고딕" w:hAnsi="맑은 고딕" w:cs="맑은 고딕"/>
        </w:rPr>
        <w:t>VLSFO, Very Low Sulphur Fuel Oil</w:t>
      </w:r>
    </w:p>
    <w:p w:rsidR="00A10156" w:rsidRPr="00A10156" w:rsidRDefault="00A10156" w:rsidP="00A10156">
      <w:pPr>
        <w:rPr>
          <w:rFonts w:ascii="맑은 고딕" w:hAnsi="맑은 고딕" w:cs="맑은 고딕"/>
        </w:rPr>
      </w:pPr>
      <w:r w:rsidRPr="00A10156">
        <w:rPr>
          <w:rFonts w:ascii="맑은 고딕" w:hAnsi="맑은 고딕" w:cs="맑은 고딕"/>
        </w:rPr>
        <w:t>VLSFO는 황 함유량이 0.50% 이하인 저유황유입니다. IMO 2020 규제 이후 글로벌 선사들이 기존 고유황유를 대체하기 위해 널리 도입한 연료입니다.</w:t>
      </w:r>
    </w:p>
    <w:p w:rsidR="00A10156" w:rsidRPr="00A10156" w:rsidRDefault="00A10156" w:rsidP="00A10156">
      <w:pPr>
        <w:rPr>
          <w:rFonts w:ascii="맑은 고딕" w:hAnsi="맑은 고딕" w:cs="맑은 고딕"/>
        </w:rPr>
      </w:pPr>
      <w:r w:rsidRPr="00A10156">
        <w:rPr>
          <w:rFonts w:ascii="맑은 고딕" w:hAnsi="맑은 고딕" w:cs="맑은 고딕"/>
        </w:rPr>
        <w:t>Scrubber</w:t>
      </w:r>
    </w:p>
    <w:p w:rsidR="00A10156" w:rsidRPr="00A10156" w:rsidRDefault="00A10156" w:rsidP="00A10156">
      <w:pPr>
        <w:rPr>
          <w:rFonts w:ascii="맑은 고딕" w:hAnsi="맑은 고딕" w:cs="맑은 고딕"/>
        </w:rPr>
      </w:pPr>
      <w:r w:rsidRPr="00A10156">
        <w:rPr>
          <w:rFonts w:ascii="맑은 고딕" w:hAnsi="맑은 고딕" w:cs="맑은 고딕" w:hint="eastAsia"/>
        </w:rPr>
        <w:t>스크러버는</w:t>
      </w:r>
      <w:r w:rsidRPr="00A10156">
        <w:rPr>
          <w:rFonts w:ascii="맑은 고딕" w:hAnsi="맑은 고딕" w:cs="맑은 고딕"/>
        </w:rPr>
        <w:t xml:space="preserve"> 선박 배기가스에서 황산화물을 제거하는 장치입니다. 일부 노후 선박은 고유황유를 사용하더라도 스크러버를 통해 SO</w:t>
      </w:r>
      <w:r w:rsidRPr="00A10156">
        <w:rPr>
          <w:rFonts w:ascii="Calibri" w:hAnsi="Calibri" w:cs="Calibri"/>
        </w:rPr>
        <w:t>ₓ</w:t>
      </w:r>
      <w:r w:rsidRPr="00A10156">
        <w:rPr>
          <w:rFonts w:ascii="맑은 고딕" w:hAnsi="맑은 고딕" w:cs="맑은 고딕"/>
        </w:rPr>
        <w:t xml:space="preserve"> 배출을 줄이는 방식으로 규제에 대응하고 있습니다.</w:t>
      </w:r>
    </w:p>
    <w:p w:rsidR="00A10156" w:rsidRPr="00A10156" w:rsidRDefault="00A10156" w:rsidP="00A10156">
      <w:pPr>
        <w:rPr>
          <w:rFonts w:ascii="맑은 고딕" w:hAnsi="맑은 고딕" w:cs="맑은 고딕"/>
        </w:rPr>
      </w:pPr>
      <w:r w:rsidRPr="00A10156">
        <w:rPr>
          <w:rFonts w:ascii="맑은 고딕" w:hAnsi="맑은 고딕" w:cs="맑은 고딕"/>
        </w:rPr>
        <w:t>SCR, Selective Catalytic Reduction</w:t>
      </w:r>
    </w:p>
    <w:p w:rsidR="00A10156" w:rsidRPr="00A10156" w:rsidRDefault="00A10156" w:rsidP="00A10156">
      <w:pPr>
        <w:rPr>
          <w:rFonts w:ascii="맑은 고딕" w:hAnsi="맑은 고딕" w:cs="맑은 고딕"/>
        </w:rPr>
      </w:pPr>
      <w:r w:rsidRPr="00A10156">
        <w:rPr>
          <w:rFonts w:ascii="맑은 고딕" w:hAnsi="맑은 고딕" w:cs="맑은 고딕"/>
        </w:rPr>
        <w:t>SCR은 선택적 촉매환원장치로, 선박 엔진에서 발생하는 NO</w:t>
      </w:r>
      <w:r w:rsidRPr="00A10156">
        <w:rPr>
          <w:rFonts w:ascii="Calibri" w:hAnsi="Calibri" w:cs="Calibri"/>
        </w:rPr>
        <w:t>ₓ</w:t>
      </w:r>
      <w:r w:rsidRPr="00A10156">
        <w:rPr>
          <w:rFonts w:ascii="맑은 고딕" w:hAnsi="맑은 고딕" w:cs="맑은 고딕"/>
        </w:rPr>
        <w:t>를 줄이기 위한 장치입니다. 신규 선박뿐 아니라 기존 선박에도 리트로핏 방식으로 장착되어 질소산화물 배출 저감에 활용됩니다.</w:t>
      </w:r>
    </w:p>
    <w:p w:rsidR="00A10156" w:rsidRPr="00A10156" w:rsidRDefault="00A10156" w:rsidP="00A10156">
      <w:pPr>
        <w:rPr>
          <w:rFonts w:ascii="맑은 고딕" w:hAnsi="맑은 고딕" w:cs="맑은 고딕"/>
        </w:rPr>
      </w:pPr>
      <w:r w:rsidRPr="00A10156">
        <w:rPr>
          <w:rFonts w:ascii="맑은 고딕" w:hAnsi="맑은 고딕" w:cs="맑은 고딕" w:hint="eastAsia"/>
        </w:rPr>
        <w:t>대체연료</w:t>
      </w:r>
    </w:p>
    <w:p w:rsidR="004F4BDA" w:rsidRPr="00A10156" w:rsidRDefault="00A10156" w:rsidP="00A10156">
      <w:pPr>
        <w:rPr>
          <w:rFonts w:ascii="맑은 고딕" w:hAnsi="맑은 고딕" w:cs="맑은 고딕"/>
        </w:rPr>
      </w:pPr>
      <w:r w:rsidRPr="00A10156">
        <w:rPr>
          <w:rFonts w:ascii="맑은 고딕" w:hAnsi="맑은 고딕" w:cs="맑은 고딕" w:hint="eastAsia"/>
        </w:rPr>
        <w:t>대체연료는</w:t>
      </w:r>
      <w:r w:rsidRPr="00A10156">
        <w:rPr>
          <w:rFonts w:ascii="맑은 고딕" w:hAnsi="맑은 고딕" w:cs="맑은 고딕"/>
        </w:rPr>
        <w:t xml:space="preserve"> 기존 화석연료를 대체하기 위한 저탄소·무탄소 연료입니다. 해운산업에서는 LNG, 메탄올, 암모니아, 수소, 바이오연료 등이 검토되고 있으며, 장기적으로 탄소중립 선박 도입과 연결됩니다.</w:t>
      </w:r>
    </w:p>
    <w:p w:rsidR="004F4BDA" w:rsidRDefault="004F4BDA" w:rsidP="004F4BDA">
      <w:pPr>
        <w:rPr>
          <w:rFonts w:ascii="맑은 고딕" w:hAnsi="맑은 고딕" w:cs="맑은 고딕"/>
        </w:rPr>
      </w:pPr>
    </w:p>
    <w:p w:rsidR="00A10156" w:rsidRPr="00A10156" w:rsidRDefault="00A10156" w:rsidP="00A10156">
      <w:pPr>
        <w:rPr>
          <w:b/>
        </w:rPr>
      </w:pPr>
      <w:r w:rsidRPr="00A10156">
        <w:rPr>
          <w:rFonts w:hint="eastAsia"/>
          <w:b/>
        </w:rPr>
        <w:t>글로벌</w:t>
      </w:r>
      <w:r w:rsidRPr="00A10156">
        <w:rPr>
          <w:b/>
        </w:rPr>
        <w:t xml:space="preserve"> 컨테이너 선사 친환경 이행성과, 핵심 질문으로 살펴보기</w:t>
      </w:r>
    </w:p>
    <w:p w:rsidR="00A10156" w:rsidRPr="00A10156" w:rsidRDefault="00A10156" w:rsidP="00A10156">
      <w:r w:rsidRPr="00A10156">
        <w:t xml:space="preserve">1. </w:t>
      </w:r>
      <w:r w:rsidRPr="00A10156">
        <w:rPr>
          <w:rFonts w:hint="eastAsia"/>
        </w:rPr>
        <w:t>글로벌</w:t>
      </w:r>
      <w:r w:rsidRPr="00A10156">
        <w:t xml:space="preserve"> 컨테이너 선사의 친환경 이행성과란 무엇인가요?</w:t>
      </w:r>
    </w:p>
    <w:p w:rsidR="00A10156" w:rsidRPr="00A10156" w:rsidRDefault="00A10156" w:rsidP="00A10156">
      <w:r w:rsidRPr="00A10156">
        <w:rPr>
          <w:rFonts w:hint="eastAsia"/>
        </w:rPr>
        <w:t>글로벌</w:t>
      </w:r>
      <w:r w:rsidRPr="00A10156">
        <w:t xml:space="preserve"> 컨테이너 선사의 친환경 이행성과는 해운사가 IMO 환경규제와 ESG 공시 요구에 대응해 대기오염물질과 온실가스를 얼마나 줄이고 있는지를 평가하는 지표입니다. 주요 평가 대상은 SO</w:t>
      </w:r>
      <w:r w:rsidRPr="00A10156">
        <w:rPr>
          <w:rFonts w:ascii="Calibri" w:hAnsi="Calibri" w:cs="Calibri"/>
        </w:rPr>
        <w:t>ₓ</w:t>
      </w:r>
      <w:r w:rsidRPr="00A10156">
        <w:t>, NO</w:t>
      </w:r>
      <w:r w:rsidRPr="00A10156">
        <w:rPr>
          <w:rFonts w:ascii="Calibri" w:hAnsi="Calibri" w:cs="Calibri"/>
        </w:rPr>
        <w:t>ₓ</w:t>
      </w:r>
      <w:r w:rsidRPr="00A10156">
        <w:t>, CO₂ 배출량, 연료 효율, 대체연료 도입, 친환경 선박 투자, Scope 1·2·3 공시 수준입니다.</w:t>
      </w:r>
    </w:p>
    <w:p w:rsidR="00A10156" w:rsidRPr="00A10156" w:rsidRDefault="00A10156" w:rsidP="00A10156">
      <w:r w:rsidRPr="00A10156">
        <w:t xml:space="preserve">2. </w:t>
      </w:r>
      <w:r w:rsidRPr="00A10156">
        <w:rPr>
          <w:rFonts w:hint="eastAsia"/>
        </w:rPr>
        <w:t>해운산업에서</w:t>
      </w:r>
      <w:r w:rsidRPr="00A10156">
        <w:t xml:space="preserve"> 환경규제가 중요한 이유는 무엇인가요?</w:t>
      </w:r>
    </w:p>
    <w:p w:rsidR="00A10156" w:rsidRPr="00A10156" w:rsidRDefault="00A10156" w:rsidP="00A10156">
      <w:r w:rsidRPr="00A10156">
        <w:rPr>
          <w:rFonts w:hint="eastAsia"/>
        </w:rPr>
        <w:lastRenderedPageBreak/>
        <w:t>해운산업은</w:t>
      </w:r>
      <w:r w:rsidRPr="00A10156">
        <w:t xml:space="preserve"> 글로벌 물류망을 유지하는 핵심 산업이지만, 선박 운항 과정에서 SO</w:t>
      </w:r>
      <w:r w:rsidRPr="00A10156">
        <w:rPr>
          <w:rFonts w:ascii="Calibri" w:hAnsi="Calibri" w:cs="Calibri"/>
        </w:rPr>
        <w:t>ₓ</w:t>
      </w:r>
      <w:r w:rsidRPr="00A10156">
        <w:t>, NO</w:t>
      </w:r>
      <w:r w:rsidRPr="00A10156">
        <w:rPr>
          <w:rFonts w:ascii="Calibri" w:hAnsi="Calibri" w:cs="Calibri"/>
        </w:rPr>
        <w:t>ₓ</w:t>
      </w:r>
      <w:r w:rsidRPr="00A10156">
        <w:t>, 미세먼지, CO₂ 등 대기오염물질과 온실가스를 배출합니다. 이러한 배출은 산성비, 해양 산성화, 광화학 스모그, 기후변화와 연결되기 때문에 IMO를 중심으로 국제 해운 환경규제가 강화되고 있습니다.</w:t>
      </w:r>
    </w:p>
    <w:p w:rsidR="00A10156" w:rsidRPr="00A10156" w:rsidRDefault="00A10156" w:rsidP="00A10156">
      <w:r w:rsidRPr="00A10156">
        <w:t>3. IMO 환경규제는 글로벌 선사에 어떤 영향을 미치나요?</w:t>
      </w:r>
    </w:p>
    <w:p w:rsidR="00A10156" w:rsidRPr="00A10156" w:rsidRDefault="00A10156" w:rsidP="00A10156">
      <w:r w:rsidRPr="00A10156">
        <w:t>IMO 환경규제는 선박의 연료 선택, 엔진 성능, 선박 설계, 운항 속도, 탄소집약도 관리에 직접적인 영향을 미칩니다. EEDI, EEXI, CII, IMO 2020 황 함유량 규제, NO</w:t>
      </w:r>
      <w:r w:rsidRPr="00A10156">
        <w:rPr>
          <w:rFonts w:ascii="Calibri" w:hAnsi="Calibri" w:cs="Calibri"/>
        </w:rPr>
        <w:t>ₓ</w:t>
      </w:r>
      <w:r w:rsidRPr="00A10156">
        <w:t xml:space="preserve"> Tier 기준은 선사가 친환경 선박과 저탄소 운항 전략을 도입하도록 유도합니다.</w:t>
      </w:r>
    </w:p>
    <w:p w:rsidR="00A10156" w:rsidRPr="00A10156" w:rsidRDefault="00A10156" w:rsidP="00A10156">
      <w:r w:rsidRPr="00A10156">
        <w:t>4. ESG 경영은 해운산업에서 왜 중요해졌나요?</w:t>
      </w:r>
    </w:p>
    <w:p w:rsidR="00A10156" w:rsidRPr="00A10156" w:rsidRDefault="00A10156" w:rsidP="00A10156">
      <w:r w:rsidRPr="00A10156">
        <w:t>ESG 경영은 해운사의 이미지 관리 차원을 넘어 사업 전략과 경쟁력 확보의 핵심 요소가 되었습니다. 투자자, 화주, 정부, 지역사회는 해운사에 탄소배출량과 감축 실적의 투명한 공개를 요구하고 있으며, ESG 대응이 부족한 기업은 장기 계약, 금융 지원, 보험료, 조달 금리 측면에서 불이익을 받을 수 있습니다.</w:t>
      </w:r>
    </w:p>
    <w:p w:rsidR="00A10156" w:rsidRPr="00A10156" w:rsidRDefault="00A10156" w:rsidP="00A10156">
      <w:r w:rsidRPr="00A10156">
        <w:t xml:space="preserve">5. </w:t>
      </w:r>
      <w:r w:rsidRPr="00A10156">
        <w:rPr>
          <w:rFonts w:hint="eastAsia"/>
        </w:rPr>
        <w:t>글로벌</w:t>
      </w:r>
      <w:r w:rsidRPr="00A10156">
        <w:t xml:space="preserve"> 컨테이너 선사들은 어떤 친환경 감축 활동을 하고 있나요?</w:t>
      </w:r>
    </w:p>
    <w:p w:rsidR="00A10156" w:rsidRPr="00A10156" w:rsidRDefault="00A10156" w:rsidP="00A10156">
      <w:r w:rsidRPr="00A10156">
        <w:rPr>
          <w:rFonts w:hint="eastAsia"/>
        </w:rPr>
        <w:t>글로벌</w:t>
      </w:r>
      <w:r w:rsidRPr="00A10156">
        <w:t xml:space="preserve"> 컨테이너 선사들은 VLSFO와 ULSD 전환, 스크러버 설치, SCR 도입, 저유황 엔진 적용, Slow Steaming 등 속도 최적화, 재생에너지 구매, RE100 참여, 태양광 발전, 대체연료 선박 투자, Scope 3 산정을 위한 LCA 도입 등을 추진하고 있습니다.</w:t>
      </w:r>
    </w:p>
    <w:p w:rsidR="00A10156" w:rsidRPr="00A10156" w:rsidRDefault="00A10156" w:rsidP="00A10156">
      <w:r w:rsidRPr="00A10156">
        <w:t xml:space="preserve">6. </w:t>
      </w:r>
      <w:r w:rsidRPr="00A10156">
        <w:rPr>
          <w:rFonts w:hint="eastAsia"/>
        </w:rPr>
        <w:t>글로벌</w:t>
      </w:r>
      <w:r w:rsidRPr="00A10156">
        <w:t xml:space="preserve"> 10대 컨테이너 선사의 SO</w:t>
      </w:r>
      <w:r w:rsidRPr="00A10156">
        <w:rPr>
          <w:rFonts w:ascii="Calibri" w:hAnsi="Calibri" w:cs="Calibri"/>
        </w:rPr>
        <w:t>ₓ</w:t>
      </w:r>
      <w:r w:rsidRPr="00A10156">
        <w:t xml:space="preserve"> 감축 성과는 어떻게 나타났나요?</w:t>
      </w:r>
    </w:p>
    <w:p w:rsidR="00A10156" w:rsidRPr="00A10156" w:rsidRDefault="00A10156" w:rsidP="00A10156">
      <w:r w:rsidRPr="00A10156">
        <w:rPr>
          <w:rFonts w:hint="eastAsia"/>
        </w:rPr>
        <w:t>글로벌</w:t>
      </w:r>
      <w:r w:rsidRPr="00A10156">
        <w:t xml:space="preserve"> 10대 컨테이너 선사의 SO</w:t>
      </w:r>
      <w:r w:rsidRPr="00A10156">
        <w:rPr>
          <w:rFonts w:ascii="Calibri" w:hAnsi="Calibri" w:cs="Calibri"/>
        </w:rPr>
        <w:t>ₓ</w:t>
      </w:r>
      <w:r w:rsidRPr="00A10156">
        <w:t xml:space="preserve"> 배출량은 IMO의 황 함유량 규제가 본격화된 2020년을 기점으로 급격히 감소한 것으로 분석됩니다. 이는 저유황유 전환, 스크러버 장착, 배출 통제 해역 규제 강화가 실제 배출 저감에 효과를 냈음을 보여주는 사례입니다.</w:t>
      </w:r>
    </w:p>
    <w:p w:rsidR="00A10156" w:rsidRPr="00A10156" w:rsidRDefault="00A10156" w:rsidP="00A10156">
      <w:r w:rsidRPr="00A10156">
        <w:t>7. NO</w:t>
      </w:r>
      <w:r w:rsidRPr="00A10156">
        <w:rPr>
          <w:rFonts w:ascii="Calibri" w:hAnsi="Calibri" w:cs="Calibri"/>
        </w:rPr>
        <w:t>ₓ</w:t>
      </w:r>
      <w:r w:rsidRPr="00A10156">
        <w:t>와 CO₂ 배출 성과는 왜 변동성이 크게 나타나나요?</w:t>
      </w:r>
    </w:p>
    <w:p w:rsidR="00A10156" w:rsidRPr="00A10156" w:rsidRDefault="00A10156" w:rsidP="00A10156">
      <w:r w:rsidRPr="00A10156">
        <w:t>NO</w:t>
      </w:r>
      <w:r w:rsidRPr="00A10156">
        <w:rPr>
          <w:rFonts w:ascii="Calibri" w:hAnsi="Calibri" w:cs="Calibri"/>
        </w:rPr>
        <w:t>ₓ</w:t>
      </w:r>
      <w:r w:rsidRPr="00A10156">
        <w:t>와 CO₂ 배출 성과는 선박 기술뿐 아니라 운항거리, 항로 변경, 운임 변동, 물동량 변화, 지정학적 리스크의 영향을 크게 받습니다. 백서에서는 2024년 홍해 위기와 파나마운하 가뭄으로 운송거리가 늘어나면서 NO</w:t>
      </w:r>
      <w:r w:rsidRPr="00A10156">
        <w:rPr>
          <w:rFonts w:ascii="Calibri" w:hAnsi="Calibri" w:cs="Calibri"/>
        </w:rPr>
        <w:t>ₓ</w:t>
      </w:r>
      <w:r w:rsidRPr="00A10156">
        <w:t>와 CO₂ 배출 집약도가 증가한 것으로 해석합니다.</w:t>
      </w:r>
    </w:p>
    <w:p w:rsidR="00A10156" w:rsidRPr="00A10156" w:rsidRDefault="00A10156" w:rsidP="00A10156">
      <w:r w:rsidRPr="00A10156">
        <w:t>8. Scope 3 배출량 관리가 중요한 이유는 무엇인가요?</w:t>
      </w:r>
    </w:p>
    <w:p w:rsidR="00A10156" w:rsidRPr="00A10156" w:rsidRDefault="00A10156" w:rsidP="00A10156">
      <w:r w:rsidRPr="00A10156">
        <w:t>Scope 3 배출량은 연료 생산, 부품 제조, 고객 사용, 폐기 등 해운사의 가치사슬 전반에서 발생하는 간접 배출을 포함합니다. 글로벌 ESG 평가와 화주의 탄소 감축 요구가 강화되면서 Scope 3 데이터의 투명한 산정과 공개는 해운사의 신뢰도와 경쟁력에 중요한 요소가 되고 있습니다.</w:t>
      </w:r>
    </w:p>
    <w:p w:rsidR="00A10156" w:rsidRPr="00A10156" w:rsidRDefault="00A10156" w:rsidP="00A10156">
      <w:r w:rsidRPr="00A10156">
        <w:t xml:space="preserve">9. </w:t>
      </w:r>
      <w:r w:rsidRPr="00A10156">
        <w:rPr>
          <w:rFonts w:hint="eastAsia"/>
        </w:rPr>
        <w:t>해운산업이</w:t>
      </w:r>
      <w:r w:rsidRPr="00A10156">
        <w:t xml:space="preserve"> 2050 Net Zero를 달성하기 위해 필요한 전략은 무엇인가요?</w:t>
      </w:r>
    </w:p>
    <w:p w:rsidR="00412CB8" w:rsidRPr="00A10156" w:rsidRDefault="00A10156" w:rsidP="00A10156">
      <w:r w:rsidRPr="00A10156">
        <w:rPr>
          <w:rFonts w:hint="eastAsia"/>
        </w:rPr>
        <w:t>해운산업이</w:t>
      </w:r>
      <w:r w:rsidRPr="00A10156">
        <w:t xml:space="preserve"> 2050 Net Zero를 달성하려면 저유황유 전환과 운항 최적화만으로는 충분하지 않습니</w:t>
      </w:r>
      <w:r w:rsidRPr="00A10156">
        <w:lastRenderedPageBreak/>
        <w:t>다. LNG, 메탄올, 암모니아, 수소, 바이오연료, 풍력 보조 추진, 전기 추진, 탄소 무배출 선박 등 차세대 기술 투자가 필요하며, 중소 선사를 위한 기술 공유, 금융 지원, 공공 탄소 펀드와 같은 정책적 지원도 병행되어야 합니다.</w:t>
      </w:r>
    </w:p>
    <w:p w:rsidR="003F5295" w:rsidRDefault="00FF20B5" w:rsidP="00B640B5">
      <w:pPr>
        <w:rPr>
          <w:b/>
        </w:rPr>
      </w:pPr>
      <w:r w:rsidRPr="00FF20B5">
        <w:rPr>
          <w:rFonts w:hint="eastAsia"/>
          <w:b/>
        </w:rPr>
        <w:t>글로벌</w:t>
      </w:r>
      <w:r w:rsidRPr="00FF20B5">
        <w:rPr>
          <w:b/>
        </w:rPr>
        <w:t xml:space="preserve"> 해운사 ESG 성과 </w:t>
      </w:r>
      <w:bookmarkStart w:id="0" w:name="_GoBack"/>
      <w:bookmarkEnd w:id="0"/>
      <w:r w:rsidR="00A10156" w:rsidRPr="00A10156">
        <w:rPr>
          <w:b/>
        </w:rPr>
        <w:t>한눈에 보기</w:t>
      </w:r>
    </w:p>
    <w:tbl>
      <w:tblPr>
        <w:tblStyle w:val="a4"/>
        <w:tblW w:w="0" w:type="auto"/>
        <w:tblLook w:val="04A0" w:firstRow="1" w:lastRow="0" w:firstColumn="1" w:lastColumn="0" w:noHBand="0" w:noVBand="1"/>
      </w:tblPr>
      <w:tblGrid>
        <w:gridCol w:w="1523"/>
        <w:gridCol w:w="7493"/>
      </w:tblGrid>
      <w:tr w:rsidR="00A10156" w:rsidRPr="00A10156" w:rsidTr="00A10156">
        <w:tc>
          <w:tcPr>
            <w:tcW w:w="0" w:type="auto"/>
            <w:hideMark/>
          </w:tcPr>
          <w:p w:rsidR="00A10156" w:rsidRPr="00A10156" w:rsidRDefault="00A10156" w:rsidP="00A10156">
            <w:pPr>
              <w:widowControl/>
              <w:wordWrap/>
              <w:autoSpaceDE/>
              <w:autoSpaceDN/>
              <w:jc w:val="center"/>
              <w:rPr>
                <w:rFonts w:asciiTheme="minorEastAsia" w:hAnsiTheme="minorEastAsia" w:cs="굴림"/>
                <w:bCs/>
                <w:sz w:val="20"/>
                <w:szCs w:val="20"/>
              </w:rPr>
            </w:pPr>
            <w:r w:rsidRPr="00A10156">
              <w:rPr>
                <w:rFonts w:asciiTheme="minorEastAsia" w:hAnsiTheme="minorEastAsia" w:cs="굴림"/>
                <w:bCs/>
                <w:sz w:val="20"/>
                <w:szCs w:val="20"/>
              </w:rPr>
              <w:t>구분</w:t>
            </w:r>
          </w:p>
        </w:tc>
        <w:tc>
          <w:tcPr>
            <w:tcW w:w="0" w:type="auto"/>
            <w:hideMark/>
          </w:tcPr>
          <w:p w:rsidR="00A10156" w:rsidRPr="00A10156" w:rsidRDefault="00A10156" w:rsidP="00A10156">
            <w:pPr>
              <w:widowControl/>
              <w:wordWrap/>
              <w:autoSpaceDE/>
              <w:autoSpaceDN/>
              <w:jc w:val="center"/>
              <w:rPr>
                <w:rFonts w:asciiTheme="minorEastAsia" w:hAnsiTheme="minorEastAsia" w:cs="굴림"/>
                <w:bCs/>
                <w:sz w:val="20"/>
                <w:szCs w:val="20"/>
              </w:rPr>
            </w:pPr>
            <w:r w:rsidRPr="00A10156">
              <w:rPr>
                <w:rFonts w:asciiTheme="minorEastAsia" w:hAnsiTheme="minorEastAsia" w:cs="굴림"/>
                <w:bCs/>
                <w:sz w:val="20"/>
                <w:szCs w:val="20"/>
              </w:rPr>
              <w:t>핵심 내용</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주요 주제</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ESG 보고서를 기반으로 글로벌 10대 컨테이너 선사의 친환경 이행성과 분석</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분석 대상</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MSC, Maersk, CMA CGM, COSCO, Hapag-Lloyd, ONE, Evergreen, HMM, ZIM, Yang Ming</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핵심 배출물질</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SO</w:t>
            </w:r>
            <w:r w:rsidRPr="00A10156">
              <w:rPr>
                <w:rFonts w:ascii="Calibri" w:hAnsi="Calibri" w:cs="Calibri"/>
                <w:sz w:val="20"/>
                <w:szCs w:val="20"/>
                <w:lang w:eastAsia="ko-KR"/>
              </w:rPr>
              <w:t>ₓ</w:t>
            </w:r>
            <w:r w:rsidRPr="00A10156">
              <w:rPr>
                <w:rFonts w:asciiTheme="minorEastAsia" w:hAnsiTheme="minorEastAsia" w:cs="굴림"/>
                <w:sz w:val="20"/>
                <w:szCs w:val="20"/>
                <w:lang w:eastAsia="ko-KR"/>
              </w:rPr>
              <w:t>, NO</w:t>
            </w:r>
            <w:r w:rsidRPr="00A10156">
              <w:rPr>
                <w:rFonts w:ascii="Calibri" w:hAnsi="Calibri" w:cs="Calibri"/>
                <w:sz w:val="20"/>
                <w:szCs w:val="20"/>
                <w:lang w:eastAsia="ko-KR"/>
              </w:rPr>
              <w:t>ₓ</w:t>
            </w:r>
            <w:r w:rsidRPr="00A10156">
              <w:rPr>
                <w:rFonts w:asciiTheme="minorEastAsia" w:hAnsiTheme="minorEastAsia" w:cs="굴림"/>
                <w:sz w:val="20"/>
                <w:szCs w:val="20"/>
                <w:lang w:eastAsia="ko-KR"/>
              </w:rPr>
              <w:t>, CO₂, 미세먼지</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주요 규제</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IMO 2020, EEDI, SEEMP, EEXI, CII, IMO 2050 Net Zero</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ESG 평가 요소</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탄소배출량, 연료 효율, 대체연료 도입, 폐기물 관리, Scope 1·2·3 공시</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SO</w:t>
            </w:r>
            <w:r w:rsidRPr="00A10156">
              <w:rPr>
                <w:rFonts w:ascii="Calibri" w:hAnsi="Calibri" w:cs="Calibri"/>
                <w:sz w:val="20"/>
                <w:szCs w:val="20"/>
              </w:rPr>
              <w:t>ₓ</w:t>
            </w:r>
            <w:r w:rsidRPr="00A10156">
              <w:rPr>
                <w:rFonts w:asciiTheme="minorEastAsia" w:hAnsiTheme="minorEastAsia" w:cs="굴림"/>
                <w:sz w:val="20"/>
                <w:szCs w:val="20"/>
              </w:rPr>
              <w:t xml:space="preserve"> 감축 활동</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VLSFO 전환, ULSD 사용, 스크러버 설치, 배출 통제 해역 대응</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NO</w:t>
            </w:r>
            <w:r w:rsidRPr="00A10156">
              <w:rPr>
                <w:rFonts w:ascii="Calibri" w:hAnsi="Calibri" w:cs="Calibri"/>
                <w:sz w:val="20"/>
                <w:szCs w:val="20"/>
              </w:rPr>
              <w:t>ₓ</w:t>
            </w:r>
            <w:r w:rsidRPr="00A10156">
              <w:rPr>
                <w:rFonts w:asciiTheme="minorEastAsia" w:hAnsiTheme="minorEastAsia" w:cs="굴림"/>
                <w:sz w:val="20"/>
                <w:szCs w:val="20"/>
              </w:rPr>
              <w:t xml:space="preserve"> 감축 활동</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IMO Tier III 엔진, SCR 장치, 기존 선박 리트로핏</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CO₂ 감축 활동</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속도 최적화, 선박 효율 개선, 대체연료 선박 투자, 운항거리 관리</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Scope 1</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선박 연료 연소와 터미널 장비 등에서 발생하는 직접 배출</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Scope 2</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터미널과 사무실의 전력 사용 등에서 발생하는 간접 배출</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Scope 3</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연료 생산, 부품 제조, 운송 이후 사용·폐기 등 가치사슬 전반의 간접 배출</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주요 성과</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2020년 이후 SO</w:t>
            </w:r>
            <w:r w:rsidRPr="00A10156">
              <w:rPr>
                <w:rFonts w:ascii="Calibri" w:hAnsi="Calibri" w:cs="Calibri"/>
                <w:sz w:val="20"/>
                <w:szCs w:val="20"/>
                <w:lang w:eastAsia="ko-KR"/>
              </w:rPr>
              <w:t>ₓ</w:t>
            </w:r>
            <w:r w:rsidRPr="00A10156">
              <w:rPr>
                <w:rFonts w:asciiTheme="minorEastAsia" w:hAnsiTheme="minorEastAsia" w:cs="굴림"/>
                <w:sz w:val="20"/>
                <w:szCs w:val="20"/>
                <w:lang w:eastAsia="ko-KR"/>
              </w:rPr>
              <w:t xml:space="preserve"> 배출량 급감, 저유황유 전환과 스크러버 효과 확인</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주요 한계</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NO</w:t>
            </w:r>
            <w:r w:rsidRPr="00A10156">
              <w:rPr>
                <w:rFonts w:ascii="Calibri" w:hAnsi="Calibri" w:cs="Calibri"/>
                <w:sz w:val="20"/>
                <w:szCs w:val="20"/>
                <w:lang w:eastAsia="ko-KR"/>
              </w:rPr>
              <w:t>ₓ</w:t>
            </w:r>
            <w:r w:rsidRPr="00A10156">
              <w:rPr>
                <w:rFonts w:asciiTheme="minorEastAsia" w:hAnsiTheme="minorEastAsia" w:cs="굴림"/>
                <w:sz w:val="20"/>
                <w:szCs w:val="20"/>
                <w:lang w:eastAsia="ko-KR"/>
              </w:rPr>
              <w:t>·CO₂는 운항거리, 운임, 항로 변경, 지정학적 리스크에 따라 변동성 존재</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데이터 과제</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Scope 2·3 보고는 최근 확대 중이며, 수집 범위와 정확성 개선 필요</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향후 전략</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친환경 연료, 탄소 무배출 선박, 디지털 운항 최적화, 정책·금융 지원 병행</w:t>
            </w:r>
          </w:p>
        </w:tc>
      </w:tr>
      <w:tr w:rsidR="00A10156" w:rsidRPr="00A10156" w:rsidTr="00A10156">
        <w:tc>
          <w:tcPr>
            <w:tcW w:w="0" w:type="auto"/>
            <w:hideMark/>
          </w:tcPr>
          <w:p w:rsidR="00A10156" w:rsidRPr="00A10156" w:rsidRDefault="00A10156" w:rsidP="00A10156">
            <w:pPr>
              <w:widowControl/>
              <w:wordWrap/>
              <w:autoSpaceDE/>
              <w:autoSpaceDN/>
              <w:rPr>
                <w:rFonts w:asciiTheme="minorEastAsia" w:hAnsiTheme="minorEastAsia" w:cs="굴림"/>
                <w:sz w:val="20"/>
                <w:szCs w:val="20"/>
              </w:rPr>
            </w:pPr>
            <w:r w:rsidRPr="00A10156">
              <w:rPr>
                <w:rFonts w:asciiTheme="minorEastAsia" w:hAnsiTheme="minorEastAsia" w:cs="굴림"/>
                <w:sz w:val="20"/>
                <w:szCs w:val="20"/>
              </w:rPr>
              <w:t>정책 제언</w:t>
            </w:r>
          </w:p>
        </w:tc>
        <w:tc>
          <w:tcPr>
            <w:tcW w:w="0" w:type="auto"/>
            <w:hideMark/>
          </w:tcPr>
          <w:p w:rsidR="00A10156" w:rsidRPr="00A10156" w:rsidRDefault="00A10156" w:rsidP="00A10156">
            <w:pPr>
              <w:widowControl/>
              <w:wordWrap/>
              <w:autoSpaceDE/>
              <w:autoSpaceDN/>
              <w:rPr>
                <w:rFonts w:asciiTheme="minorEastAsia" w:hAnsiTheme="minorEastAsia" w:cs="굴림"/>
                <w:sz w:val="20"/>
                <w:szCs w:val="20"/>
                <w:lang w:eastAsia="ko-KR"/>
              </w:rPr>
            </w:pPr>
            <w:r w:rsidRPr="00A10156">
              <w:rPr>
                <w:rFonts w:asciiTheme="minorEastAsia" w:hAnsiTheme="minorEastAsia" w:cs="굴림"/>
                <w:sz w:val="20"/>
                <w:szCs w:val="20"/>
                <w:lang w:eastAsia="ko-KR"/>
              </w:rPr>
              <w:t>배출량 측정 역량 확보, 대형·중소 선사 간 노하우 공유, 공공 탄소 펀드 검토</w:t>
            </w:r>
          </w:p>
        </w:tc>
      </w:tr>
    </w:tbl>
    <w:p w:rsidR="00B640B5" w:rsidRPr="00B640B5" w:rsidRDefault="00B640B5" w:rsidP="00B640B5"/>
    <w:sectPr w:rsidR="00B640B5" w:rsidRPr="00B640B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418" w:rsidRDefault="00F16418" w:rsidP="00F16418">
      <w:pPr>
        <w:spacing w:after="0" w:line="240" w:lineRule="auto"/>
      </w:pPr>
      <w:r>
        <w:separator/>
      </w:r>
    </w:p>
  </w:endnote>
  <w:endnote w:type="continuationSeparator" w:id="0">
    <w:p w:rsidR="00F16418" w:rsidRDefault="00F16418" w:rsidP="00F1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418" w:rsidRDefault="00F16418" w:rsidP="00F16418">
      <w:pPr>
        <w:spacing w:after="0" w:line="240" w:lineRule="auto"/>
      </w:pPr>
      <w:r>
        <w:separator/>
      </w:r>
    </w:p>
  </w:footnote>
  <w:footnote w:type="continuationSeparator" w:id="0">
    <w:p w:rsidR="00F16418" w:rsidRDefault="00F16418" w:rsidP="00F164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0A4F57"/>
    <w:rsid w:val="001E27C3"/>
    <w:rsid w:val="0023677F"/>
    <w:rsid w:val="002D629C"/>
    <w:rsid w:val="00301F14"/>
    <w:rsid w:val="003834FF"/>
    <w:rsid w:val="003D4E64"/>
    <w:rsid w:val="003F5295"/>
    <w:rsid w:val="00412CB8"/>
    <w:rsid w:val="0048455E"/>
    <w:rsid w:val="004F4BDA"/>
    <w:rsid w:val="00667A24"/>
    <w:rsid w:val="007B5515"/>
    <w:rsid w:val="00A10156"/>
    <w:rsid w:val="00B640B5"/>
    <w:rsid w:val="00F16418"/>
    <w:rsid w:val="00F867ED"/>
    <w:rsid w:val="00FF20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F16418"/>
    <w:pPr>
      <w:tabs>
        <w:tab w:val="center" w:pos="4513"/>
        <w:tab w:val="right" w:pos="9026"/>
      </w:tabs>
      <w:snapToGrid w:val="0"/>
    </w:pPr>
  </w:style>
  <w:style w:type="character" w:customStyle="1" w:styleId="Char">
    <w:name w:val="머리글 Char"/>
    <w:basedOn w:val="a0"/>
    <w:link w:val="a5"/>
    <w:uiPriority w:val="99"/>
    <w:rsid w:val="00F16418"/>
  </w:style>
  <w:style w:type="paragraph" w:styleId="a6">
    <w:name w:val="footer"/>
    <w:basedOn w:val="a"/>
    <w:link w:val="Char0"/>
    <w:uiPriority w:val="99"/>
    <w:unhideWhenUsed/>
    <w:rsid w:val="00F16418"/>
    <w:pPr>
      <w:tabs>
        <w:tab w:val="center" w:pos="4513"/>
        <w:tab w:val="right" w:pos="9026"/>
      </w:tabs>
      <w:snapToGrid w:val="0"/>
    </w:pPr>
  </w:style>
  <w:style w:type="character" w:customStyle="1" w:styleId="Char0">
    <w:name w:val="바닥글 Char"/>
    <w:basedOn w:val="a0"/>
    <w:link w:val="a6"/>
    <w:uiPriority w:val="99"/>
    <w:rsid w:val="00F16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84538">
      <w:bodyDiv w:val="1"/>
      <w:marLeft w:val="0"/>
      <w:marRight w:val="0"/>
      <w:marTop w:val="0"/>
      <w:marBottom w:val="0"/>
      <w:divBdr>
        <w:top w:val="none" w:sz="0" w:space="0" w:color="auto"/>
        <w:left w:val="none" w:sz="0" w:space="0" w:color="auto"/>
        <w:bottom w:val="none" w:sz="0" w:space="0" w:color="auto"/>
        <w:right w:val="none" w:sz="0" w:space="0" w:color="auto"/>
      </w:divBdr>
    </w:div>
    <w:div w:id="86923408">
      <w:bodyDiv w:val="1"/>
      <w:marLeft w:val="0"/>
      <w:marRight w:val="0"/>
      <w:marTop w:val="0"/>
      <w:marBottom w:val="0"/>
      <w:divBdr>
        <w:top w:val="none" w:sz="0" w:space="0" w:color="auto"/>
        <w:left w:val="none" w:sz="0" w:space="0" w:color="auto"/>
        <w:bottom w:val="none" w:sz="0" w:space="0" w:color="auto"/>
        <w:right w:val="none" w:sz="0" w:space="0" w:color="auto"/>
      </w:divBdr>
    </w:div>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16753534">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545993915">
      <w:bodyDiv w:val="1"/>
      <w:marLeft w:val="0"/>
      <w:marRight w:val="0"/>
      <w:marTop w:val="0"/>
      <w:marBottom w:val="0"/>
      <w:divBdr>
        <w:top w:val="none" w:sz="0" w:space="0" w:color="auto"/>
        <w:left w:val="none" w:sz="0" w:space="0" w:color="auto"/>
        <w:bottom w:val="none" w:sz="0" w:space="0" w:color="auto"/>
        <w:right w:val="none" w:sz="0" w:space="0" w:color="auto"/>
      </w:divBdr>
    </w:div>
    <w:div w:id="770395715">
      <w:bodyDiv w:val="1"/>
      <w:marLeft w:val="0"/>
      <w:marRight w:val="0"/>
      <w:marTop w:val="0"/>
      <w:marBottom w:val="0"/>
      <w:divBdr>
        <w:top w:val="none" w:sz="0" w:space="0" w:color="auto"/>
        <w:left w:val="none" w:sz="0" w:space="0" w:color="auto"/>
        <w:bottom w:val="none" w:sz="0" w:space="0" w:color="auto"/>
        <w:right w:val="none" w:sz="0" w:space="0" w:color="auto"/>
      </w:divBdr>
    </w:div>
    <w:div w:id="801266653">
      <w:bodyDiv w:val="1"/>
      <w:marLeft w:val="0"/>
      <w:marRight w:val="0"/>
      <w:marTop w:val="0"/>
      <w:marBottom w:val="0"/>
      <w:divBdr>
        <w:top w:val="none" w:sz="0" w:space="0" w:color="auto"/>
        <w:left w:val="none" w:sz="0" w:space="0" w:color="auto"/>
        <w:bottom w:val="none" w:sz="0" w:space="0" w:color="auto"/>
        <w:right w:val="none" w:sz="0" w:space="0" w:color="auto"/>
      </w:divBdr>
    </w:div>
    <w:div w:id="861744168">
      <w:bodyDiv w:val="1"/>
      <w:marLeft w:val="0"/>
      <w:marRight w:val="0"/>
      <w:marTop w:val="0"/>
      <w:marBottom w:val="0"/>
      <w:divBdr>
        <w:top w:val="none" w:sz="0" w:space="0" w:color="auto"/>
        <w:left w:val="none" w:sz="0" w:space="0" w:color="auto"/>
        <w:bottom w:val="none" w:sz="0" w:space="0" w:color="auto"/>
        <w:right w:val="none" w:sz="0" w:space="0" w:color="auto"/>
      </w:divBdr>
    </w:div>
    <w:div w:id="950666898">
      <w:bodyDiv w:val="1"/>
      <w:marLeft w:val="0"/>
      <w:marRight w:val="0"/>
      <w:marTop w:val="0"/>
      <w:marBottom w:val="0"/>
      <w:divBdr>
        <w:top w:val="none" w:sz="0" w:space="0" w:color="auto"/>
        <w:left w:val="none" w:sz="0" w:space="0" w:color="auto"/>
        <w:bottom w:val="none" w:sz="0" w:space="0" w:color="auto"/>
        <w:right w:val="none" w:sz="0" w:space="0" w:color="auto"/>
      </w:divBdr>
    </w:div>
    <w:div w:id="965433176">
      <w:bodyDiv w:val="1"/>
      <w:marLeft w:val="0"/>
      <w:marRight w:val="0"/>
      <w:marTop w:val="0"/>
      <w:marBottom w:val="0"/>
      <w:divBdr>
        <w:top w:val="none" w:sz="0" w:space="0" w:color="auto"/>
        <w:left w:val="none" w:sz="0" w:space="0" w:color="auto"/>
        <w:bottom w:val="none" w:sz="0" w:space="0" w:color="auto"/>
        <w:right w:val="none" w:sz="0" w:space="0" w:color="auto"/>
      </w:divBdr>
    </w:div>
    <w:div w:id="1019967883">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152140622">
      <w:bodyDiv w:val="1"/>
      <w:marLeft w:val="0"/>
      <w:marRight w:val="0"/>
      <w:marTop w:val="0"/>
      <w:marBottom w:val="0"/>
      <w:divBdr>
        <w:top w:val="none" w:sz="0" w:space="0" w:color="auto"/>
        <w:left w:val="none" w:sz="0" w:space="0" w:color="auto"/>
        <w:bottom w:val="none" w:sz="0" w:space="0" w:color="auto"/>
        <w:right w:val="none" w:sz="0" w:space="0" w:color="auto"/>
      </w:divBdr>
    </w:div>
    <w:div w:id="1405101776">
      <w:bodyDiv w:val="1"/>
      <w:marLeft w:val="0"/>
      <w:marRight w:val="0"/>
      <w:marTop w:val="0"/>
      <w:marBottom w:val="0"/>
      <w:divBdr>
        <w:top w:val="none" w:sz="0" w:space="0" w:color="auto"/>
        <w:left w:val="none" w:sz="0" w:space="0" w:color="auto"/>
        <w:bottom w:val="none" w:sz="0" w:space="0" w:color="auto"/>
        <w:right w:val="none" w:sz="0" w:space="0" w:color="auto"/>
      </w:divBdr>
    </w:div>
    <w:div w:id="1451124065">
      <w:bodyDiv w:val="1"/>
      <w:marLeft w:val="0"/>
      <w:marRight w:val="0"/>
      <w:marTop w:val="0"/>
      <w:marBottom w:val="0"/>
      <w:divBdr>
        <w:top w:val="none" w:sz="0" w:space="0" w:color="auto"/>
        <w:left w:val="none" w:sz="0" w:space="0" w:color="auto"/>
        <w:bottom w:val="none" w:sz="0" w:space="0" w:color="auto"/>
        <w:right w:val="none" w:sz="0" w:space="0" w:color="auto"/>
      </w:divBdr>
    </w:div>
    <w:div w:id="1608612803">
      <w:bodyDiv w:val="1"/>
      <w:marLeft w:val="0"/>
      <w:marRight w:val="0"/>
      <w:marTop w:val="0"/>
      <w:marBottom w:val="0"/>
      <w:divBdr>
        <w:top w:val="none" w:sz="0" w:space="0" w:color="auto"/>
        <w:left w:val="none" w:sz="0" w:space="0" w:color="auto"/>
        <w:bottom w:val="none" w:sz="0" w:space="0" w:color="auto"/>
        <w:right w:val="none" w:sz="0" w:space="0" w:color="auto"/>
      </w:divBdr>
    </w:div>
    <w:div w:id="1668629530">
      <w:bodyDiv w:val="1"/>
      <w:marLeft w:val="0"/>
      <w:marRight w:val="0"/>
      <w:marTop w:val="0"/>
      <w:marBottom w:val="0"/>
      <w:divBdr>
        <w:top w:val="none" w:sz="0" w:space="0" w:color="auto"/>
        <w:left w:val="none" w:sz="0" w:space="0" w:color="auto"/>
        <w:bottom w:val="none" w:sz="0" w:space="0" w:color="auto"/>
        <w:right w:val="none" w:sz="0" w:space="0" w:color="auto"/>
      </w:divBdr>
    </w:div>
    <w:div w:id="1867714094">
      <w:bodyDiv w:val="1"/>
      <w:marLeft w:val="0"/>
      <w:marRight w:val="0"/>
      <w:marTop w:val="0"/>
      <w:marBottom w:val="0"/>
      <w:divBdr>
        <w:top w:val="none" w:sz="0" w:space="0" w:color="auto"/>
        <w:left w:val="none" w:sz="0" w:space="0" w:color="auto"/>
        <w:bottom w:val="none" w:sz="0" w:space="0" w:color="auto"/>
        <w:right w:val="none" w:sz="0" w:space="0" w:color="auto"/>
      </w:divBdr>
    </w:div>
    <w:div w:id="1990134920">
      <w:bodyDiv w:val="1"/>
      <w:marLeft w:val="0"/>
      <w:marRight w:val="0"/>
      <w:marTop w:val="0"/>
      <w:marBottom w:val="0"/>
      <w:divBdr>
        <w:top w:val="none" w:sz="0" w:space="0" w:color="auto"/>
        <w:left w:val="none" w:sz="0" w:space="0" w:color="auto"/>
        <w:bottom w:val="none" w:sz="0" w:space="0" w:color="auto"/>
        <w:right w:val="none" w:sz="0" w:space="0" w:color="auto"/>
      </w:divBdr>
    </w:div>
    <w:div w:id="2030644792">
      <w:bodyDiv w:val="1"/>
      <w:marLeft w:val="0"/>
      <w:marRight w:val="0"/>
      <w:marTop w:val="0"/>
      <w:marBottom w:val="0"/>
      <w:divBdr>
        <w:top w:val="none" w:sz="0" w:space="0" w:color="auto"/>
        <w:left w:val="none" w:sz="0" w:space="0" w:color="auto"/>
        <w:bottom w:val="none" w:sz="0" w:space="0" w:color="auto"/>
        <w:right w:val="none" w:sz="0" w:space="0" w:color="auto"/>
      </w:divBdr>
    </w:div>
    <w:div w:id="20773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5</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19</cp:revision>
  <dcterms:created xsi:type="dcterms:W3CDTF">2026-04-09T04:29:00Z</dcterms:created>
  <dcterms:modified xsi:type="dcterms:W3CDTF">2026-05-22T07:35:00Z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3752EA73EFBB29A650FB8E8E159AA66B0EA2495FB32D34150027D0DB1A7C3392717842BA9960124B6A8AB4CC4CD819FF57F58FF3C81210E4523EDCC5D3DF6772</vt:lpwstr>
  </property>
</Properties>
</file>