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565" w:rsidRPr="003F0565" w:rsidRDefault="003F0565" w:rsidP="003F0565">
      <w:pPr>
        <w:rPr>
          <w:b/>
        </w:rPr>
      </w:pPr>
      <w:r w:rsidRPr="003F0565">
        <w:rPr>
          <w:b/>
        </w:rPr>
        <w:t>Evaluating the Environmental Compliance of Leading Global Container Shipping Firms</w:t>
      </w:r>
    </w:p>
    <w:p w:rsidR="003F0565" w:rsidRPr="003F0565" w:rsidRDefault="003F0565" w:rsidP="003F0565">
      <w:r w:rsidRPr="003F0565">
        <w:t>A data-based look at how global shipping lines respond to environmental regulations and ESG disclosure requirements</w:t>
      </w:r>
    </w:p>
    <w:p w:rsidR="003F0565" w:rsidRPr="003F0565" w:rsidRDefault="003F0565" w:rsidP="003F0565">
      <w:pPr>
        <w:rPr>
          <w:b/>
        </w:rPr>
      </w:pPr>
    </w:p>
    <w:p w:rsidR="003F0565" w:rsidRPr="003F0565" w:rsidRDefault="003F0565" w:rsidP="003F0565">
      <w:pPr>
        <w:rPr>
          <w:b/>
        </w:rPr>
      </w:pPr>
      <w:r w:rsidRPr="003F0565">
        <w:rPr>
          <w:b/>
        </w:rPr>
        <w:t>Environmental Transition and ESG Performance in Global Shipping</w:t>
      </w:r>
    </w:p>
    <w:p w:rsidR="003F0565" w:rsidRPr="003F0565" w:rsidRDefault="003F0565" w:rsidP="003F0565">
      <w:r w:rsidRPr="003F0565">
        <w:t>The global shipping industry has built an efficient logistics network powered by maritime transportation, but it also emits air pollutants and greenhouse gases such as SO</w:t>
      </w:r>
      <w:r w:rsidRPr="003F0565">
        <w:rPr>
          <w:rFonts w:ascii="Calibri" w:hAnsi="Calibri" w:cs="Calibri"/>
        </w:rPr>
        <w:t>ₓ</w:t>
      </w:r>
      <w:r w:rsidRPr="003F0565">
        <w:t>, NO</w:t>
      </w:r>
      <w:r w:rsidRPr="003F0565">
        <w:rPr>
          <w:rFonts w:ascii="Calibri" w:hAnsi="Calibri" w:cs="Calibri"/>
        </w:rPr>
        <w:t>ₓ</w:t>
      </w:r>
      <w:r w:rsidRPr="003F0565">
        <w:t>, particulate matter, and CO₂. In response, the International Maritime Organization has declared a goal to achieve Net Zero emissions in international shipping by 2050, and global container carriers are accelerating their environmental transition through low-sulfur fuels, scrubbers, SCR systems, alternative-fuel vessels, operational optimization, and ESG disclosure.</w:t>
      </w:r>
    </w:p>
    <w:p w:rsidR="003F0565" w:rsidRPr="003F0565" w:rsidRDefault="003F0565" w:rsidP="003F0565">
      <w:r w:rsidRPr="003F0565">
        <w:t>This white paper analyzes the environmental compliance performance of the world’s top 10 container shipping firms from 2019 to 2024 based on their ESG and sustainability reports. It examines IMO environmental regulations, ESG management requirements, SO</w:t>
      </w:r>
      <w:r w:rsidRPr="003F0565">
        <w:rPr>
          <w:rFonts w:ascii="Calibri" w:hAnsi="Calibri" w:cs="Calibri"/>
        </w:rPr>
        <w:t>ₓ</w:t>
      </w:r>
      <w:r w:rsidRPr="003F0565">
        <w:t>, NO</w:t>
      </w:r>
      <w:r w:rsidRPr="003F0565">
        <w:rPr>
          <w:rFonts w:ascii="Calibri" w:hAnsi="Calibri" w:cs="Calibri"/>
        </w:rPr>
        <w:t>ₓ</w:t>
      </w:r>
      <w:r w:rsidRPr="003F0565">
        <w:t>, and CO</w:t>
      </w:r>
      <w:r w:rsidRPr="003F0565">
        <w:rPr>
          <w:rFonts w:ascii="맑은 고딕" w:eastAsia="맑은 고딕" w:hAnsi="맑은 고딕" w:cs="맑은 고딕" w:hint="eastAsia"/>
        </w:rPr>
        <w:t>₂</w:t>
      </w:r>
      <w:r w:rsidRPr="003F0565">
        <w:t xml:space="preserve"> emissions, Scope 1, Scope 2, and Scope 3 disclosure levels, and the major environmental strategies of global carriers.</w:t>
      </w:r>
    </w:p>
    <w:p w:rsidR="004F4BDA" w:rsidRPr="003F0565" w:rsidRDefault="003F0565" w:rsidP="003F0565">
      <w:pPr>
        <w:rPr>
          <w:rFonts w:ascii="맑은 고딕" w:hAnsi="맑은 고딕" w:cs="맑은 고딕"/>
        </w:rPr>
      </w:pPr>
      <w:r w:rsidRPr="003F0565">
        <w:t xml:space="preserve">Publication Date : </w:t>
      </w:r>
      <w:r>
        <w:t>August</w:t>
      </w:r>
      <w:r w:rsidRPr="003F0565">
        <w:t xml:space="preserve"> </w:t>
      </w:r>
      <w:r>
        <w:t>O</w:t>
      </w:r>
      <w:r w:rsidRPr="003F0565">
        <w:t>, 2026</w:t>
      </w:r>
    </w:p>
    <w:p w:rsidR="00BE7E09" w:rsidRDefault="004F4BDA" w:rsidP="004F4BDA">
      <w:pPr>
        <w:rPr>
          <w:rFonts w:ascii="맑은 고딕" w:hAnsi="맑은 고딕" w:cs="맑은 고딕"/>
        </w:rPr>
      </w:pPr>
      <w:r>
        <w:rPr>
          <w:rFonts w:ascii="맑은 고딕" w:hAnsi="맑은 고딕" w:cs="맑은 고딕" w:hint="eastAsia"/>
        </w:rPr>
        <w:t>저자 배너</w:t>
      </w:r>
      <w:r w:rsidR="00BE7E09">
        <w:rPr>
          <w:rFonts w:ascii="맑은 고딕" w:hAnsi="맑은 고딕" w:cs="맑은 고딕" w:hint="eastAsia"/>
        </w:rPr>
        <w:t>:</w:t>
      </w:r>
    </w:p>
    <w:p w:rsidR="00BE7E09" w:rsidRDefault="00BE7E09" w:rsidP="004F4BDA">
      <w:pPr>
        <w:rPr>
          <w:rFonts w:ascii="맑은 고딕" w:hAnsi="맑은 고딕" w:cs="맑은 고딕"/>
        </w:rPr>
      </w:pPr>
      <w:r w:rsidRPr="00BE7E09">
        <w:rPr>
          <w:rStyle w:val="a7"/>
        </w:rPr>
        <w:t>About the Author</w:t>
      </w:r>
      <w:r>
        <w:br/>
      </w:r>
      <w:r>
        <w:rPr>
          <w:rStyle w:val="a7"/>
        </w:rPr>
        <w:t xml:space="preserve">Prof. </w:t>
      </w:r>
      <w:r w:rsidR="003F0565" w:rsidRPr="003F0565">
        <w:rPr>
          <w:rStyle w:val="a7"/>
        </w:rPr>
        <w:t>Sang-Yoon Lee</w:t>
      </w:r>
      <w:r>
        <w:br/>
      </w:r>
      <w:r w:rsidR="003F0565" w:rsidRPr="003F0565">
        <w:t>A shipping, ports, and international logistics expert who has led over 150 academic, industrial, policy, and advisory research projects over the past 30 years.</w:t>
      </w:r>
    </w:p>
    <w:p w:rsidR="004F4BDA" w:rsidRDefault="004F4BDA" w:rsidP="004F4BDA">
      <w:pPr>
        <w:rPr>
          <w:rFonts w:ascii="맑은 고딕" w:hAnsi="맑은 고딕" w:cs="맑은 고딕"/>
        </w:rPr>
      </w:pPr>
    </w:p>
    <w:p w:rsidR="00A92AC9" w:rsidRPr="00A92AC9" w:rsidRDefault="00A92AC9" w:rsidP="00A92AC9">
      <w:pPr>
        <w:rPr>
          <w:rFonts w:ascii="맑은 고딕" w:hAnsi="맑은 고딕" w:cs="맑은 고딕"/>
          <w:b/>
        </w:rPr>
      </w:pPr>
      <w:r w:rsidRPr="00A92AC9">
        <w:rPr>
          <w:rFonts w:ascii="맑은 고딕" w:hAnsi="맑은 고딕" w:cs="맑은 고딕"/>
          <w:b/>
        </w:rPr>
        <w:t>Key Concepts</w:t>
      </w:r>
    </w:p>
    <w:p w:rsidR="003F0565" w:rsidRPr="003F0565" w:rsidRDefault="003F0565" w:rsidP="003F0565">
      <w:pPr>
        <w:rPr>
          <w:rFonts w:ascii="맑은 고딕" w:hAnsi="맑은 고딕" w:cs="맑은 고딕"/>
        </w:rPr>
      </w:pPr>
      <w:r w:rsidRPr="003F0565">
        <w:rPr>
          <w:rFonts w:ascii="맑은 고딕" w:hAnsi="맑은 고딕" w:cs="맑은 고딕"/>
        </w:rPr>
        <w:t>IMO, International Maritime Organization</w:t>
      </w:r>
    </w:p>
    <w:p w:rsidR="003F0565" w:rsidRPr="003F0565" w:rsidRDefault="003F0565" w:rsidP="003F0565">
      <w:pPr>
        <w:rPr>
          <w:rFonts w:ascii="맑은 고딕" w:hAnsi="맑은 고딕" w:cs="맑은 고딕"/>
        </w:rPr>
      </w:pPr>
      <w:r w:rsidRPr="003F0565">
        <w:rPr>
          <w:rFonts w:ascii="맑은 고딕" w:hAnsi="맑은 고딕" w:cs="맑은 고딕"/>
        </w:rPr>
        <w:t>The International Maritime Organization is the UN agency responsible for setting global standards for the safety, security, and environmental performance of international shipping. IMO regulations are a major driver of greenhouse gas and air pollutant reduction in the shipping industry.</w:t>
      </w:r>
    </w:p>
    <w:p w:rsidR="003F0565" w:rsidRPr="003F0565" w:rsidRDefault="003F0565" w:rsidP="003F0565">
      <w:pPr>
        <w:rPr>
          <w:rFonts w:ascii="맑은 고딕" w:hAnsi="맑은 고딕" w:cs="맑은 고딕"/>
        </w:rPr>
      </w:pPr>
      <w:r w:rsidRPr="003F0565">
        <w:rPr>
          <w:rFonts w:ascii="맑은 고딕" w:hAnsi="맑은 고딕" w:cs="맑은 고딕"/>
        </w:rPr>
        <w:t>MARPOL Annex VI</w:t>
      </w:r>
    </w:p>
    <w:p w:rsidR="003F0565" w:rsidRPr="003F0565" w:rsidRDefault="003F0565" w:rsidP="003F0565">
      <w:pPr>
        <w:rPr>
          <w:rFonts w:ascii="맑은 고딕" w:hAnsi="맑은 고딕" w:cs="맑은 고딕"/>
        </w:rPr>
      </w:pPr>
    </w:p>
    <w:p w:rsidR="003F0565" w:rsidRPr="003F0565" w:rsidRDefault="003F0565" w:rsidP="003F0565">
      <w:pPr>
        <w:rPr>
          <w:rFonts w:ascii="맑은 고딕" w:hAnsi="맑은 고딕" w:cs="맑은 고딕"/>
        </w:rPr>
      </w:pPr>
      <w:r w:rsidRPr="003F0565">
        <w:rPr>
          <w:rFonts w:ascii="맑은 고딕" w:hAnsi="맑은 고딕" w:cs="맑은 고딕"/>
        </w:rPr>
        <w:lastRenderedPageBreak/>
        <w:t>MARPOL Annex VI is an international regulation designed to prevent air pollution from ships. It covers limits and standards for SO</w:t>
      </w:r>
      <w:r w:rsidRPr="003F0565">
        <w:rPr>
          <w:rFonts w:ascii="Calibri" w:hAnsi="Calibri" w:cs="Calibri"/>
        </w:rPr>
        <w:t>ₓ</w:t>
      </w:r>
      <w:r w:rsidRPr="003F0565">
        <w:rPr>
          <w:rFonts w:ascii="맑은 고딕" w:hAnsi="맑은 고딕" w:cs="맑은 고딕"/>
        </w:rPr>
        <w:t>, NO</w:t>
      </w:r>
      <w:r w:rsidRPr="003F0565">
        <w:rPr>
          <w:rFonts w:ascii="Calibri" w:hAnsi="Calibri" w:cs="Calibri"/>
        </w:rPr>
        <w:t>ₓ</w:t>
      </w:r>
      <w:r w:rsidRPr="003F0565">
        <w:rPr>
          <w:rFonts w:ascii="맑은 고딕" w:hAnsi="맑은 고딕" w:cs="맑은 고딕"/>
        </w:rPr>
        <w:t>, particulate matter, and greenhouse gas emissions from maritime transportation.</w:t>
      </w:r>
    </w:p>
    <w:p w:rsidR="003F0565" w:rsidRPr="003F0565" w:rsidRDefault="003F0565" w:rsidP="003F0565">
      <w:pPr>
        <w:rPr>
          <w:rFonts w:ascii="맑은 고딕" w:hAnsi="맑은 고딕" w:cs="맑은 고딕"/>
        </w:rPr>
      </w:pPr>
      <w:r w:rsidRPr="003F0565">
        <w:rPr>
          <w:rFonts w:ascii="맑은 고딕" w:hAnsi="맑은 고딕" w:cs="맑은 고딕"/>
        </w:rPr>
        <w:t>IMO 2050 Net Zero</w:t>
      </w:r>
    </w:p>
    <w:p w:rsidR="003F0565" w:rsidRPr="003F0565" w:rsidRDefault="003F0565" w:rsidP="003F0565">
      <w:pPr>
        <w:rPr>
          <w:rFonts w:ascii="맑은 고딕" w:hAnsi="맑은 고딕" w:cs="맑은 고딕"/>
        </w:rPr>
      </w:pPr>
      <w:r w:rsidRPr="003F0565">
        <w:rPr>
          <w:rFonts w:ascii="맑은 고딕" w:hAnsi="맑은 고딕" w:cs="맑은 고딕"/>
        </w:rPr>
        <w:t>IMO 2050 Net Zero is the goal of achieving net-zero greenhouse gas emissions from international shipping by around 2050. It is reshaping carrier strategies related to vessel investment, fuel transition, operational efficiency, and ESG disclosure.</w:t>
      </w:r>
    </w:p>
    <w:p w:rsidR="003F0565" w:rsidRPr="003F0565" w:rsidRDefault="003F0565" w:rsidP="003F0565">
      <w:pPr>
        <w:rPr>
          <w:rFonts w:ascii="맑은 고딕" w:hAnsi="맑은 고딕" w:cs="맑은 고딕"/>
        </w:rPr>
      </w:pPr>
      <w:r w:rsidRPr="003F0565">
        <w:rPr>
          <w:rFonts w:ascii="맑은 고딕" w:hAnsi="맑은 고딕" w:cs="맑은 고딕"/>
        </w:rPr>
        <w:t>EEDI, Energy Efficiency Design Index</w:t>
      </w:r>
    </w:p>
    <w:p w:rsidR="003F0565" w:rsidRPr="003F0565" w:rsidRDefault="003F0565" w:rsidP="003F0565">
      <w:pPr>
        <w:rPr>
          <w:rFonts w:ascii="맑은 고딕" w:hAnsi="맑은 고딕" w:cs="맑은 고딕"/>
        </w:rPr>
      </w:pPr>
      <w:r w:rsidRPr="003F0565">
        <w:rPr>
          <w:rFonts w:ascii="맑은 고딕" w:hAnsi="맑은 고딕" w:cs="맑은 고딕"/>
        </w:rPr>
        <w:t>EEDI is a design-stage energy efficiency standard for new ships. It encourages shipbuilders and carriers to improve fuel efficiency and reduce CO₂ emissions from the design phase.</w:t>
      </w:r>
    </w:p>
    <w:p w:rsidR="003F0565" w:rsidRPr="003F0565" w:rsidRDefault="003F0565" w:rsidP="003F0565">
      <w:pPr>
        <w:rPr>
          <w:rFonts w:ascii="맑은 고딕" w:hAnsi="맑은 고딕" w:cs="맑은 고딕"/>
        </w:rPr>
      </w:pPr>
      <w:r w:rsidRPr="003F0565">
        <w:rPr>
          <w:rFonts w:ascii="맑은 고딕" w:hAnsi="맑은 고딕" w:cs="맑은 고딕"/>
        </w:rPr>
        <w:t>EEXI, Energy Efficiency Existing Ship Index</w:t>
      </w:r>
    </w:p>
    <w:p w:rsidR="003F0565" w:rsidRPr="003F0565" w:rsidRDefault="003F0565" w:rsidP="003F0565">
      <w:pPr>
        <w:rPr>
          <w:rFonts w:ascii="맑은 고딕" w:hAnsi="맑은 고딕" w:cs="맑은 고딕"/>
        </w:rPr>
      </w:pPr>
      <w:r w:rsidRPr="003F0565">
        <w:rPr>
          <w:rFonts w:ascii="맑은 고딕" w:hAnsi="맑은 고딕" w:cs="맑은 고딕"/>
        </w:rPr>
        <w:t>EEXI is an energy efficiency index for existing ships. It extends energy efficiency requirements beyond new ships and requires vessels already in operation to meet certain efficiency standards.</w:t>
      </w:r>
    </w:p>
    <w:p w:rsidR="003F0565" w:rsidRPr="003F0565" w:rsidRDefault="003F0565" w:rsidP="003F0565">
      <w:pPr>
        <w:rPr>
          <w:rFonts w:ascii="맑은 고딕" w:hAnsi="맑은 고딕" w:cs="맑은 고딕"/>
        </w:rPr>
      </w:pPr>
      <w:r w:rsidRPr="003F0565">
        <w:rPr>
          <w:rFonts w:ascii="맑은 고딕" w:hAnsi="맑은 고딕" w:cs="맑은 고딕"/>
        </w:rPr>
        <w:t>CII, Carbon Intensity Indicator</w:t>
      </w:r>
    </w:p>
    <w:p w:rsidR="003F0565" w:rsidRPr="003F0565" w:rsidRDefault="003F0565" w:rsidP="003F0565">
      <w:pPr>
        <w:rPr>
          <w:rFonts w:ascii="맑은 고딕" w:hAnsi="맑은 고딕" w:cs="맑은 고딕"/>
        </w:rPr>
      </w:pPr>
      <w:r w:rsidRPr="003F0565">
        <w:rPr>
          <w:rFonts w:ascii="맑은 고딕" w:hAnsi="맑은 고딕" w:cs="맑은 고딕"/>
        </w:rPr>
        <w:t>CII measures a ship’s carbon intensity based on actual operational performance. It evaluates how efficiently a vessel emits carbon during operation and can require corrective action for low-performing ships.</w:t>
      </w:r>
    </w:p>
    <w:p w:rsidR="003F0565" w:rsidRPr="003F0565" w:rsidRDefault="003F0565" w:rsidP="003F0565">
      <w:pPr>
        <w:rPr>
          <w:rFonts w:ascii="맑은 고딕" w:hAnsi="맑은 고딕" w:cs="맑은 고딕"/>
        </w:rPr>
      </w:pPr>
      <w:r w:rsidRPr="003F0565">
        <w:rPr>
          <w:rFonts w:ascii="맑은 고딕" w:hAnsi="맑은 고딕" w:cs="맑은 고딕"/>
        </w:rPr>
        <w:t>ESG Management</w:t>
      </w:r>
    </w:p>
    <w:p w:rsidR="003F0565" w:rsidRPr="003F0565" w:rsidRDefault="003F0565" w:rsidP="003F0565">
      <w:pPr>
        <w:rPr>
          <w:rFonts w:ascii="맑은 고딕" w:hAnsi="맑은 고딕" w:cs="맑은 고딕"/>
        </w:rPr>
      </w:pPr>
      <w:r w:rsidRPr="003F0565">
        <w:rPr>
          <w:rFonts w:ascii="맑은 고딕" w:hAnsi="맑은 고딕" w:cs="맑은 고딕"/>
        </w:rPr>
        <w:t>ESG management refers to corporate management that integrates Environmental, Social, and Governance factors. In shipping, the environmental dimension includes CO₂, SO</w:t>
      </w:r>
      <w:r w:rsidRPr="003F0565">
        <w:rPr>
          <w:rFonts w:ascii="Calibri" w:hAnsi="Calibri" w:cs="Calibri"/>
        </w:rPr>
        <w:t>ₓ</w:t>
      </w:r>
      <w:r w:rsidRPr="003F0565">
        <w:rPr>
          <w:rFonts w:ascii="맑은 고딕" w:hAnsi="맑은 고딕" w:cs="맑은 고딕"/>
        </w:rPr>
        <w:t>, NO</w:t>
      </w:r>
      <w:r w:rsidRPr="003F0565">
        <w:rPr>
          <w:rFonts w:ascii="Calibri" w:hAnsi="Calibri" w:cs="Calibri"/>
        </w:rPr>
        <w:t>ₓ</w:t>
      </w:r>
      <w:r w:rsidRPr="003F0565">
        <w:rPr>
          <w:rFonts w:ascii="맑은 고딕" w:hAnsi="맑은 고딕" w:cs="맑은 고딕"/>
        </w:rPr>
        <w:t>, particulate matter, fuel efficiency, waste management, and alternative-fuel transition plans.</w:t>
      </w:r>
    </w:p>
    <w:p w:rsidR="003F0565" w:rsidRPr="003F0565" w:rsidRDefault="003F0565" w:rsidP="003F0565">
      <w:pPr>
        <w:rPr>
          <w:rFonts w:ascii="맑은 고딕" w:hAnsi="맑은 고딕" w:cs="맑은 고딕"/>
        </w:rPr>
      </w:pPr>
      <w:r w:rsidRPr="003F0565">
        <w:rPr>
          <w:rFonts w:ascii="맑은 고딕" w:hAnsi="맑은 고딕" w:cs="맑은 고딕"/>
        </w:rPr>
        <w:t>Scope 1 Emissions</w:t>
      </w:r>
    </w:p>
    <w:p w:rsidR="003F0565" w:rsidRPr="003F0565" w:rsidRDefault="003F0565" w:rsidP="003F0565">
      <w:pPr>
        <w:rPr>
          <w:rFonts w:ascii="맑은 고딕" w:hAnsi="맑은 고딕" w:cs="맑은 고딕"/>
        </w:rPr>
      </w:pPr>
      <w:r w:rsidRPr="003F0565">
        <w:rPr>
          <w:rFonts w:ascii="맑은 고딕" w:hAnsi="맑은 고딕" w:cs="맑은 고딕"/>
        </w:rPr>
        <w:t>Scope 1 emissions are direct emissions from assets owned or controlled by a company. In shipping, this includes emissions from vessel fuel combustion and terminal equipment operated by the carrier.</w:t>
      </w:r>
    </w:p>
    <w:p w:rsidR="003F0565" w:rsidRPr="003F0565" w:rsidRDefault="003F0565" w:rsidP="003F0565">
      <w:pPr>
        <w:rPr>
          <w:rFonts w:ascii="맑은 고딕" w:hAnsi="맑은 고딕" w:cs="맑은 고딕"/>
        </w:rPr>
      </w:pPr>
      <w:r w:rsidRPr="003F0565">
        <w:rPr>
          <w:rFonts w:ascii="맑은 고딕" w:hAnsi="맑은 고딕" w:cs="맑은 고딕"/>
        </w:rPr>
        <w:t>Scope 2 Emissions</w:t>
      </w:r>
    </w:p>
    <w:p w:rsidR="003F0565" w:rsidRPr="003F0565" w:rsidRDefault="003F0565" w:rsidP="003F0565">
      <w:pPr>
        <w:rPr>
          <w:rFonts w:ascii="맑은 고딕" w:hAnsi="맑은 고딕" w:cs="맑은 고딕"/>
        </w:rPr>
      </w:pPr>
      <w:r w:rsidRPr="003F0565">
        <w:rPr>
          <w:rFonts w:ascii="맑은 고딕" w:hAnsi="맑은 고딕" w:cs="맑은 고딕"/>
        </w:rPr>
        <w:t>Scope 2 emissions are indirect emissions from purchased electricity, heating, and cooling. In shipping, this includes emissions from electricity used at offices, terminals, and land-based facilities.</w:t>
      </w:r>
    </w:p>
    <w:p w:rsidR="003F0565" w:rsidRPr="003F0565" w:rsidRDefault="003F0565" w:rsidP="003F0565">
      <w:pPr>
        <w:rPr>
          <w:rFonts w:ascii="맑은 고딕" w:hAnsi="맑은 고딕" w:cs="맑은 고딕"/>
        </w:rPr>
      </w:pPr>
      <w:r w:rsidRPr="003F0565">
        <w:rPr>
          <w:rFonts w:ascii="맑은 고딕" w:hAnsi="맑은 고딕" w:cs="맑은 고딕"/>
        </w:rPr>
        <w:t>Scope 3 Emissions</w:t>
      </w:r>
    </w:p>
    <w:p w:rsidR="003F0565" w:rsidRPr="003F0565" w:rsidRDefault="003F0565" w:rsidP="003F0565">
      <w:pPr>
        <w:rPr>
          <w:rFonts w:ascii="맑은 고딕" w:hAnsi="맑은 고딕" w:cs="맑은 고딕"/>
        </w:rPr>
      </w:pPr>
    </w:p>
    <w:p w:rsidR="003F0565" w:rsidRPr="003F0565" w:rsidRDefault="003F0565" w:rsidP="003F0565">
      <w:pPr>
        <w:rPr>
          <w:rFonts w:ascii="맑은 고딕" w:hAnsi="맑은 고딕" w:cs="맑은 고딕"/>
        </w:rPr>
      </w:pPr>
      <w:r w:rsidRPr="003F0565">
        <w:rPr>
          <w:rFonts w:ascii="맑은 고딕" w:hAnsi="맑은 고딕" w:cs="맑은 고딕"/>
        </w:rPr>
        <w:lastRenderedPageBreak/>
        <w:t>Scope 3 emissions are other indirect emissions across the value chain. In shipping, they may include emissions from fuel production, component manufacturing, customer use, and disposal after transportation.</w:t>
      </w:r>
    </w:p>
    <w:p w:rsidR="003F0565" w:rsidRPr="003F0565" w:rsidRDefault="003F0565" w:rsidP="003F0565">
      <w:pPr>
        <w:rPr>
          <w:rFonts w:ascii="맑은 고딕" w:hAnsi="맑은 고딕" w:cs="맑은 고딕"/>
        </w:rPr>
      </w:pPr>
      <w:r w:rsidRPr="003F0565">
        <w:rPr>
          <w:rFonts w:ascii="맑은 고딕" w:hAnsi="맑은 고딕" w:cs="맑은 고딕"/>
        </w:rPr>
        <w:t>SO</w:t>
      </w:r>
      <w:r w:rsidRPr="003F0565">
        <w:rPr>
          <w:rFonts w:ascii="Calibri" w:hAnsi="Calibri" w:cs="Calibri"/>
        </w:rPr>
        <w:t>ₓ</w:t>
      </w:r>
      <w:r w:rsidRPr="003F0565">
        <w:rPr>
          <w:rFonts w:ascii="맑은 고딕" w:hAnsi="맑은 고딕" w:cs="맑은 고딕"/>
        </w:rPr>
        <w:t>, Sulfur Oxides</w:t>
      </w:r>
    </w:p>
    <w:p w:rsidR="003F0565" w:rsidRPr="003F0565" w:rsidRDefault="003F0565" w:rsidP="003F0565">
      <w:pPr>
        <w:rPr>
          <w:rFonts w:ascii="맑은 고딕" w:hAnsi="맑은 고딕" w:cs="맑은 고딕"/>
        </w:rPr>
      </w:pPr>
      <w:r w:rsidRPr="003F0565">
        <w:rPr>
          <w:rFonts w:ascii="맑은 고딕" w:hAnsi="맑은 고딕" w:cs="맑은 고딕"/>
        </w:rPr>
        <w:t>SO</w:t>
      </w:r>
      <w:r w:rsidRPr="003F0565">
        <w:rPr>
          <w:rFonts w:ascii="Calibri" w:hAnsi="Calibri" w:cs="Calibri"/>
        </w:rPr>
        <w:t>ₓ</w:t>
      </w:r>
      <w:r w:rsidRPr="003F0565">
        <w:rPr>
          <w:rFonts w:ascii="맑은 고딕" w:hAnsi="맑은 고딕" w:cs="맑은 고딕"/>
        </w:rPr>
        <w:t xml:space="preserve"> are air pollutants generated from sulfur contained in marine fuel. They contribute to acid rain and ocean acidification and have been significantly targeted by IMO 2020 sulfur cap regulations.</w:t>
      </w:r>
    </w:p>
    <w:p w:rsidR="003F0565" w:rsidRPr="003F0565" w:rsidRDefault="003F0565" w:rsidP="003F0565">
      <w:pPr>
        <w:rPr>
          <w:rFonts w:ascii="맑은 고딕" w:hAnsi="맑은 고딕" w:cs="맑은 고딕"/>
        </w:rPr>
      </w:pPr>
      <w:r w:rsidRPr="003F0565">
        <w:rPr>
          <w:rFonts w:ascii="맑은 고딕" w:hAnsi="맑은 고딕" w:cs="맑은 고딕"/>
        </w:rPr>
        <w:t>NO</w:t>
      </w:r>
      <w:r w:rsidRPr="003F0565">
        <w:rPr>
          <w:rFonts w:ascii="Calibri" w:hAnsi="Calibri" w:cs="Calibri"/>
        </w:rPr>
        <w:t>ₓ</w:t>
      </w:r>
      <w:r w:rsidRPr="003F0565">
        <w:rPr>
          <w:rFonts w:ascii="맑은 고딕" w:hAnsi="맑은 고딕" w:cs="맑은 고딕"/>
        </w:rPr>
        <w:t>, Nitrogen Oxides</w:t>
      </w:r>
    </w:p>
    <w:p w:rsidR="003F0565" w:rsidRPr="003F0565" w:rsidRDefault="003F0565" w:rsidP="003F0565">
      <w:pPr>
        <w:rPr>
          <w:rFonts w:ascii="맑은 고딕" w:hAnsi="맑은 고딕" w:cs="맑은 고딕"/>
        </w:rPr>
      </w:pPr>
      <w:r w:rsidRPr="003F0565">
        <w:rPr>
          <w:rFonts w:ascii="맑은 고딕" w:hAnsi="맑은 고딕" w:cs="맑은 고딕"/>
        </w:rPr>
        <w:t>NO</w:t>
      </w:r>
      <w:r w:rsidRPr="003F0565">
        <w:rPr>
          <w:rFonts w:ascii="Calibri" w:hAnsi="Calibri" w:cs="Calibri"/>
        </w:rPr>
        <w:t>ₓ</w:t>
      </w:r>
      <w:r w:rsidRPr="003F0565">
        <w:rPr>
          <w:rFonts w:ascii="맑은 고딕" w:hAnsi="맑은 고딕" w:cs="맑은 고딕"/>
        </w:rPr>
        <w:t xml:space="preserve"> are air pollutants generated during high-temperature combustion in ship engines. They contribute to photochemical smog and particulate matter formation and are regulated through IMO Tier standards and technologies such as SCR systems.</w:t>
      </w:r>
    </w:p>
    <w:p w:rsidR="003F0565" w:rsidRPr="003F0565" w:rsidRDefault="003F0565" w:rsidP="003F0565">
      <w:pPr>
        <w:rPr>
          <w:rFonts w:ascii="맑은 고딕" w:hAnsi="맑은 고딕" w:cs="맑은 고딕"/>
        </w:rPr>
      </w:pPr>
      <w:r w:rsidRPr="003F0565">
        <w:rPr>
          <w:rFonts w:ascii="맑은 고딕" w:hAnsi="맑은 고딕" w:cs="맑은 고딕"/>
        </w:rPr>
        <w:t>VLSFO, Very Low Sulphur Fuel Oil</w:t>
      </w:r>
    </w:p>
    <w:p w:rsidR="003F0565" w:rsidRPr="003F0565" w:rsidRDefault="003F0565" w:rsidP="003F0565">
      <w:pPr>
        <w:rPr>
          <w:rFonts w:ascii="맑은 고딕" w:hAnsi="맑은 고딕" w:cs="맑은 고딕"/>
        </w:rPr>
      </w:pPr>
      <w:r w:rsidRPr="003F0565">
        <w:rPr>
          <w:rFonts w:ascii="맑은 고딕" w:hAnsi="맑은 고딕" w:cs="맑은 고딕"/>
        </w:rPr>
        <w:t>VLSFO is a marine fuel with sulfur content of 0.50% or below. It became widely adopted after IMO 2020 as carriers shifted away from high-sulfur fuel oil.</w:t>
      </w:r>
    </w:p>
    <w:p w:rsidR="003F0565" w:rsidRPr="003F0565" w:rsidRDefault="003F0565" w:rsidP="003F0565">
      <w:pPr>
        <w:rPr>
          <w:rFonts w:ascii="맑은 고딕" w:hAnsi="맑은 고딕" w:cs="맑은 고딕"/>
        </w:rPr>
      </w:pPr>
      <w:r w:rsidRPr="003F0565">
        <w:rPr>
          <w:rFonts w:ascii="맑은 고딕" w:hAnsi="맑은 고딕" w:cs="맑은 고딕"/>
        </w:rPr>
        <w:t>Scrubber</w:t>
      </w:r>
    </w:p>
    <w:p w:rsidR="003F0565" w:rsidRPr="003F0565" w:rsidRDefault="003F0565" w:rsidP="003F0565">
      <w:pPr>
        <w:rPr>
          <w:rFonts w:ascii="맑은 고딕" w:hAnsi="맑은 고딕" w:cs="맑은 고딕"/>
        </w:rPr>
      </w:pPr>
      <w:r w:rsidRPr="003F0565">
        <w:rPr>
          <w:rFonts w:ascii="맑은 고딕" w:hAnsi="맑은 고딕" w:cs="맑은 고딕"/>
        </w:rPr>
        <w:t>A scrubber is an exhaust gas cleaning system that removes sulfur oxides from ship emissions. Some older vessels use scrubbers to reduce SO</w:t>
      </w:r>
      <w:r w:rsidRPr="003F0565">
        <w:rPr>
          <w:rFonts w:ascii="Calibri" w:hAnsi="Calibri" w:cs="Calibri"/>
        </w:rPr>
        <w:t>ₓ</w:t>
      </w:r>
      <w:r w:rsidRPr="003F0565">
        <w:rPr>
          <w:rFonts w:ascii="맑은 고딕" w:hAnsi="맑은 고딕" w:cs="맑은 고딕"/>
        </w:rPr>
        <w:t xml:space="preserve"> emissions while continuing to use high-sulfur fuel oil.</w:t>
      </w:r>
    </w:p>
    <w:p w:rsidR="003F0565" w:rsidRPr="003F0565" w:rsidRDefault="003F0565" w:rsidP="003F0565">
      <w:pPr>
        <w:rPr>
          <w:rFonts w:ascii="맑은 고딕" w:hAnsi="맑은 고딕" w:cs="맑은 고딕"/>
        </w:rPr>
      </w:pPr>
      <w:r w:rsidRPr="003F0565">
        <w:rPr>
          <w:rFonts w:ascii="맑은 고딕" w:hAnsi="맑은 고딕" w:cs="맑은 고딕"/>
        </w:rPr>
        <w:t>SCR, Selective Catalytic Reduction</w:t>
      </w:r>
    </w:p>
    <w:p w:rsidR="003F0565" w:rsidRPr="003F0565" w:rsidRDefault="003F0565" w:rsidP="003F0565">
      <w:pPr>
        <w:rPr>
          <w:rFonts w:ascii="맑은 고딕" w:hAnsi="맑은 고딕" w:cs="맑은 고딕"/>
        </w:rPr>
      </w:pPr>
      <w:r w:rsidRPr="003F0565">
        <w:rPr>
          <w:rFonts w:ascii="맑은 고딕" w:hAnsi="맑은 고딕" w:cs="맑은 고딕"/>
        </w:rPr>
        <w:t>SCR is a technology used to reduce NO</w:t>
      </w:r>
      <w:r w:rsidRPr="003F0565">
        <w:rPr>
          <w:rFonts w:ascii="Calibri" w:hAnsi="Calibri" w:cs="Calibri"/>
        </w:rPr>
        <w:t>ₓ</w:t>
      </w:r>
      <w:r w:rsidRPr="003F0565">
        <w:rPr>
          <w:rFonts w:ascii="맑은 고딕" w:hAnsi="맑은 고딕" w:cs="맑은 고딕"/>
        </w:rPr>
        <w:t xml:space="preserve"> emissions from ship engines. It can be installed on new vessels or retrofitted to existing vessels to comply with stricter emission standards.</w:t>
      </w:r>
    </w:p>
    <w:p w:rsidR="003F0565" w:rsidRPr="003F0565" w:rsidRDefault="003F0565" w:rsidP="003F0565">
      <w:pPr>
        <w:rPr>
          <w:rFonts w:ascii="맑은 고딕" w:hAnsi="맑은 고딕" w:cs="맑은 고딕"/>
        </w:rPr>
      </w:pPr>
      <w:r w:rsidRPr="003F0565">
        <w:rPr>
          <w:rFonts w:ascii="맑은 고딕" w:hAnsi="맑은 고딕" w:cs="맑은 고딕"/>
        </w:rPr>
        <w:t>Alternative Fuels</w:t>
      </w:r>
    </w:p>
    <w:p w:rsidR="00A92AC9" w:rsidRPr="003F0565" w:rsidRDefault="003F0565" w:rsidP="003F0565">
      <w:pPr>
        <w:rPr>
          <w:rFonts w:ascii="맑은 고딕" w:hAnsi="맑은 고딕" w:cs="맑은 고딕"/>
        </w:rPr>
      </w:pPr>
      <w:r w:rsidRPr="003F0565">
        <w:rPr>
          <w:rFonts w:ascii="맑은 고딕" w:hAnsi="맑은 고딕" w:cs="맑은 고딕"/>
        </w:rPr>
        <w:t>Alternative fuels are low-carbon or zero-carbon fuels used to reduce dependence on conventional fossil fuels. In shipping, LNG, methanol, ammonia, hydrogen, and biofuels are being explored as part of the transition toward Net Zero.</w:t>
      </w:r>
    </w:p>
    <w:p w:rsidR="00A92AC9" w:rsidRPr="00A92AC9" w:rsidRDefault="00A92AC9" w:rsidP="00A92AC9">
      <w:pPr>
        <w:rPr>
          <w:rFonts w:ascii="맑은 고딕" w:hAnsi="맑은 고딕" w:cs="맑은 고딕"/>
          <w:b/>
        </w:rPr>
      </w:pPr>
    </w:p>
    <w:p w:rsidR="00CD726D" w:rsidRDefault="00CD726D" w:rsidP="003F0565">
      <w:pPr>
        <w:rPr>
          <w:rFonts w:ascii="맑은 고딕" w:hAnsi="맑은 고딕" w:cs="맑은 고딕"/>
          <w:b/>
        </w:rPr>
      </w:pPr>
      <w:r w:rsidRPr="00CD726D">
        <w:rPr>
          <w:rFonts w:ascii="맑은 고딕" w:hAnsi="맑은 고딕" w:cs="맑은 고딕"/>
          <w:b/>
        </w:rPr>
        <w:t xml:space="preserve">Global Shipping ESG Performance, Explained Through Key Questions </w:t>
      </w:r>
    </w:p>
    <w:p w:rsidR="003F0565" w:rsidRPr="003F0565" w:rsidRDefault="003F0565" w:rsidP="003F0565">
      <w:pPr>
        <w:rPr>
          <w:rFonts w:ascii="맑은 고딕" w:hAnsi="맑은 고딕" w:cs="맑은 고딕"/>
        </w:rPr>
      </w:pPr>
      <w:r w:rsidRPr="003F0565">
        <w:rPr>
          <w:rFonts w:ascii="맑은 고딕" w:hAnsi="맑은 고딕" w:cs="맑은 고딕"/>
        </w:rPr>
        <w:t>1.</w:t>
      </w:r>
      <w:r>
        <w:rPr>
          <w:rFonts w:ascii="맑은 고딕" w:hAnsi="맑은 고딕" w:cs="맑은 고딕"/>
        </w:rPr>
        <w:t xml:space="preserve"> </w:t>
      </w:r>
      <w:r w:rsidRPr="003F0565">
        <w:rPr>
          <w:rFonts w:ascii="맑은 고딕" w:hAnsi="맑은 고딕" w:cs="맑은 고딕"/>
        </w:rPr>
        <w:t>What does environmental compliance mean for global container shipping firms?</w:t>
      </w:r>
    </w:p>
    <w:p w:rsidR="003F0565" w:rsidRPr="003F0565" w:rsidRDefault="003F0565" w:rsidP="003F0565">
      <w:pPr>
        <w:rPr>
          <w:rFonts w:ascii="맑은 고딕" w:hAnsi="맑은 고딕" w:cs="맑은 고딕"/>
        </w:rPr>
      </w:pPr>
      <w:r w:rsidRPr="003F0565">
        <w:rPr>
          <w:rFonts w:ascii="맑은 고딕" w:hAnsi="맑은 고딕" w:cs="맑은 고딕"/>
        </w:rPr>
        <w:t>Environmental compliance for global container shipping firms means meeting IMO regulations, ESG disclosure requirements, and stakeholder expectations by reducing air pollutants and greenhouse gas emissions. Key evaluation areas include SO</w:t>
      </w:r>
      <w:r w:rsidRPr="003F0565">
        <w:rPr>
          <w:rFonts w:ascii="Calibri" w:hAnsi="Calibri" w:cs="Calibri"/>
        </w:rPr>
        <w:t>ₓ</w:t>
      </w:r>
      <w:r w:rsidRPr="003F0565">
        <w:rPr>
          <w:rFonts w:ascii="맑은 고딕" w:hAnsi="맑은 고딕" w:cs="맑은 고딕"/>
        </w:rPr>
        <w:t>, NO</w:t>
      </w:r>
      <w:r w:rsidRPr="003F0565">
        <w:rPr>
          <w:rFonts w:ascii="Calibri" w:hAnsi="Calibri" w:cs="Calibri"/>
        </w:rPr>
        <w:t>ₓ</w:t>
      </w:r>
      <w:r w:rsidRPr="003F0565">
        <w:rPr>
          <w:rFonts w:ascii="맑은 고딕" w:hAnsi="맑은 고딕" w:cs="맑은 고딕"/>
        </w:rPr>
        <w:t>, CO</w:t>
      </w:r>
      <w:r w:rsidRPr="003F0565">
        <w:rPr>
          <w:rFonts w:ascii="맑은 고딕" w:eastAsia="맑은 고딕" w:hAnsi="맑은 고딕" w:cs="맑은 고딕" w:hint="eastAsia"/>
        </w:rPr>
        <w:t>₂</w:t>
      </w:r>
      <w:r w:rsidRPr="003F0565">
        <w:rPr>
          <w:rFonts w:ascii="맑은 고딕" w:hAnsi="맑은 고딕" w:cs="맑은 고딕"/>
        </w:rPr>
        <w:t xml:space="preserve"> emissions, fuel efficiency, alternative-fuel </w:t>
      </w:r>
      <w:r w:rsidRPr="003F0565">
        <w:rPr>
          <w:rFonts w:ascii="맑은 고딕" w:hAnsi="맑은 고딕" w:cs="맑은 고딕"/>
        </w:rPr>
        <w:lastRenderedPageBreak/>
        <w:t>adoption, vessel technology, and Scope 1, Scope 2, and Scope 3 reporting.</w:t>
      </w:r>
    </w:p>
    <w:p w:rsidR="003F0565" w:rsidRPr="003F0565" w:rsidRDefault="003F0565" w:rsidP="003F0565">
      <w:pPr>
        <w:rPr>
          <w:rFonts w:ascii="맑은 고딕" w:hAnsi="맑은 고딕" w:cs="맑은 고딕"/>
        </w:rPr>
      </w:pPr>
      <w:r w:rsidRPr="003F0565">
        <w:rPr>
          <w:rFonts w:ascii="맑은 고딕" w:hAnsi="맑은 고딕" w:cs="맑은 고딕"/>
        </w:rPr>
        <w:t>2.</w:t>
      </w:r>
      <w:r>
        <w:rPr>
          <w:rFonts w:ascii="맑은 고딕" w:hAnsi="맑은 고딕" w:cs="맑은 고딕"/>
        </w:rPr>
        <w:t xml:space="preserve"> </w:t>
      </w:r>
      <w:r w:rsidRPr="003F0565">
        <w:rPr>
          <w:rFonts w:ascii="맑은 고딕" w:hAnsi="맑은 고딕" w:cs="맑은 고딕"/>
        </w:rPr>
        <w:t>Why are environmental regulations important in the shipping industry?</w:t>
      </w:r>
    </w:p>
    <w:p w:rsidR="003F0565" w:rsidRPr="003F0565" w:rsidRDefault="003F0565" w:rsidP="003F0565">
      <w:pPr>
        <w:rPr>
          <w:rFonts w:ascii="맑은 고딕" w:hAnsi="맑은 고딕" w:cs="맑은 고딕"/>
        </w:rPr>
      </w:pPr>
      <w:r w:rsidRPr="003F0565">
        <w:rPr>
          <w:rFonts w:ascii="맑은 고딕" w:hAnsi="맑은 고딕" w:cs="맑은 고딕"/>
        </w:rPr>
        <w:t>Environmental regulations are important because international shipping emits SO</w:t>
      </w:r>
      <w:r w:rsidRPr="003F0565">
        <w:rPr>
          <w:rFonts w:ascii="Calibri" w:hAnsi="Calibri" w:cs="Calibri"/>
        </w:rPr>
        <w:t>ₓ</w:t>
      </w:r>
      <w:r w:rsidRPr="003F0565">
        <w:rPr>
          <w:rFonts w:ascii="맑은 고딕" w:hAnsi="맑은 고딕" w:cs="맑은 고딕"/>
        </w:rPr>
        <w:t>, NO</w:t>
      </w:r>
      <w:r w:rsidRPr="003F0565">
        <w:rPr>
          <w:rFonts w:ascii="Calibri" w:hAnsi="Calibri" w:cs="Calibri"/>
        </w:rPr>
        <w:t>ₓ</w:t>
      </w:r>
      <w:r w:rsidRPr="003F0565">
        <w:rPr>
          <w:rFonts w:ascii="맑은 고딕" w:hAnsi="맑은 고딕" w:cs="맑은 고딕"/>
        </w:rPr>
        <w:t>, particulate matter, and CO</w:t>
      </w:r>
      <w:r w:rsidRPr="003F0565">
        <w:rPr>
          <w:rFonts w:ascii="맑은 고딕" w:eastAsia="맑은 고딕" w:hAnsi="맑은 고딕" w:cs="맑은 고딕" w:hint="eastAsia"/>
        </w:rPr>
        <w:t>₂</w:t>
      </w:r>
      <w:r w:rsidRPr="003F0565">
        <w:rPr>
          <w:rFonts w:ascii="맑은 고딕" w:hAnsi="맑은 고딕" w:cs="맑은 고딕"/>
        </w:rPr>
        <w:t>. These emissions contribute to acid rain, ocean acidification, photochemical smog, air pollution, and climate change. Regulations such as IMO 2020, EEDI, EEXI, CII, and IMO 2050 Net Zero are designed to reduce these impacts.</w:t>
      </w:r>
    </w:p>
    <w:p w:rsidR="003F0565" w:rsidRPr="003F0565" w:rsidRDefault="003F0565" w:rsidP="003F0565">
      <w:pPr>
        <w:rPr>
          <w:rFonts w:ascii="맑은 고딕" w:hAnsi="맑은 고딕" w:cs="맑은 고딕"/>
        </w:rPr>
      </w:pPr>
      <w:r w:rsidRPr="003F0565">
        <w:rPr>
          <w:rFonts w:ascii="맑은 고딕" w:hAnsi="맑은 고딕" w:cs="맑은 고딕"/>
        </w:rPr>
        <w:t>3.</w:t>
      </w:r>
      <w:r>
        <w:rPr>
          <w:rFonts w:ascii="맑은 고딕" w:hAnsi="맑은 고딕" w:cs="맑은 고딕"/>
        </w:rPr>
        <w:t xml:space="preserve"> </w:t>
      </w:r>
      <w:r w:rsidRPr="003F0565">
        <w:rPr>
          <w:rFonts w:ascii="맑은 고딕" w:hAnsi="맑은 고딕" w:cs="맑은 고딕"/>
        </w:rPr>
        <w:t>How do IMO regulations affect container carriers?</w:t>
      </w:r>
    </w:p>
    <w:p w:rsidR="003F0565" w:rsidRPr="003F0565" w:rsidRDefault="003F0565" w:rsidP="003F0565">
      <w:pPr>
        <w:rPr>
          <w:rFonts w:ascii="맑은 고딕" w:hAnsi="맑은 고딕" w:cs="맑은 고딕"/>
        </w:rPr>
      </w:pPr>
      <w:r w:rsidRPr="003F0565">
        <w:rPr>
          <w:rFonts w:ascii="맑은 고딕" w:hAnsi="맑은 고딕" w:cs="맑은 고딕"/>
        </w:rPr>
        <w:t>IMO regulations affect container carriers by changing fuel requirements, vessel design standards, engine technologies, operating speed, and carbon intensity management. Carriers must use lower-sulfur fuels, improve energy efficiency, monitor operational emissions, and prepare for stricter greenhouse gas reduction targets.</w:t>
      </w:r>
    </w:p>
    <w:p w:rsidR="003F0565" w:rsidRPr="003F0565" w:rsidRDefault="003F0565" w:rsidP="003F0565">
      <w:pPr>
        <w:rPr>
          <w:rFonts w:ascii="맑은 고딕" w:hAnsi="맑은 고딕" w:cs="맑은 고딕"/>
        </w:rPr>
      </w:pPr>
      <w:r w:rsidRPr="003F0565">
        <w:rPr>
          <w:rFonts w:ascii="맑은 고딕" w:hAnsi="맑은 고딕" w:cs="맑은 고딕"/>
        </w:rPr>
        <w:t>4.</w:t>
      </w:r>
      <w:r>
        <w:rPr>
          <w:rFonts w:ascii="맑은 고딕" w:hAnsi="맑은 고딕" w:cs="맑은 고딕"/>
        </w:rPr>
        <w:t xml:space="preserve"> </w:t>
      </w:r>
      <w:r w:rsidRPr="003F0565">
        <w:rPr>
          <w:rFonts w:ascii="맑은 고딕" w:hAnsi="맑은 고딕" w:cs="맑은 고딕"/>
        </w:rPr>
        <w:t>Why is ESG management important for shipping companies?</w:t>
      </w:r>
    </w:p>
    <w:p w:rsidR="003F0565" w:rsidRPr="003F0565" w:rsidRDefault="003F0565" w:rsidP="003F0565">
      <w:pPr>
        <w:rPr>
          <w:rFonts w:ascii="맑은 고딕" w:hAnsi="맑은 고딕" w:cs="맑은 고딕"/>
        </w:rPr>
      </w:pPr>
      <w:r w:rsidRPr="003F0565">
        <w:rPr>
          <w:rFonts w:ascii="맑은 고딕" w:hAnsi="맑은 고딕" w:cs="맑은 고딕"/>
        </w:rPr>
        <w:t>ESG management has become important because investors, shippers, governments, and local communities demand transparent emissions data and credible reduction plans. Carriers with weak ESG disclosure or poor reduction performance may face risks such as contract disadvantages, restricted financing, higher insurance premiums, and increased borrowing costs.</w:t>
      </w:r>
    </w:p>
    <w:p w:rsidR="003F0565" w:rsidRPr="003F0565" w:rsidRDefault="003F0565" w:rsidP="003F0565">
      <w:pPr>
        <w:rPr>
          <w:rFonts w:ascii="맑은 고딕" w:hAnsi="맑은 고딕" w:cs="맑은 고딕"/>
        </w:rPr>
      </w:pPr>
      <w:r w:rsidRPr="003F0565">
        <w:rPr>
          <w:rFonts w:ascii="맑은 고딕" w:hAnsi="맑은 고딕" w:cs="맑은 고딕"/>
        </w:rPr>
        <w:t>5.</w:t>
      </w:r>
      <w:r>
        <w:rPr>
          <w:rFonts w:ascii="맑은 고딕" w:hAnsi="맑은 고딕" w:cs="맑은 고딕"/>
        </w:rPr>
        <w:t xml:space="preserve"> </w:t>
      </w:r>
      <w:r w:rsidRPr="003F0565">
        <w:rPr>
          <w:rFonts w:ascii="맑은 고딕" w:hAnsi="맑은 고딕" w:cs="맑은 고딕"/>
        </w:rPr>
        <w:t>What environmental actions are global container carriers taking?</w:t>
      </w:r>
    </w:p>
    <w:p w:rsidR="003F0565" w:rsidRPr="003F0565" w:rsidRDefault="003F0565" w:rsidP="003F0565">
      <w:pPr>
        <w:rPr>
          <w:rFonts w:ascii="맑은 고딕" w:hAnsi="맑은 고딕" w:cs="맑은 고딕"/>
        </w:rPr>
      </w:pPr>
      <w:r w:rsidRPr="003F0565">
        <w:rPr>
          <w:rFonts w:ascii="맑은 고딕" w:hAnsi="맑은 고딕" w:cs="맑은 고딕"/>
        </w:rPr>
        <w:t>Global container carriers are adopting VLSFO and ULSD, installing scrubbers and SCR systems, applying low-sulfur engines, optimizing vessel speed through slow steaming, purchasing renewable electricity, joining RE100, investing in solar power, adopting alternative fuels, and applying life cycle assessment models to improve Scope 3 transparency.</w:t>
      </w:r>
    </w:p>
    <w:p w:rsidR="003F0565" w:rsidRPr="003F0565" w:rsidRDefault="003F0565" w:rsidP="003F0565">
      <w:pPr>
        <w:rPr>
          <w:rFonts w:ascii="맑은 고딕" w:hAnsi="맑은 고딕" w:cs="맑은 고딕"/>
        </w:rPr>
      </w:pPr>
      <w:r w:rsidRPr="003F0565">
        <w:rPr>
          <w:rFonts w:ascii="맑은 고딕" w:hAnsi="맑은 고딕" w:cs="맑은 고딕"/>
        </w:rPr>
        <w:t>6.</w:t>
      </w:r>
      <w:r>
        <w:rPr>
          <w:rFonts w:ascii="맑은 고딕" w:hAnsi="맑은 고딕" w:cs="맑은 고딕"/>
        </w:rPr>
        <w:t xml:space="preserve"> </w:t>
      </w:r>
      <w:r w:rsidRPr="003F0565">
        <w:rPr>
          <w:rFonts w:ascii="맑은 고딕" w:hAnsi="맑은 고딕" w:cs="맑은 고딕"/>
        </w:rPr>
        <w:t>What does the white paper show about SO</w:t>
      </w:r>
      <w:r w:rsidRPr="003F0565">
        <w:rPr>
          <w:rFonts w:ascii="Calibri" w:hAnsi="Calibri" w:cs="Calibri"/>
        </w:rPr>
        <w:t>ₓ</w:t>
      </w:r>
      <w:r w:rsidRPr="003F0565">
        <w:rPr>
          <w:rFonts w:ascii="맑은 고딕" w:hAnsi="맑은 고딕" w:cs="맑은 고딕"/>
        </w:rPr>
        <w:t xml:space="preserve"> reduction performance?</w:t>
      </w:r>
    </w:p>
    <w:p w:rsidR="003F0565" w:rsidRPr="003F0565" w:rsidRDefault="003F0565" w:rsidP="003F0565">
      <w:pPr>
        <w:rPr>
          <w:rFonts w:ascii="맑은 고딕" w:hAnsi="맑은 고딕" w:cs="맑은 고딕"/>
        </w:rPr>
      </w:pPr>
      <w:r w:rsidRPr="003F0565">
        <w:rPr>
          <w:rFonts w:ascii="맑은 고딕" w:hAnsi="맑은 고딕" w:cs="맑은 고딕"/>
        </w:rPr>
        <w:t>The white paper shows that SO</w:t>
      </w:r>
      <w:r w:rsidRPr="003F0565">
        <w:rPr>
          <w:rFonts w:ascii="Calibri" w:hAnsi="Calibri" w:cs="Calibri"/>
        </w:rPr>
        <w:t>ₓ</w:t>
      </w:r>
      <w:r w:rsidRPr="003F0565">
        <w:rPr>
          <w:rFonts w:ascii="맑은 고딕" w:hAnsi="맑은 고딕" w:cs="맑은 고딕"/>
        </w:rPr>
        <w:t xml:space="preserve"> emissions from the top global container carriers declined sharply after 2020, when IMO sulfur regulations began to take effect. This suggests that the shift to low-sulfur fuels, the use of scrubbers, and stricter sulfur emission control measures have produced visible reduction effects.</w:t>
      </w:r>
    </w:p>
    <w:p w:rsidR="003F0565" w:rsidRPr="003F0565" w:rsidRDefault="003F0565" w:rsidP="003F0565">
      <w:pPr>
        <w:rPr>
          <w:rFonts w:ascii="맑은 고딕" w:hAnsi="맑은 고딕" w:cs="맑은 고딕"/>
        </w:rPr>
      </w:pPr>
      <w:r w:rsidRPr="003F0565">
        <w:rPr>
          <w:rFonts w:ascii="맑은 고딕" w:hAnsi="맑은 고딕" w:cs="맑은 고딕"/>
        </w:rPr>
        <w:t>7.</w:t>
      </w:r>
      <w:r>
        <w:rPr>
          <w:rFonts w:ascii="맑은 고딕" w:hAnsi="맑은 고딕" w:cs="맑은 고딕"/>
        </w:rPr>
        <w:t xml:space="preserve"> </w:t>
      </w:r>
      <w:r w:rsidRPr="003F0565">
        <w:rPr>
          <w:rFonts w:ascii="맑은 고딕" w:hAnsi="맑은 고딕" w:cs="맑은 고딕"/>
        </w:rPr>
        <w:t>Why do NO</w:t>
      </w:r>
      <w:r w:rsidRPr="003F0565">
        <w:rPr>
          <w:rFonts w:ascii="Calibri" w:hAnsi="Calibri" w:cs="Calibri"/>
        </w:rPr>
        <w:t>ₓ</w:t>
      </w:r>
      <w:r w:rsidRPr="003F0565">
        <w:rPr>
          <w:rFonts w:ascii="맑은 고딕" w:hAnsi="맑은 고딕" w:cs="맑은 고딕"/>
        </w:rPr>
        <w:t xml:space="preserve"> and CO</w:t>
      </w:r>
      <w:r w:rsidRPr="003F0565">
        <w:rPr>
          <w:rFonts w:ascii="맑은 고딕" w:eastAsia="맑은 고딕" w:hAnsi="맑은 고딕" w:cs="맑은 고딕" w:hint="eastAsia"/>
        </w:rPr>
        <w:t>₂</w:t>
      </w:r>
      <w:r w:rsidRPr="003F0565">
        <w:rPr>
          <w:rFonts w:ascii="맑은 고딕" w:hAnsi="맑은 고딕" w:cs="맑은 고딕"/>
        </w:rPr>
        <w:t xml:space="preserve"> reduction trends fluctuate?</w:t>
      </w:r>
    </w:p>
    <w:p w:rsidR="003F0565" w:rsidRPr="003F0565" w:rsidRDefault="003F0565" w:rsidP="003F0565">
      <w:pPr>
        <w:rPr>
          <w:rFonts w:ascii="맑은 고딕" w:hAnsi="맑은 고딕" w:cs="맑은 고딕"/>
        </w:rPr>
      </w:pPr>
      <w:r w:rsidRPr="003F0565">
        <w:rPr>
          <w:rFonts w:ascii="맑은 고딕" w:hAnsi="맑은 고딕" w:cs="맑은 고딕"/>
        </w:rPr>
        <w:t>NO</w:t>
      </w:r>
      <w:r w:rsidRPr="003F0565">
        <w:rPr>
          <w:rFonts w:ascii="Calibri" w:hAnsi="Calibri" w:cs="Calibri"/>
        </w:rPr>
        <w:t>ₓ</w:t>
      </w:r>
      <w:r w:rsidRPr="003F0565">
        <w:rPr>
          <w:rFonts w:ascii="맑은 고딕" w:hAnsi="맑은 고딕" w:cs="맑은 고딕"/>
        </w:rPr>
        <w:t xml:space="preserve"> and CO</w:t>
      </w:r>
      <w:r w:rsidRPr="003F0565">
        <w:rPr>
          <w:rFonts w:ascii="맑은 고딕" w:eastAsia="맑은 고딕" w:hAnsi="맑은 고딕" w:cs="맑은 고딕" w:hint="eastAsia"/>
        </w:rPr>
        <w:t>₂</w:t>
      </w:r>
      <w:r w:rsidRPr="003F0565">
        <w:rPr>
          <w:rFonts w:ascii="맑은 고딕" w:hAnsi="맑은 고딕" w:cs="맑은 고딕"/>
        </w:rPr>
        <w:t xml:space="preserve"> reduction trends fluctuate because emissions are affected not only by vessel technology but also by market and operational conditions. Route changes, longer shipping distances, freight rate volatility, cargo volume changes, the Red Sea crisis, and Panama Canal restrictions can all affect emission intensity.</w:t>
      </w:r>
    </w:p>
    <w:p w:rsidR="003F0565" w:rsidRPr="003F0565" w:rsidRDefault="003F0565" w:rsidP="003F0565">
      <w:pPr>
        <w:rPr>
          <w:rFonts w:ascii="맑은 고딕" w:hAnsi="맑은 고딕" w:cs="맑은 고딕"/>
        </w:rPr>
      </w:pPr>
      <w:r w:rsidRPr="003F0565">
        <w:rPr>
          <w:rFonts w:ascii="맑은 고딕" w:hAnsi="맑은 고딕" w:cs="맑은 고딕"/>
        </w:rPr>
        <w:lastRenderedPageBreak/>
        <w:t>8.</w:t>
      </w:r>
      <w:r>
        <w:rPr>
          <w:rFonts w:ascii="맑은 고딕" w:hAnsi="맑은 고딕" w:cs="맑은 고딕"/>
        </w:rPr>
        <w:t xml:space="preserve"> </w:t>
      </w:r>
      <w:r w:rsidRPr="003F0565">
        <w:rPr>
          <w:rFonts w:ascii="맑은 고딕" w:hAnsi="맑은 고딕" w:cs="맑은 고딕"/>
        </w:rPr>
        <w:t>Why is Scope 3 emissions management important in shipping ESG disclosure?</w:t>
      </w:r>
    </w:p>
    <w:p w:rsidR="003F0565" w:rsidRPr="003F0565" w:rsidRDefault="003F0565" w:rsidP="003F0565">
      <w:pPr>
        <w:rPr>
          <w:rFonts w:ascii="맑은 고딕" w:hAnsi="맑은 고딕" w:cs="맑은 고딕"/>
        </w:rPr>
      </w:pPr>
      <w:r w:rsidRPr="003F0565">
        <w:rPr>
          <w:rFonts w:ascii="맑은 고딕" w:hAnsi="맑은 고딕" w:cs="맑은 고딕"/>
        </w:rPr>
        <w:t>Scope 3 emissions management is important because it captures indirect emissions across the shipping value chain, including fuel production, component manufacturing, customer use, and disposal. As shippers and ESG rating agencies require more transparent carbon data, Scope 3 reporting becomes a key factor in carrier credibility and competitiveness.</w:t>
      </w:r>
    </w:p>
    <w:p w:rsidR="003F0565" w:rsidRPr="003F0565" w:rsidRDefault="003F0565" w:rsidP="003F0565">
      <w:pPr>
        <w:rPr>
          <w:rFonts w:ascii="맑은 고딕" w:hAnsi="맑은 고딕" w:cs="맑은 고딕"/>
        </w:rPr>
      </w:pPr>
      <w:r w:rsidRPr="003F0565">
        <w:rPr>
          <w:rFonts w:ascii="맑은 고딕" w:hAnsi="맑은 고딕" w:cs="맑은 고딕"/>
        </w:rPr>
        <w:t>9.</w:t>
      </w:r>
      <w:r>
        <w:rPr>
          <w:rFonts w:ascii="맑은 고딕" w:hAnsi="맑은 고딕" w:cs="맑은 고딕"/>
        </w:rPr>
        <w:t xml:space="preserve"> </w:t>
      </w:r>
      <w:r w:rsidRPr="003F0565">
        <w:rPr>
          <w:rFonts w:ascii="맑은 고딕" w:hAnsi="맑은 고딕" w:cs="맑은 고딕"/>
        </w:rPr>
        <w:t>What strategies are needed for shipping to achieve Net Zero by 2050?</w:t>
      </w:r>
    </w:p>
    <w:p w:rsidR="003F5295" w:rsidRPr="003F0565" w:rsidRDefault="003F0565" w:rsidP="003F0565">
      <w:r w:rsidRPr="003F0565">
        <w:rPr>
          <w:rFonts w:ascii="맑은 고딕" w:hAnsi="맑은 고딕" w:cs="맑은 고딕"/>
        </w:rPr>
        <w:t>To achieve Net Zero by 2050, the shipping industry needs more than low-sulfur fuel and operational optimization. It must invest in alternative fuels, zero-carbon vessels, wind-assisted propulsion, electric propulsion, and next-generation technologies. Policy support, financing mechanisms, emission measurement capabilities, and knowledge sharing between large and small carriers are also essential.</w:t>
      </w:r>
    </w:p>
    <w:p w:rsidR="00412CB8" w:rsidRDefault="00412CB8" w:rsidP="003F5295">
      <w:bookmarkStart w:id="0" w:name="_GoBack"/>
      <w:bookmarkEnd w:id="0"/>
    </w:p>
    <w:p w:rsidR="003F5295" w:rsidRDefault="00CD726D" w:rsidP="00B640B5">
      <w:pPr>
        <w:rPr>
          <w:b/>
        </w:rPr>
      </w:pPr>
      <w:r w:rsidRPr="00CD726D">
        <w:rPr>
          <w:b/>
        </w:rPr>
        <w:t>Global Container Shipping ESG Performance at a Glance</w:t>
      </w:r>
    </w:p>
    <w:tbl>
      <w:tblPr>
        <w:tblStyle w:val="a4"/>
        <w:tblW w:w="0" w:type="auto"/>
        <w:tblLook w:val="04A0" w:firstRow="1" w:lastRow="0" w:firstColumn="1" w:lastColumn="0" w:noHBand="0" w:noVBand="1"/>
      </w:tblPr>
      <w:tblGrid>
        <w:gridCol w:w="2044"/>
        <w:gridCol w:w="6972"/>
      </w:tblGrid>
      <w:tr w:rsidR="003F0565" w:rsidTr="003F0565">
        <w:tc>
          <w:tcPr>
            <w:tcW w:w="0" w:type="auto"/>
            <w:hideMark/>
          </w:tcPr>
          <w:p w:rsidR="003F0565" w:rsidRPr="003F0565" w:rsidRDefault="003F0565">
            <w:pPr>
              <w:widowControl/>
              <w:wordWrap/>
              <w:autoSpaceDE/>
              <w:autoSpaceDN/>
              <w:jc w:val="center"/>
              <w:rPr>
                <w:rFonts w:asciiTheme="minorEastAsia" w:hAnsiTheme="minorEastAsia"/>
                <w:b/>
                <w:bCs/>
                <w:sz w:val="20"/>
                <w:szCs w:val="20"/>
              </w:rPr>
            </w:pPr>
            <w:r w:rsidRPr="003F0565">
              <w:rPr>
                <w:rFonts w:asciiTheme="minorEastAsia" w:hAnsiTheme="minorEastAsia"/>
                <w:b/>
                <w:bCs/>
                <w:sz w:val="20"/>
                <w:szCs w:val="20"/>
              </w:rPr>
              <w:t>Category</w:t>
            </w:r>
          </w:p>
        </w:tc>
        <w:tc>
          <w:tcPr>
            <w:tcW w:w="0" w:type="auto"/>
            <w:hideMark/>
          </w:tcPr>
          <w:p w:rsidR="003F0565" w:rsidRPr="003F0565" w:rsidRDefault="003F0565">
            <w:pPr>
              <w:jc w:val="center"/>
              <w:rPr>
                <w:rFonts w:asciiTheme="minorEastAsia" w:hAnsiTheme="minorEastAsia"/>
                <w:b/>
                <w:bCs/>
                <w:sz w:val="20"/>
                <w:szCs w:val="20"/>
              </w:rPr>
            </w:pPr>
            <w:r w:rsidRPr="003F0565">
              <w:rPr>
                <w:rFonts w:asciiTheme="minorEastAsia" w:hAnsiTheme="minorEastAsia"/>
                <w:b/>
                <w:bCs/>
                <w:sz w:val="20"/>
                <w:szCs w:val="20"/>
              </w:rPr>
              <w:t>Key Takeaway</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Main Topic</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Environmental compliance of top global container shipping firms based on ESG reports</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Analysis Scope</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Environmental activities and emissions performance from 2019 to 2024</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Major Carriers</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MSC, Maersk, CMA CGM, COSCO, Hapag-Lloyd, ONE, Evergreen, HMM, ZIM, Yang Ming</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Key Pollutants</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SO</w:t>
            </w:r>
            <w:r w:rsidRPr="003F0565">
              <w:rPr>
                <w:rFonts w:ascii="Calibri" w:hAnsi="Calibri" w:cs="Calibri"/>
                <w:sz w:val="20"/>
                <w:szCs w:val="20"/>
              </w:rPr>
              <w:t>ₓ</w:t>
            </w:r>
            <w:r w:rsidRPr="003F0565">
              <w:rPr>
                <w:rFonts w:asciiTheme="minorEastAsia" w:hAnsiTheme="minorEastAsia"/>
                <w:sz w:val="20"/>
                <w:szCs w:val="20"/>
              </w:rPr>
              <w:t>, NO</w:t>
            </w:r>
            <w:r w:rsidRPr="003F0565">
              <w:rPr>
                <w:rFonts w:ascii="Calibri" w:hAnsi="Calibri" w:cs="Calibri"/>
                <w:sz w:val="20"/>
                <w:szCs w:val="20"/>
              </w:rPr>
              <w:t>ₓ</w:t>
            </w:r>
            <w:r w:rsidRPr="003F0565">
              <w:rPr>
                <w:rFonts w:asciiTheme="minorEastAsia" w:hAnsiTheme="minorEastAsia"/>
                <w:sz w:val="20"/>
                <w:szCs w:val="20"/>
              </w:rPr>
              <w:t>, CO</w:t>
            </w:r>
            <w:r w:rsidRPr="003F0565">
              <w:rPr>
                <w:rFonts w:asciiTheme="minorEastAsia" w:hAnsiTheme="minorEastAsia" w:cs="굴림" w:hint="eastAsia"/>
                <w:sz w:val="20"/>
                <w:szCs w:val="20"/>
              </w:rPr>
              <w:t>₂</w:t>
            </w:r>
            <w:r w:rsidRPr="003F0565">
              <w:rPr>
                <w:rFonts w:asciiTheme="minorEastAsia" w:hAnsiTheme="minorEastAsia"/>
                <w:sz w:val="20"/>
                <w:szCs w:val="20"/>
              </w:rPr>
              <w:t>, particulate matter</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Key Regulations</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IMO 2020, EEDI, SEEMP, EEXI, CII, IMO 2050 Net Zero</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ESG Factors</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Carbon emissions, fuel efficiency, alternative fuels, waste management, Scope 1, Scope 2, Scope 3</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SO</w:t>
            </w:r>
            <w:r w:rsidRPr="003F0565">
              <w:rPr>
                <w:rFonts w:ascii="Calibri" w:hAnsi="Calibri" w:cs="Calibri"/>
                <w:sz w:val="20"/>
                <w:szCs w:val="20"/>
              </w:rPr>
              <w:t>ₓ</w:t>
            </w:r>
            <w:r w:rsidRPr="003F0565">
              <w:rPr>
                <w:rFonts w:asciiTheme="minorEastAsia" w:hAnsiTheme="minorEastAsia"/>
                <w:sz w:val="20"/>
                <w:szCs w:val="20"/>
              </w:rPr>
              <w:t xml:space="preserve"> Reduction Actions</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VLSFO adoption, ULSD use, scrubber installation, sulfur emission control compliance</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NO</w:t>
            </w:r>
            <w:r w:rsidRPr="003F0565">
              <w:rPr>
                <w:rFonts w:ascii="Calibri" w:hAnsi="Calibri" w:cs="Calibri"/>
                <w:sz w:val="20"/>
                <w:szCs w:val="20"/>
              </w:rPr>
              <w:t>ₓ</w:t>
            </w:r>
            <w:r w:rsidRPr="003F0565">
              <w:rPr>
                <w:rFonts w:asciiTheme="minorEastAsia" w:hAnsiTheme="minorEastAsia"/>
                <w:sz w:val="20"/>
                <w:szCs w:val="20"/>
              </w:rPr>
              <w:t xml:space="preserve"> Reduction Actions</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IMO Tier III engines, SCR systems, retrofitting existing vessels</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CO₂ Reduction Actions</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Speed optimization, vessel efficiency improvement, alternative-fuel investment, route management</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Scope 1</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Direct emissions from vessel fuel combustion and carrier-operated equipment</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Scope 2</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Indirect emissions from purchased electricity at offices, terminals, and land facilities</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Scope 3</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Value-chain emissions from fuel production, manufacturing, customer use, and disposal</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lastRenderedPageBreak/>
              <w:t>Key Performance Insight</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SO</w:t>
            </w:r>
            <w:r w:rsidRPr="003F0565">
              <w:rPr>
                <w:rFonts w:ascii="Calibri" w:hAnsi="Calibri" w:cs="Calibri"/>
                <w:sz w:val="20"/>
                <w:szCs w:val="20"/>
              </w:rPr>
              <w:t>ₓ</w:t>
            </w:r>
            <w:r w:rsidRPr="003F0565">
              <w:rPr>
                <w:rFonts w:asciiTheme="minorEastAsia" w:hAnsiTheme="minorEastAsia"/>
                <w:sz w:val="20"/>
                <w:szCs w:val="20"/>
              </w:rPr>
              <w:t xml:space="preserve"> emissions declined sharply after IMO 2020 sulfur regulations</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Key Limitation</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NO</w:t>
            </w:r>
            <w:r w:rsidRPr="003F0565">
              <w:rPr>
                <w:rFonts w:ascii="Calibri" w:hAnsi="Calibri" w:cs="Calibri"/>
                <w:sz w:val="20"/>
                <w:szCs w:val="20"/>
              </w:rPr>
              <w:t>ₓ</w:t>
            </w:r>
            <w:r w:rsidRPr="003F0565">
              <w:rPr>
                <w:rFonts w:asciiTheme="minorEastAsia" w:hAnsiTheme="minorEastAsia"/>
                <w:sz w:val="20"/>
                <w:szCs w:val="20"/>
              </w:rPr>
              <w:t xml:space="preserve"> and CO</w:t>
            </w:r>
            <w:r w:rsidRPr="003F0565">
              <w:rPr>
                <w:rFonts w:asciiTheme="minorEastAsia" w:hAnsiTheme="minorEastAsia" w:cs="굴림" w:hint="eastAsia"/>
                <w:sz w:val="20"/>
                <w:szCs w:val="20"/>
              </w:rPr>
              <w:t>₂</w:t>
            </w:r>
            <w:r w:rsidRPr="003F0565">
              <w:rPr>
                <w:rFonts w:asciiTheme="minorEastAsia" w:hAnsiTheme="minorEastAsia"/>
                <w:sz w:val="20"/>
                <w:szCs w:val="20"/>
              </w:rPr>
              <w:t xml:space="preserve"> trends are affected by route changes, freight rates, and external disruptions</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Data Challenge</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Scope 2 and Scope 3 reporting is expanding but still needs better coverage and accuracy</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Strategic Direction</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Alternative fuels, zero-carbon vessels, digital optimization, and policy-finance support</w:t>
            </w:r>
          </w:p>
        </w:tc>
      </w:tr>
      <w:tr w:rsidR="003F0565" w:rsidTr="003F0565">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Policy Recommendation</w:t>
            </w:r>
          </w:p>
        </w:tc>
        <w:tc>
          <w:tcPr>
            <w:tcW w:w="0" w:type="auto"/>
            <w:hideMark/>
          </w:tcPr>
          <w:p w:rsidR="003F0565" w:rsidRPr="003F0565" w:rsidRDefault="003F0565">
            <w:pPr>
              <w:rPr>
                <w:rFonts w:asciiTheme="minorEastAsia" w:hAnsiTheme="minorEastAsia"/>
                <w:sz w:val="20"/>
                <w:szCs w:val="20"/>
              </w:rPr>
            </w:pPr>
            <w:r w:rsidRPr="003F0565">
              <w:rPr>
                <w:rFonts w:asciiTheme="minorEastAsia" w:hAnsiTheme="minorEastAsia"/>
                <w:sz w:val="20"/>
                <w:szCs w:val="20"/>
              </w:rPr>
              <w:t>Build emissions measurement capability, share know-how with SMEs, and consider public carbon funds</w:t>
            </w:r>
          </w:p>
        </w:tc>
      </w:tr>
    </w:tbl>
    <w:p w:rsidR="003D557F" w:rsidRPr="003D557F" w:rsidRDefault="003D557F" w:rsidP="008D550F"/>
    <w:sectPr w:rsidR="003D557F" w:rsidRPr="003D557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AC9" w:rsidRDefault="00A92AC9" w:rsidP="00A92AC9">
      <w:pPr>
        <w:spacing w:after="0" w:line="240" w:lineRule="auto"/>
      </w:pPr>
      <w:r>
        <w:separator/>
      </w:r>
    </w:p>
  </w:endnote>
  <w:endnote w:type="continuationSeparator" w:id="0">
    <w:p w:rsidR="00A92AC9" w:rsidRDefault="00A92AC9" w:rsidP="00A9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AC9" w:rsidRDefault="00A92AC9" w:rsidP="00A92AC9">
      <w:pPr>
        <w:spacing w:after="0" w:line="240" w:lineRule="auto"/>
      </w:pPr>
      <w:r>
        <w:separator/>
      </w:r>
    </w:p>
  </w:footnote>
  <w:footnote w:type="continuationSeparator" w:id="0">
    <w:p w:rsidR="00A92AC9" w:rsidRDefault="00A92AC9" w:rsidP="00A92A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1E27C3"/>
    <w:rsid w:val="002D629C"/>
    <w:rsid w:val="002E6AF0"/>
    <w:rsid w:val="003834FF"/>
    <w:rsid w:val="003D557F"/>
    <w:rsid w:val="003F0565"/>
    <w:rsid w:val="003F5295"/>
    <w:rsid w:val="00412CB8"/>
    <w:rsid w:val="004F4BDA"/>
    <w:rsid w:val="005A2D69"/>
    <w:rsid w:val="00606423"/>
    <w:rsid w:val="00667A24"/>
    <w:rsid w:val="007040FC"/>
    <w:rsid w:val="007B5515"/>
    <w:rsid w:val="00865179"/>
    <w:rsid w:val="008D550F"/>
    <w:rsid w:val="0099427E"/>
    <w:rsid w:val="00A92AC9"/>
    <w:rsid w:val="00B640B5"/>
    <w:rsid w:val="00BE7E09"/>
    <w:rsid w:val="00CC0D83"/>
    <w:rsid w:val="00CD72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34DA626"/>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A92AC9"/>
    <w:pPr>
      <w:tabs>
        <w:tab w:val="center" w:pos="4513"/>
        <w:tab w:val="right" w:pos="9026"/>
      </w:tabs>
      <w:snapToGrid w:val="0"/>
    </w:pPr>
  </w:style>
  <w:style w:type="character" w:customStyle="1" w:styleId="Char">
    <w:name w:val="머리글 Char"/>
    <w:basedOn w:val="a0"/>
    <w:link w:val="a5"/>
    <w:uiPriority w:val="99"/>
    <w:rsid w:val="00A92AC9"/>
  </w:style>
  <w:style w:type="paragraph" w:styleId="a6">
    <w:name w:val="footer"/>
    <w:basedOn w:val="a"/>
    <w:link w:val="Char0"/>
    <w:uiPriority w:val="99"/>
    <w:unhideWhenUsed/>
    <w:rsid w:val="00A92AC9"/>
    <w:pPr>
      <w:tabs>
        <w:tab w:val="center" w:pos="4513"/>
        <w:tab w:val="right" w:pos="9026"/>
      </w:tabs>
      <w:snapToGrid w:val="0"/>
    </w:pPr>
  </w:style>
  <w:style w:type="character" w:customStyle="1" w:styleId="Char0">
    <w:name w:val="바닥글 Char"/>
    <w:basedOn w:val="a0"/>
    <w:link w:val="a6"/>
    <w:uiPriority w:val="99"/>
    <w:rsid w:val="00A92AC9"/>
  </w:style>
  <w:style w:type="character" w:styleId="a7">
    <w:name w:val="Strong"/>
    <w:basedOn w:val="a0"/>
    <w:uiPriority w:val="22"/>
    <w:qFormat/>
    <w:rsid w:val="003D5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7153">
      <w:bodyDiv w:val="1"/>
      <w:marLeft w:val="0"/>
      <w:marRight w:val="0"/>
      <w:marTop w:val="0"/>
      <w:marBottom w:val="0"/>
      <w:divBdr>
        <w:top w:val="none" w:sz="0" w:space="0" w:color="auto"/>
        <w:left w:val="none" w:sz="0" w:space="0" w:color="auto"/>
        <w:bottom w:val="none" w:sz="0" w:space="0" w:color="auto"/>
        <w:right w:val="none" w:sz="0" w:space="0" w:color="auto"/>
      </w:divBdr>
    </w:div>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493182039">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579564367">
      <w:bodyDiv w:val="1"/>
      <w:marLeft w:val="0"/>
      <w:marRight w:val="0"/>
      <w:marTop w:val="0"/>
      <w:marBottom w:val="0"/>
      <w:divBdr>
        <w:top w:val="none" w:sz="0" w:space="0" w:color="auto"/>
        <w:left w:val="none" w:sz="0" w:space="0" w:color="auto"/>
        <w:bottom w:val="none" w:sz="0" w:space="0" w:color="auto"/>
        <w:right w:val="none" w:sz="0" w:space="0" w:color="auto"/>
      </w:divBdr>
    </w:div>
    <w:div w:id="621110560">
      <w:bodyDiv w:val="1"/>
      <w:marLeft w:val="0"/>
      <w:marRight w:val="0"/>
      <w:marTop w:val="0"/>
      <w:marBottom w:val="0"/>
      <w:divBdr>
        <w:top w:val="none" w:sz="0" w:space="0" w:color="auto"/>
        <w:left w:val="none" w:sz="0" w:space="0" w:color="auto"/>
        <w:bottom w:val="none" w:sz="0" w:space="0" w:color="auto"/>
        <w:right w:val="none" w:sz="0" w:space="0" w:color="auto"/>
      </w:divBdr>
    </w:div>
    <w:div w:id="744229876">
      <w:bodyDiv w:val="1"/>
      <w:marLeft w:val="0"/>
      <w:marRight w:val="0"/>
      <w:marTop w:val="0"/>
      <w:marBottom w:val="0"/>
      <w:divBdr>
        <w:top w:val="none" w:sz="0" w:space="0" w:color="auto"/>
        <w:left w:val="none" w:sz="0" w:space="0" w:color="auto"/>
        <w:bottom w:val="none" w:sz="0" w:space="0" w:color="auto"/>
        <w:right w:val="none" w:sz="0" w:space="0" w:color="auto"/>
      </w:divBdr>
    </w:div>
    <w:div w:id="844593168">
      <w:bodyDiv w:val="1"/>
      <w:marLeft w:val="0"/>
      <w:marRight w:val="0"/>
      <w:marTop w:val="0"/>
      <w:marBottom w:val="0"/>
      <w:divBdr>
        <w:top w:val="none" w:sz="0" w:space="0" w:color="auto"/>
        <w:left w:val="none" w:sz="0" w:space="0" w:color="auto"/>
        <w:bottom w:val="none" w:sz="0" w:space="0" w:color="auto"/>
        <w:right w:val="none" w:sz="0" w:space="0" w:color="auto"/>
      </w:divBdr>
    </w:div>
    <w:div w:id="895704852">
      <w:bodyDiv w:val="1"/>
      <w:marLeft w:val="0"/>
      <w:marRight w:val="0"/>
      <w:marTop w:val="0"/>
      <w:marBottom w:val="0"/>
      <w:divBdr>
        <w:top w:val="none" w:sz="0" w:space="0" w:color="auto"/>
        <w:left w:val="none" w:sz="0" w:space="0" w:color="auto"/>
        <w:bottom w:val="none" w:sz="0" w:space="0" w:color="auto"/>
        <w:right w:val="none" w:sz="0" w:space="0" w:color="auto"/>
      </w:divBdr>
    </w:div>
    <w:div w:id="897596011">
      <w:bodyDiv w:val="1"/>
      <w:marLeft w:val="0"/>
      <w:marRight w:val="0"/>
      <w:marTop w:val="0"/>
      <w:marBottom w:val="0"/>
      <w:divBdr>
        <w:top w:val="none" w:sz="0" w:space="0" w:color="auto"/>
        <w:left w:val="none" w:sz="0" w:space="0" w:color="auto"/>
        <w:bottom w:val="none" w:sz="0" w:space="0" w:color="auto"/>
        <w:right w:val="none" w:sz="0" w:space="0" w:color="auto"/>
      </w:divBdr>
    </w:div>
    <w:div w:id="1005981098">
      <w:bodyDiv w:val="1"/>
      <w:marLeft w:val="0"/>
      <w:marRight w:val="0"/>
      <w:marTop w:val="0"/>
      <w:marBottom w:val="0"/>
      <w:divBdr>
        <w:top w:val="none" w:sz="0" w:space="0" w:color="auto"/>
        <w:left w:val="none" w:sz="0" w:space="0" w:color="auto"/>
        <w:bottom w:val="none" w:sz="0" w:space="0" w:color="auto"/>
        <w:right w:val="none" w:sz="0" w:space="0" w:color="auto"/>
      </w:divBdr>
    </w:div>
    <w:div w:id="1052538077">
      <w:bodyDiv w:val="1"/>
      <w:marLeft w:val="0"/>
      <w:marRight w:val="0"/>
      <w:marTop w:val="0"/>
      <w:marBottom w:val="0"/>
      <w:divBdr>
        <w:top w:val="none" w:sz="0" w:space="0" w:color="auto"/>
        <w:left w:val="none" w:sz="0" w:space="0" w:color="auto"/>
        <w:bottom w:val="none" w:sz="0" w:space="0" w:color="auto"/>
        <w:right w:val="none" w:sz="0" w:space="0" w:color="auto"/>
      </w:divBdr>
    </w:div>
    <w:div w:id="1113399328">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199664731">
      <w:bodyDiv w:val="1"/>
      <w:marLeft w:val="0"/>
      <w:marRight w:val="0"/>
      <w:marTop w:val="0"/>
      <w:marBottom w:val="0"/>
      <w:divBdr>
        <w:top w:val="none" w:sz="0" w:space="0" w:color="auto"/>
        <w:left w:val="none" w:sz="0" w:space="0" w:color="auto"/>
        <w:bottom w:val="none" w:sz="0" w:space="0" w:color="auto"/>
        <w:right w:val="none" w:sz="0" w:space="0" w:color="auto"/>
      </w:divBdr>
    </w:div>
    <w:div w:id="1210603870">
      <w:bodyDiv w:val="1"/>
      <w:marLeft w:val="0"/>
      <w:marRight w:val="0"/>
      <w:marTop w:val="0"/>
      <w:marBottom w:val="0"/>
      <w:divBdr>
        <w:top w:val="none" w:sz="0" w:space="0" w:color="auto"/>
        <w:left w:val="none" w:sz="0" w:space="0" w:color="auto"/>
        <w:bottom w:val="none" w:sz="0" w:space="0" w:color="auto"/>
        <w:right w:val="none" w:sz="0" w:space="0" w:color="auto"/>
      </w:divBdr>
    </w:div>
    <w:div w:id="1262840998">
      <w:bodyDiv w:val="1"/>
      <w:marLeft w:val="0"/>
      <w:marRight w:val="0"/>
      <w:marTop w:val="0"/>
      <w:marBottom w:val="0"/>
      <w:divBdr>
        <w:top w:val="none" w:sz="0" w:space="0" w:color="auto"/>
        <w:left w:val="none" w:sz="0" w:space="0" w:color="auto"/>
        <w:bottom w:val="none" w:sz="0" w:space="0" w:color="auto"/>
        <w:right w:val="none" w:sz="0" w:space="0" w:color="auto"/>
      </w:divBdr>
    </w:div>
    <w:div w:id="1276667666">
      <w:bodyDiv w:val="1"/>
      <w:marLeft w:val="0"/>
      <w:marRight w:val="0"/>
      <w:marTop w:val="0"/>
      <w:marBottom w:val="0"/>
      <w:divBdr>
        <w:top w:val="none" w:sz="0" w:space="0" w:color="auto"/>
        <w:left w:val="none" w:sz="0" w:space="0" w:color="auto"/>
        <w:bottom w:val="none" w:sz="0" w:space="0" w:color="auto"/>
        <w:right w:val="none" w:sz="0" w:space="0" w:color="auto"/>
      </w:divBdr>
    </w:div>
    <w:div w:id="1319723544">
      <w:bodyDiv w:val="1"/>
      <w:marLeft w:val="0"/>
      <w:marRight w:val="0"/>
      <w:marTop w:val="0"/>
      <w:marBottom w:val="0"/>
      <w:divBdr>
        <w:top w:val="none" w:sz="0" w:space="0" w:color="auto"/>
        <w:left w:val="none" w:sz="0" w:space="0" w:color="auto"/>
        <w:bottom w:val="none" w:sz="0" w:space="0" w:color="auto"/>
        <w:right w:val="none" w:sz="0" w:space="0" w:color="auto"/>
      </w:divBdr>
    </w:div>
    <w:div w:id="1413576498">
      <w:bodyDiv w:val="1"/>
      <w:marLeft w:val="0"/>
      <w:marRight w:val="0"/>
      <w:marTop w:val="0"/>
      <w:marBottom w:val="0"/>
      <w:divBdr>
        <w:top w:val="none" w:sz="0" w:space="0" w:color="auto"/>
        <w:left w:val="none" w:sz="0" w:space="0" w:color="auto"/>
        <w:bottom w:val="none" w:sz="0" w:space="0" w:color="auto"/>
        <w:right w:val="none" w:sz="0" w:space="0" w:color="auto"/>
      </w:divBdr>
    </w:div>
    <w:div w:id="1609387933">
      <w:bodyDiv w:val="1"/>
      <w:marLeft w:val="0"/>
      <w:marRight w:val="0"/>
      <w:marTop w:val="0"/>
      <w:marBottom w:val="0"/>
      <w:divBdr>
        <w:top w:val="none" w:sz="0" w:space="0" w:color="auto"/>
        <w:left w:val="none" w:sz="0" w:space="0" w:color="auto"/>
        <w:bottom w:val="none" w:sz="0" w:space="0" w:color="auto"/>
        <w:right w:val="none" w:sz="0" w:space="0" w:color="auto"/>
      </w:divBdr>
    </w:div>
    <w:div w:id="1709184618">
      <w:bodyDiv w:val="1"/>
      <w:marLeft w:val="0"/>
      <w:marRight w:val="0"/>
      <w:marTop w:val="0"/>
      <w:marBottom w:val="0"/>
      <w:divBdr>
        <w:top w:val="none" w:sz="0" w:space="0" w:color="auto"/>
        <w:left w:val="none" w:sz="0" w:space="0" w:color="auto"/>
        <w:bottom w:val="none" w:sz="0" w:space="0" w:color="auto"/>
        <w:right w:val="none" w:sz="0" w:space="0" w:color="auto"/>
      </w:divBdr>
    </w:div>
    <w:div w:id="1845245214">
      <w:bodyDiv w:val="1"/>
      <w:marLeft w:val="0"/>
      <w:marRight w:val="0"/>
      <w:marTop w:val="0"/>
      <w:marBottom w:val="0"/>
      <w:divBdr>
        <w:top w:val="none" w:sz="0" w:space="0" w:color="auto"/>
        <w:left w:val="none" w:sz="0" w:space="0" w:color="auto"/>
        <w:bottom w:val="none" w:sz="0" w:space="0" w:color="auto"/>
        <w:right w:val="none" w:sz="0" w:space="0" w:color="auto"/>
      </w:divBdr>
    </w:div>
    <w:div w:id="1897082778">
      <w:bodyDiv w:val="1"/>
      <w:marLeft w:val="0"/>
      <w:marRight w:val="0"/>
      <w:marTop w:val="0"/>
      <w:marBottom w:val="0"/>
      <w:divBdr>
        <w:top w:val="none" w:sz="0" w:space="0" w:color="auto"/>
        <w:left w:val="none" w:sz="0" w:space="0" w:color="auto"/>
        <w:bottom w:val="none" w:sz="0" w:space="0" w:color="auto"/>
        <w:right w:val="none" w:sz="0" w:space="0" w:color="auto"/>
      </w:divBdr>
    </w:div>
    <w:div w:id="1906452159">
      <w:bodyDiv w:val="1"/>
      <w:marLeft w:val="0"/>
      <w:marRight w:val="0"/>
      <w:marTop w:val="0"/>
      <w:marBottom w:val="0"/>
      <w:divBdr>
        <w:top w:val="none" w:sz="0" w:space="0" w:color="auto"/>
        <w:left w:val="none" w:sz="0" w:space="0" w:color="auto"/>
        <w:bottom w:val="none" w:sz="0" w:space="0" w:color="auto"/>
        <w:right w:val="none" w:sz="0" w:space="0" w:color="auto"/>
      </w:divBdr>
    </w:div>
    <w:div w:id="1939672044">
      <w:bodyDiv w:val="1"/>
      <w:marLeft w:val="0"/>
      <w:marRight w:val="0"/>
      <w:marTop w:val="0"/>
      <w:marBottom w:val="0"/>
      <w:divBdr>
        <w:top w:val="none" w:sz="0" w:space="0" w:color="auto"/>
        <w:left w:val="none" w:sz="0" w:space="0" w:color="auto"/>
        <w:bottom w:val="none" w:sz="0" w:space="0" w:color="auto"/>
        <w:right w:val="none" w:sz="0" w:space="0" w:color="auto"/>
      </w:divBdr>
    </w:div>
    <w:div w:id="1945114566">
      <w:bodyDiv w:val="1"/>
      <w:marLeft w:val="0"/>
      <w:marRight w:val="0"/>
      <w:marTop w:val="0"/>
      <w:marBottom w:val="0"/>
      <w:divBdr>
        <w:top w:val="none" w:sz="0" w:space="0" w:color="auto"/>
        <w:left w:val="none" w:sz="0" w:space="0" w:color="auto"/>
        <w:bottom w:val="none" w:sz="0" w:space="0" w:color="auto"/>
        <w:right w:val="none" w:sz="0" w:space="0" w:color="auto"/>
      </w:divBdr>
    </w:div>
    <w:div w:id="208197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6</Pages>
  <Words>1604</Words>
  <Characters>9147</Characters>
  <Application>Microsoft Office Word</Application>
  <DocSecurity>0</DocSecurity>
  <Lines>76</Lines>
  <Paragraphs>21</Paragraphs>
  <ScaleCrop>false</ScaleCrop>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22</cp:revision>
  <dcterms:created xsi:type="dcterms:W3CDTF">2026-04-09T04:29:00Z</dcterms:created>
  <dcterms:modified xsi:type="dcterms:W3CDTF">2026-05-22T07:33:00Z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F02013298895201CCCA6CB9D47243880B00D127D57ECCFC5BC89156884A9967241834D4097BF8D880E9892FE088C5073389C9A9125E2ACD4559B70CEDA85E455</vt:lpwstr>
  </property>
</Properties>
</file>