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380"/>
        <w:jc w:val="left"/>
      </w:pPr>
      <w:r>
        <w:rPr>
          <w:rFonts w:ascii="Malgun Gothic" w:cs="Malgun Gothic" w:eastAsia="Malgun Gothic" w:hAnsi="Malgun Gothic"/>
          <w:b/>
          <w:bCs/>
          <w:color w:val="1A2254"/>
          <w:sz w:val="40"/>
          <w:szCs w:val="40"/>
        </w:rPr>
        <w:t xml:space="preserve">2026년 9월 글로벌 해상 컨테이너 시황</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1A2254" w:color="auto" w:val="clear"/>
            <w:tcMar>
              <w:top w:type="dxa" w:w="260"/>
              <w:left w:type="dxa" w:w="300"/>
              <w:bottom w:type="dxa" w:w="260"/>
              <w:right w:type="dxa" w:w="300"/>
            </w:tcMar>
          </w:tcPr>
          <w:p>
            <w:pPr>
              <w:spacing w:after="0" w:before="0" w:line="360"/>
              <w:jc w:val="left"/>
            </w:pPr>
            <w:r>
              <w:rPr>
                <w:rFonts w:ascii="Malgun Gothic" w:cs="Malgun Gothic" w:eastAsia="Malgun Gothic" w:hAnsi="Malgun Gothic"/>
                <w:b/>
                <w:bCs/>
                <w:color w:val="FFFFFF"/>
                <w:sz w:val="24"/>
                <w:szCs w:val="24"/>
              </w:rPr>
              <w:t xml:space="preserve">미주 강세는 이어지고, 파나마 통항 축소와 로테르담 파업이 공급 부담을 다시 키우고 있습니다</w:t>
            </w:r>
          </w:p>
        </w:tc>
      </w:tr>
    </w:tbl>
    <w:p>
      <w:pPr>
        <w:spacing w:after="280"/>
      </w:pPr>
      <w:r>
        <w:rPr>
          <w:sz w:val="2"/>
          <w:szCs w:val="2"/>
        </w:rPr>
        <w:t xml:space="preserve"/>
      </w:r>
    </w:p>
    <w:p>
      <w:pPr>
        <w:spacing w:after="180" w:before="0" w:line="320"/>
        <w:jc w:val="left"/>
      </w:pPr>
      <w:r>
        <w:rPr>
          <w:rFonts w:ascii="Malgun Gothic" w:cs="Malgun Gothic" w:eastAsia="Malgun Gothic" w:hAnsi="Malgun Gothic"/>
          <w:b w:val="false"/>
          <w:bCs w:val="false"/>
          <w:color w:val="2B3140"/>
          <w:sz w:val="22"/>
          <w:szCs w:val="22"/>
        </w:rPr>
        <w:t xml:space="preserve">2026년 글로벌 컨테이너 물동은 전년 대비 3.8% 증가할 것으로 전망되는 반면, 글로벌 컨테이너선 공급은 4.6% 증가해 수요 증가율을 웃돌 것으로 예상됩니다. 그러나 홍해 우회와 호르무즈 통항 불확실성이 선박의 항해 거리와 회전 시간을 늘리면서 실제 가용 선복을 흡수하고 있어, 명목 공급 증가와 시장 체감 공급 사이에는 여전히 차이가 나타나고 있습니다.</w:t>
      </w:r>
    </w:p>
    <w:p>
      <w:pPr>
        <w:spacing w:after="180" w:before="0" w:line="320"/>
        <w:jc w:val="left"/>
      </w:pPr>
      <w:r>
        <w:rPr>
          <w:rFonts w:ascii="Malgun Gothic" w:cs="Malgun Gothic" w:eastAsia="Malgun Gothic" w:hAnsi="Malgun Gothic"/>
          <w:b w:val="false"/>
          <w:bCs w:val="false"/>
          <w:color w:val="2B3140"/>
          <w:sz w:val="22"/>
          <w:szCs w:val="22"/>
        </w:rPr>
        <w:t xml:space="preserve">운임은 항로별로 서로 다른 흐름을 이어가고 있습니다. 36주차 SCFI 종합지수는 전주 대비 2.3% 상승하며 6주 연속 상승세를 이어갔고, 미서안과 미동안은 견조한 미국 수요와 중국 태풍에 따른 항만 운영 차질, 파나마 통항 제약 우려가 겹치며 각각 전월 대비 10.9%·15.7% 상승했습니다. 반면 북유럽과 지중해는 성수기 물량 소진으로 각각 11.3%·14.2% 하락했고, 남미동안과 중동은 공급 제약이 이어지며 각각 20.7%·26.2% 상승했습니다. 본 백서는 글로벌 컨테이너 수요와 선대, 항로별 선박 배치, 운항 정시성과 항만 체선, SCFI 흐름과 삼성SDS 단기 운임 전망을 함께 살펴봅니다.</w:t>
      </w:r>
    </w:p>
    <w:p>
      <w:pPr>
        <w:spacing w:after="120"/>
      </w:pPr>
      <w:r>
        <w:rPr>
          <w:sz w:val="2"/>
          <w:szCs w:val="2"/>
        </w:rPr>
        <w:t xml:space="preserve"/>
      </w:r>
    </w:p>
    <w:p>
      <w:pPr>
        <w:spacing w:after="60" w:before="0" w:line="320"/>
        <w:jc w:val="left"/>
      </w:pPr>
      <w:r>
        <w:rPr>
          <w:rFonts w:ascii="Malgun Gothic" w:cs="Malgun Gothic" w:eastAsia="Malgun Gothic" w:hAnsi="Malgun Gothic"/>
          <w:b w:val="false"/>
          <w:bCs w:val="false"/>
          <w:color w:val="6B7280"/>
          <w:sz w:val="18"/>
          <w:szCs w:val="18"/>
        </w:rPr>
        <w:t xml:space="preserve">게시일자 : 2026년 9월 12일</w:t>
      </w:r>
    </w:p>
    <w:p>
      <w:pPr>
        <w:spacing w:after="240" w:before="0" w:line="320"/>
        <w:jc w:val="left"/>
      </w:pPr>
      <w:r>
        <w:rPr>
          <w:rFonts w:ascii="Malgun Gothic" w:cs="Malgun Gothic" w:eastAsia="Malgun Gothic" w:hAnsi="Malgun Gothic"/>
          <w:b/>
          <w:bCs/>
          <w:color w:val="1A2254"/>
          <w:sz w:val="20"/>
          <w:szCs w:val="20"/>
        </w:rPr>
        <w:t xml:space="preserve">삼성SDS 물류사업부  ·  Powered by Cello Square</w:t>
      </w:r>
    </w:p>
    <w:p>
      <w:pPr>
        <w:pBdr>
          <w:bottom w:val="single" w:color="1A2254" w:sz="12" w:space="1"/>
        </w:pBdr>
        <w:spacing w:after="320"/>
      </w:pPr>
      <w:r>
        <w:rPr>
          <w:sz w:val="2"/>
          <w:szCs w:val="2"/>
        </w:rPr>
        <w:t xml:space="preserv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1A2254" w:color="auto" w:val="clear"/>
            <w:tcMar>
              <w:top w:type="dxa" w:w="200"/>
              <w:left w:type="dxa" w:w="260"/>
              <w:bottom w:type="dxa" w:w="200"/>
              <w:right w:type="dxa" w:w="260"/>
            </w:tcMar>
          </w:tcPr>
          <w:p>
            <w:pPr>
              <w:spacing w:after="0" w:before="0" w:line="300"/>
              <w:jc w:val="left"/>
            </w:pPr>
            <w:r>
              <w:rPr>
                <w:rFonts w:ascii="Malgun Gothic" w:cs="Malgun Gothic" w:eastAsia="Malgun Gothic" w:hAnsi="Malgun Gothic"/>
                <w:b/>
                <w:bCs/>
                <w:color w:val="FFFFFF"/>
                <w:sz w:val="26"/>
                <w:szCs w:val="26"/>
              </w:rPr>
              <w:t xml:space="preserve">주요 개념 정의</w:t>
            </w:r>
          </w:p>
        </w:tc>
      </w:tr>
    </w:tbl>
    <w:p>
      <w:pPr>
        <w:spacing w:after="240"/>
      </w:pPr>
      <w:r>
        <w:rPr>
          <w:sz w:val="2"/>
          <w:szCs w:val="2"/>
        </w:rPr>
        <w:t xml:space="preserv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7B39E"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Malgun Gothic" w:cs="Malgun Gothic" w:eastAsia="Malgun Gothic" w:hAnsi="Malgun Gothic"/>
                <w:b/>
                <w:bCs/>
                <w:color w:val="1A2254"/>
                <w:sz w:val="22"/>
                <w:szCs w:val="22"/>
              </w:rPr>
              <w:t xml:space="preserve">TEU, Twenty-foot Equivalent Unit</w:t>
            </w:r>
          </w:p>
        </w:tc>
      </w:tr>
    </w:tbl>
    <w:p>
      <w:pPr>
        <w:spacing w:after="140"/>
      </w:pPr>
      <w:r>
        <w:rPr>
          <w:sz w:val="2"/>
          <w:szCs w:val="2"/>
        </w:rPr>
        <w:t xml:space="preserve"/>
      </w:r>
    </w:p>
    <w:p>
      <w:pPr>
        <w:spacing w:after="260" w:before="0" w:line="320"/>
        <w:jc w:val="left"/>
      </w:pPr>
      <w:r>
        <w:rPr>
          <w:rFonts w:ascii="Malgun Gothic" w:cs="Malgun Gothic" w:eastAsia="Malgun Gothic" w:hAnsi="Malgun Gothic"/>
          <w:b w:val="false"/>
          <w:bCs w:val="false"/>
          <w:color w:val="2B3140"/>
          <w:sz w:val="20"/>
          <w:szCs w:val="20"/>
        </w:rPr>
        <w:t xml:space="preserve">20피트 컨테이너 1개를 기준으로 환산한 컨테이너 운송 용량 단위입니다. 컨테이너 물동량과 선대 규모, 신조선 인도량 등을 비교할 때 공통 기준으로 활용됩니다.</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7B39E"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Malgun Gothic" w:cs="Malgun Gothic" w:eastAsia="Malgun Gothic" w:hAnsi="Malgun Gothic"/>
                <w:b/>
                <w:bCs/>
                <w:color w:val="1A2254"/>
                <w:sz w:val="22"/>
                <w:szCs w:val="22"/>
              </w:rPr>
              <w:t xml:space="preserve">글로벌 컨테이너 물동</w:t>
            </w:r>
          </w:p>
        </w:tc>
      </w:tr>
    </w:tbl>
    <w:p>
      <w:pPr>
        <w:spacing w:after="140"/>
      </w:pPr>
      <w:r>
        <w:rPr>
          <w:sz w:val="2"/>
          <w:szCs w:val="2"/>
        </w:rPr>
        <w:t xml:space="preserve"/>
      </w:r>
    </w:p>
    <w:p>
      <w:pPr>
        <w:spacing w:after="260" w:before="0" w:line="320"/>
        <w:jc w:val="left"/>
      </w:pPr>
      <w:r>
        <w:rPr>
          <w:rFonts w:ascii="Malgun Gothic" w:cs="Malgun Gothic" w:eastAsia="Malgun Gothic" w:hAnsi="Malgun Gothic"/>
          <w:b w:val="false"/>
          <w:bCs w:val="false"/>
          <w:color w:val="2B3140"/>
          <w:sz w:val="20"/>
          <w:szCs w:val="20"/>
        </w:rPr>
        <w:t xml:space="preserve">전 세계 주요 항로에서 운송되는 컨테이너 화물의 규모를 의미합니다. 본 백서에서는 글로벌 전체와 아시아-북미, 아시아-유럽 등 주요 항로별 성장률 전망을 함께 살펴봅니다.</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7B39E"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Malgun Gothic" w:cs="Malgun Gothic" w:eastAsia="Malgun Gothic" w:hAnsi="Malgun Gothic"/>
                <w:b/>
                <w:bCs/>
                <w:color w:val="1A2254"/>
                <w:sz w:val="22"/>
                <w:szCs w:val="22"/>
              </w:rPr>
              <w:t xml:space="preserve">사전 선적, Front-loading</w:t>
            </w:r>
          </w:p>
        </w:tc>
      </w:tr>
    </w:tbl>
    <w:p>
      <w:pPr>
        <w:spacing w:after="140"/>
      </w:pPr>
      <w:r>
        <w:rPr>
          <w:sz w:val="2"/>
          <w:szCs w:val="2"/>
        </w:rPr>
        <w:t xml:space="preserve"/>
      </w:r>
    </w:p>
    <w:p>
      <w:pPr>
        <w:spacing w:after="260" w:before="0" w:line="320"/>
        <w:jc w:val="left"/>
      </w:pPr>
      <w:r>
        <w:rPr>
          <w:rFonts w:ascii="Malgun Gothic" w:cs="Malgun Gothic" w:eastAsia="Malgun Gothic" w:hAnsi="Malgun Gothic"/>
          <w:b w:val="false"/>
          <w:bCs w:val="false"/>
          <w:color w:val="2B3140"/>
          <w:sz w:val="20"/>
          <w:szCs w:val="20"/>
        </w:rPr>
        <w:t xml:space="preserve">향후 관세 인상이나 정책 변경, 공급망 차질에 대비해 예정된 수입 물량을 앞당겨 선적하는 것을 의미합니다. 2026년 미국 시장에서는 추가 관세 불확실성이 사전 선적 수요를 지지하는 변수로 작용하고 있습니다.</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7B39E"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Malgun Gothic" w:cs="Malgun Gothic" w:eastAsia="Malgun Gothic" w:hAnsi="Malgun Gothic"/>
                <w:b/>
                <w:bCs/>
                <w:color w:val="1A2254"/>
                <w:sz w:val="22"/>
                <w:szCs w:val="22"/>
              </w:rPr>
              <w:t xml:space="preserve">유효선복, Effective Capacity</w:t>
            </w:r>
          </w:p>
        </w:tc>
      </w:tr>
    </w:tbl>
    <w:p>
      <w:pPr>
        <w:spacing w:after="140"/>
      </w:pPr>
      <w:r>
        <w:rPr>
          <w:sz w:val="2"/>
          <w:szCs w:val="2"/>
        </w:rPr>
        <w:t xml:space="preserve"/>
      </w:r>
    </w:p>
    <w:p>
      <w:pPr>
        <w:spacing w:after="260" w:before="0" w:line="320"/>
        <w:jc w:val="left"/>
      </w:pPr>
      <w:r>
        <w:rPr>
          <w:rFonts w:ascii="Malgun Gothic" w:cs="Malgun Gothic" w:eastAsia="Malgun Gothic" w:hAnsi="Malgun Gothic"/>
          <w:b w:val="false"/>
          <w:bCs w:val="false"/>
          <w:color w:val="2B3140"/>
          <w:sz w:val="20"/>
          <w:szCs w:val="20"/>
        </w:rPr>
        <w:t xml:space="preserve">전체 선대 가운데 실제 시장에서 운송에 활용할 수 있는 공급 능력을 의미합니다. 우회 운항이나 항만 지연, 운하 제약으로 항해 시간이 길어지면 선대 규모가 늘어도 유효선복은 제한될 수 있습니다.</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7B39E"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Malgun Gothic" w:cs="Malgun Gothic" w:eastAsia="Malgun Gothic" w:hAnsi="Malgun Gothic"/>
                <w:b/>
                <w:bCs/>
                <w:color w:val="1A2254"/>
                <w:sz w:val="22"/>
                <w:szCs w:val="22"/>
              </w:rPr>
              <w:t xml:space="preserve">운항 정시성, Schedule Reliability</w:t>
            </w:r>
          </w:p>
        </w:tc>
      </w:tr>
    </w:tbl>
    <w:p>
      <w:pPr>
        <w:spacing w:after="140"/>
      </w:pPr>
      <w:r>
        <w:rPr>
          <w:sz w:val="2"/>
          <w:szCs w:val="2"/>
        </w:rPr>
        <w:t xml:space="preserve"/>
      </w:r>
    </w:p>
    <w:p>
      <w:pPr>
        <w:spacing w:after="260" w:before="0" w:line="320"/>
        <w:jc w:val="left"/>
      </w:pPr>
      <w:r>
        <w:rPr>
          <w:rFonts w:ascii="Malgun Gothic" w:cs="Malgun Gothic" w:eastAsia="Malgun Gothic" w:hAnsi="Malgun Gothic"/>
          <w:b w:val="false"/>
          <w:bCs w:val="false"/>
          <w:color w:val="2B3140"/>
          <w:sz w:val="20"/>
          <w:szCs w:val="20"/>
        </w:rPr>
        <w:t xml:space="preserve">선박이 예정된 스케줄에 맞춰 운항하는 정도를 나타내는 지표입니다. 정시성이 낮아지면 도착 지연과 연결 운송 차질이 발생할 수 있어 공급망 안정성을 판단하는 주요 지표로 활용됩니다.</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7B39E"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Malgun Gothic" w:cs="Malgun Gothic" w:eastAsia="Malgun Gothic" w:hAnsi="Malgun Gothic"/>
                <w:b/>
                <w:bCs/>
                <w:color w:val="1A2254"/>
                <w:sz w:val="22"/>
                <w:szCs w:val="22"/>
              </w:rPr>
              <w:t xml:space="preserve">항만 체선, Port Congestion</w:t>
            </w:r>
          </w:p>
        </w:tc>
      </w:tr>
    </w:tbl>
    <w:p>
      <w:pPr>
        <w:spacing w:after="140"/>
      </w:pPr>
      <w:r>
        <w:rPr>
          <w:sz w:val="2"/>
          <w:szCs w:val="2"/>
        </w:rPr>
        <w:t xml:space="preserve"/>
      </w:r>
    </w:p>
    <w:p>
      <w:pPr>
        <w:spacing w:after="260" w:before="0" w:line="320"/>
        <w:jc w:val="left"/>
      </w:pPr>
      <w:r>
        <w:rPr>
          <w:rFonts w:ascii="Malgun Gothic" w:cs="Malgun Gothic" w:eastAsia="Malgun Gothic" w:hAnsi="Malgun Gothic"/>
          <w:b w:val="false"/>
          <w:bCs w:val="false"/>
          <w:color w:val="2B3140"/>
          <w:sz w:val="20"/>
          <w:szCs w:val="20"/>
        </w:rPr>
        <w:t xml:space="preserve">선박이 항만 입항부터 접안·출항까지 대기하는 정도를 의미합니다. 체선이 증가하면 선박 회전율이 낮아지고 실제 가용 선복과 리드타임에도 영향을 줄 수 있습니다.</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7B39E"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Malgun Gothic" w:cs="Malgun Gothic" w:eastAsia="Malgun Gothic" w:hAnsi="Malgun Gothic"/>
                <w:b/>
                <w:bCs/>
                <w:color w:val="1A2254"/>
                <w:sz w:val="22"/>
                <w:szCs w:val="22"/>
              </w:rPr>
              <w:t xml:space="preserve">SCFI, Shanghai Containerized Freight Index</w:t>
            </w:r>
          </w:p>
        </w:tc>
      </w:tr>
    </w:tbl>
    <w:p>
      <w:pPr>
        <w:spacing w:after="140"/>
      </w:pPr>
      <w:r>
        <w:rPr>
          <w:sz w:val="2"/>
          <w:szCs w:val="2"/>
        </w:rPr>
        <w:t xml:space="preserve"/>
      </w:r>
    </w:p>
    <w:p>
      <w:pPr>
        <w:spacing w:after="260" w:before="0" w:line="320"/>
        <w:jc w:val="left"/>
      </w:pPr>
      <w:r>
        <w:rPr>
          <w:rFonts w:ascii="Malgun Gothic" w:cs="Malgun Gothic" w:eastAsia="Malgun Gothic" w:hAnsi="Malgun Gothic"/>
          <w:b w:val="false"/>
          <w:bCs w:val="false"/>
          <w:color w:val="2B3140"/>
          <w:sz w:val="20"/>
          <w:szCs w:val="20"/>
        </w:rPr>
        <w:t xml:space="preserve">상하이발 주요 컨테이너 항로의 시장 운임 흐름을 나타내는 대표적인 해상운임 지수입니다. 종합지수와 미서안·미동안·북유럽·지중해·중동 등 주요 항로의 운임 변화를 비교하는 데 활용됩니다.</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7B39E"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Malgun Gothic" w:cs="Malgun Gothic" w:eastAsia="Malgun Gothic" w:hAnsi="Malgun Gothic"/>
                <w:b/>
                <w:bCs/>
                <w:color w:val="1A2254"/>
                <w:sz w:val="22"/>
                <w:szCs w:val="22"/>
              </w:rPr>
              <w:t xml:space="preserve">GRI, General Rate Increase</w:t>
            </w:r>
          </w:p>
        </w:tc>
      </w:tr>
    </w:tbl>
    <w:p>
      <w:pPr>
        <w:spacing w:after="140"/>
      </w:pPr>
      <w:r>
        <w:rPr>
          <w:sz w:val="2"/>
          <w:szCs w:val="2"/>
        </w:rPr>
        <w:t xml:space="preserve"/>
      </w:r>
    </w:p>
    <w:p>
      <w:pPr>
        <w:spacing w:after="240" w:before="0" w:line="320"/>
        <w:jc w:val="left"/>
      </w:pPr>
      <w:r>
        <w:rPr>
          <w:rFonts w:ascii="Malgun Gothic" w:cs="Malgun Gothic" w:eastAsia="Malgun Gothic" w:hAnsi="Malgun Gothic"/>
          <w:b w:val="false"/>
          <w:bCs w:val="false"/>
          <w:color w:val="2B3140"/>
          <w:sz w:val="20"/>
          <w:szCs w:val="20"/>
        </w:rPr>
        <w:t xml:space="preserve">선사가 특정 시점부터 기본 운임을 인상하는 조치를 의미합니다. 실제 운임 반영 정도는 수요, 가용 선복, 선사의 공급 관리 수준에 따라 달라질 수 있습니다.</w:t>
      </w:r>
    </w:p>
    <w:p>
      <w:pPr>
        <w:spacing w:after="200"/>
      </w:pPr>
      <w:r>
        <w:rPr>
          <w:sz w:val="2"/>
          <w:szCs w:val="2"/>
        </w:rPr>
        <w:t xml:space="preserv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1A2254" w:color="auto" w:val="clear"/>
            <w:tcMar>
              <w:top w:type="dxa" w:w="200"/>
              <w:left w:type="dxa" w:w="260"/>
              <w:bottom w:type="dxa" w:w="200"/>
              <w:right w:type="dxa" w:w="260"/>
            </w:tcMar>
          </w:tcPr>
          <w:p>
            <w:pPr>
              <w:spacing w:after="0" w:before="0" w:line="300"/>
              <w:jc w:val="left"/>
            </w:pPr>
            <w:r>
              <w:rPr>
                <w:rFonts w:ascii="Malgun Gothic" w:cs="Malgun Gothic" w:eastAsia="Malgun Gothic" w:hAnsi="Malgun Gothic"/>
                <w:b/>
                <w:bCs/>
                <w:color w:val="FFFFFF"/>
                <w:sz w:val="26"/>
                <w:szCs w:val="26"/>
              </w:rPr>
              <w:t xml:space="preserve">2026년 9월 해상 컨테이너 시장, 핵심 질문으로 살펴보기</w:t>
            </w:r>
          </w:p>
        </w:tc>
      </w:tr>
    </w:tbl>
    <w:p>
      <w:pPr>
        <w:spacing w:after="240"/>
      </w:pPr>
      <w:r>
        <w:rPr>
          <w:sz w:val="2"/>
          <w:szCs w:val="2"/>
        </w:rPr>
        <w:t xml:space="preserv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7B39E"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Malgun Gothic" w:cs="Malgun Gothic" w:eastAsia="Malgun Gothic" w:hAnsi="Malgun Gothic"/>
                <w:b/>
                <w:bCs/>
                <w:color w:val="1A2254"/>
                <w:sz w:val="22"/>
                <w:szCs w:val="22"/>
              </w:rPr>
              <w:t xml:space="preserve">Q1.  2026년 글로벌 컨테이너 수요는 어떻게 전망되나요?</w:t>
            </w:r>
          </w:p>
        </w:tc>
      </w:tr>
    </w:tbl>
    <w:p>
      <w:pPr>
        <w:spacing w:after="140"/>
      </w:pPr>
      <w:r>
        <w:rPr>
          <w:sz w:val="2"/>
          <w:szCs w:val="2"/>
        </w:rPr>
        <w:t xml:space="preserve"/>
      </w:r>
    </w:p>
    <w:p>
      <w:pPr>
        <w:spacing w:after="160" w:before="0" w:line="320"/>
        <w:jc w:val="left"/>
      </w:pPr>
      <w:r>
        <w:rPr>
          <w:rFonts w:ascii="Malgun Gothic" w:cs="Malgun Gothic" w:eastAsia="Malgun Gothic" w:hAnsi="Malgun Gothic"/>
          <w:b w:val="false"/>
          <w:bCs w:val="false"/>
          <w:color w:val="2B3140"/>
          <w:sz w:val="20"/>
          <w:szCs w:val="20"/>
        </w:rPr>
        <w:t xml:space="preserve">2026년 글로벌 컨테이너 물동은 전년 대비 3.8% 증가할 전망입니다. 미국향 수요가 예상보다 견조한 반면 유럽향은 조기 성수기(5~7월) 이후 빠르게 둔화되며 항로별 차이가 확대되는 흐름입니다.</w:t>
      </w:r>
    </w:p>
    <w:p>
      <w:pPr>
        <w:spacing w:after="280" w:before="0" w:line="320"/>
        <w:jc w:val="left"/>
      </w:pPr>
      <w:r>
        <w:rPr>
          <w:rFonts w:ascii="Malgun Gothic" w:cs="Malgun Gothic" w:eastAsia="Malgun Gothic" w:hAnsi="Malgun Gothic"/>
          <w:b w:val="false"/>
          <w:bCs w:val="false"/>
          <w:color w:val="2B3140"/>
          <w:sz w:val="20"/>
          <w:szCs w:val="20"/>
        </w:rPr>
        <w:t xml:space="preserve">3분기 아시아-북미 물동은 전년 동기 대비 1.7% 감소 전망이나 2025년 3분기 7.6% 감소 대비 감소폭이 크게 축소되었고, 아시아-유럽은 조기 성수기 이후 물동이 빠르게 감소하며 1.3% 증가에 그칠 것으로 예상됩니다.</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7B39E"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Malgun Gothic" w:cs="Malgun Gothic" w:eastAsia="Malgun Gothic" w:hAnsi="Malgun Gothic"/>
                <w:b/>
                <w:bCs/>
                <w:color w:val="1A2254"/>
                <w:sz w:val="22"/>
                <w:szCs w:val="22"/>
              </w:rPr>
              <w:t xml:space="preserve">Q2.  미국 수입 물동은 관세 불확실성의 영향을 어떻게 받고 있나요?</w:t>
            </w:r>
          </w:p>
        </w:tc>
      </w:tr>
    </w:tbl>
    <w:p>
      <w:pPr>
        <w:spacing w:after="140"/>
      </w:pPr>
      <w:r>
        <w:rPr>
          <w:sz w:val="2"/>
          <w:szCs w:val="2"/>
        </w:rPr>
        <w:t xml:space="preserve"/>
      </w:r>
    </w:p>
    <w:p>
      <w:pPr>
        <w:spacing w:after="160" w:before="0" w:line="320"/>
        <w:jc w:val="left"/>
      </w:pPr>
      <w:r>
        <w:rPr>
          <w:rFonts w:ascii="Malgun Gothic" w:cs="Malgun Gothic" w:eastAsia="Malgun Gothic" w:hAnsi="Malgun Gothic"/>
          <w:b w:val="false"/>
          <w:bCs w:val="false"/>
          <w:color w:val="2B3140"/>
          <w:sz w:val="20"/>
          <w:szCs w:val="20"/>
        </w:rPr>
        <w:t xml:space="preserve">2026년 8월 미국 주요 항만 수입은 2.29백만 TEU, 9월은 2.31백만 TEU로 연중 최대 수준이 전망됩니다. 견조한 소비와 소매업체 상품 수입이 이어지는 가운데, 중국 기상 악화와 파나마 우회로 일부 화물 도착이 늦어지며 성수기가 예상보다 장기화되고 있습니다.</w:t>
      </w:r>
    </w:p>
    <w:p>
      <w:pPr>
        <w:spacing w:after="280" w:before="0" w:line="320"/>
        <w:jc w:val="left"/>
      </w:pPr>
      <w:r>
        <w:rPr>
          <w:rFonts w:ascii="Malgun Gothic" w:cs="Malgun Gothic" w:eastAsia="Malgun Gothic" w:hAnsi="Malgun Gothic"/>
          <w:b w:val="false"/>
          <w:bCs w:val="false"/>
          <w:color w:val="2B3140"/>
          <w:sz w:val="20"/>
          <w:szCs w:val="20"/>
        </w:rPr>
        <w:t xml:space="preserve">4분기 수입은 10~12월 각각 2.11·2.00·2.03백만 TEU로 9월 고점 이후 연말까지 점진적 둔화 흐름이 이어질 전망입니다.</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7B39E"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Malgun Gothic" w:cs="Malgun Gothic" w:eastAsia="Malgun Gothic" w:hAnsi="Malgun Gothic"/>
                <w:b/>
                <w:bCs/>
                <w:color w:val="1A2254"/>
                <w:sz w:val="22"/>
                <w:szCs w:val="22"/>
              </w:rPr>
              <w:t xml:space="preserve">Q3.  선대가 늘어나는데도 왜 실제 공급은 타이트할 수 있나요?</w:t>
            </w:r>
          </w:p>
        </w:tc>
      </w:tr>
    </w:tbl>
    <w:p>
      <w:pPr>
        <w:spacing w:after="140"/>
      </w:pPr>
      <w:r>
        <w:rPr>
          <w:sz w:val="2"/>
          <w:szCs w:val="2"/>
        </w:rPr>
        <w:t xml:space="preserve"/>
      </w:r>
    </w:p>
    <w:p>
      <w:pPr>
        <w:spacing w:after="160" w:before="0" w:line="320"/>
        <w:jc w:val="left"/>
      </w:pPr>
      <w:r>
        <w:rPr>
          <w:rFonts w:ascii="Malgun Gothic" w:cs="Malgun Gothic" w:eastAsia="Malgun Gothic" w:hAnsi="Malgun Gothic"/>
          <w:b w:val="false"/>
          <w:bCs w:val="false"/>
          <w:color w:val="2B3140"/>
          <w:sz w:val="20"/>
          <w:szCs w:val="20"/>
        </w:rPr>
        <w:t xml:space="preserve">2026년 글로벌 컨테이너 선대는 34.6백만 TEU로 전년 대비 4.6% 증가할 전망이며, 신조선 인도는 약 1.6백만 TEU가 예상됩니다. 명목상 공급 증가율은 수요 증가율을 웃돕니다.</w:t>
      </w:r>
    </w:p>
    <w:p>
      <w:pPr>
        <w:spacing w:after="280" w:before="0" w:line="320"/>
        <w:jc w:val="left"/>
      </w:pPr>
      <w:r>
        <w:rPr>
          <w:rFonts w:ascii="Malgun Gothic" w:cs="Malgun Gothic" w:eastAsia="Malgun Gothic" w:hAnsi="Malgun Gothic"/>
          <w:b w:val="false"/>
          <w:bCs w:val="false"/>
          <w:color w:val="2B3140"/>
          <w:sz w:val="20"/>
          <w:szCs w:val="20"/>
        </w:rPr>
        <w:t xml:space="preserve">그러나 홍해 우회와 호르무즈 통항 불확실성이 항해 거리를 늘리며 유효선복을 제약하고 있습니다. 2027년 이후 신조선 인도 확대와 맞물려 중장기 공급 부담이 커질 가능성도 있어, 단기 공급은 선사들의 공급 관리 수준에 크게 좌우될 전망입니다.</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7B39E"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Malgun Gothic" w:cs="Malgun Gothic" w:eastAsia="Malgun Gothic" w:hAnsi="Malgun Gothic"/>
                <w:b/>
                <w:bCs/>
                <w:color w:val="1A2254"/>
                <w:sz w:val="22"/>
                <w:szCs w:val="22"/>
              </w:rPr>
              <w:t xml:space="preserve">Q4.  주요 항로의 선박 배치는 어떻게 변하고 있나요?</w:t>
            </w:r>
          </w:p>
        </w:tc>
      </w:tr>
    </w:tbl>
    <w:p>
      <w:pPr>
        <w:spacing w:after="140"/>
      </w:pPr>
      <w:r>
        <w:rPr>
          <w:sz w:val="2"/>
          <w:szCs w:val="2"/>
        </w:rPr>
        <w:t xml:space="preserve"/>
      </w:r>
    </w:p>
    <w:p>
      <w:pPr>
        <w:spacing w:after="160" w:before="0" w:line="320"/>
        <w:jc w:val="left"/>
      </w:pPr>
      <w:r>
        <w:rPr>
          <w:rFonts w:ascii="Malgun Gothic" w:cs="Malgun Gothic" w:eastAsia="Malgun Gothic" w:hAnsi="Malgun Gothic"/>
          <w:b w:val="false"/>
          <w:bCs w:val="false"/>
          <w:color w:val="2B3140"/>
          <w:sz w:val="20"/>
          <w:szCs w:val="20"/>
        </w:rPr>
        <w:t xml:space="preserve">9월 아시아-미서안 투입 선박은 138척으로 전월 대비 3.0% 증가, 아시아-미동안은 75척으로 4.2% 증가할 전망입니다. 국경절 전 선적 집중과 견조한 미국 수요에 대응해 공급이 확대되고 있습니다.</w:t>
      </w:r>
    </w:p>
    <w:p>
      <w:pPr>
        <w:spacing w:after="280" w:before="0" w:line="320"/>
        <w:jc w:val="left"/>
      </w:pPr>
      <w:r>
        <w:rPr>
          <w:rFonts w:ascii="Malgun Gothic" w:cs="Malgun Gothic" w:eastAsia="Malgun Gothic" w:hAnsi="Malgun Gothic"/>
          <w:b w:val="false"/>
          <w:bCs w:val="false"/>
          <w:color w:val="2B3140"/>
          <w:sz w:val="20"/>
          <w:szCs w:val="20"/>
        </w:rPr>
        <w:t xml:space="preserve">아시아-북유럽은 109척으로 12.4% 증가, 아시아-지중해는 134척으로 4.7% 증가할 전망입니다. 유럽 노선은 성수기 수요 둔화 속 공급 확대와 일부 선사의 수에즈 복귀에 따른 운항거리 단축이 겹치며 공급 부담이 커질 것으로 예상됩니다.</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7B39E"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Malgun Gothic" w:cs="Malgun Gothic" w:eastAsia="Malgun Gothic" w:hAnsi="Malgun Gothic"/>
                <w:b/>
                <w:bCs/>
                <w:color w:val="1A2254"/>
                <w:sz w:val="22"/>
                <w:szCs w:val="22"/>
              </w:rPr>
              <w:t xml:space="preserve">Q5.  운항 정시성과 항만 체선은 어떤 흐름을 보이고 있나요?</w:t>
            </w:r>
          </w:p>
        </w:tc>
      </w:tr>
    </w:tbl>
    <w:p>
      <w:pPr>
        <w:spacing w:after="140"/>
      </w:pPr>
      <w:r>
        <w:rPr>
          <w:sz w:val="2"/>
          <w:szCs w:val="2"/>
        </w:rPr>
        <w:t xml:space="preserve"/>
      </w:r>
    </w:p>
    <w:p>
      <w:pPr>
        <w:spacing w:after="160" w:before="0" w:line="320"/>
        <w:jc w:val="left"/>
      </w:pPr>
      <w:r>
        <w:rPr>
          <w:rFonts w:ascii="Malgun Gothic" w:cs="Malgun Gothic" w:eastAsia="Malgun Gothic" w:hAnsi="Malgun Gothic"/>
          <w:b w:val="false"/>
          <w:bCs w:val="false"/>
          <w:color w:val="2B3140"/>
          <w:sz w:val="20"/>
          <w:szCs w:val="20"/>
        </w:rPr>
        <w:t xml:space="preserve">7월 글로벌 운항 정시성은 56.4%로 6월 대비 6.1%p 하락했습니다. 아시아-미서안은 69.7%(-3.0%p), 아시아-미동안은 71.5%(+1.7%p), 아시아-북유럽은 65.0%(-3.6%p)로 미동안을 제외한 주요 항로에서 정시성이 악화되었습니다.</w:t>
      </w:r>
    </w:p>
    <w:p>
      <w:pPr>
        <w:spacing w:after="280" w:before="0" w:line="320"/>
        <w:jc w:val="left"/>
      </w:pPr>
      <w:r>
        <w:rPr>
          <w:rFonts w:ascii="Malgun Gothic" w:cs="Malgun Gothic" w:eastAsia="Malgun Gothic" w:hAnsi="Malgun Gothic"/>
          <w:b w:val="false"/>
          <w:bCs w:val="false"/>
          <w:color w:val="2B3140"/>
          <w:sz w:val="20"/>
          <w:szCs w:val="20"/>
        </w:rPr>
        <w:t xml:space="preserve">36주차 항만 체선은 항만별로 차별화됐습니다. 상하이는 212.1척으로 태풍 영향이 반복되며 재확대되었고, 롱비치는 26.8척으로 3주 연속 증가했습니다. 로테르담은 57.8척으로 상반기 대비 물동 부담은 완화됐으나, 최근 파업 등 항만 운영 차질로 단기 혼잡이 다시 확대되고 있습니다.</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60"/>
        <w:gridCol w:w="10380"/>
      </w:tblGrid>
      <w:tr>
        <w:tc>
          <w:tcPr>
            <w:tcW w:type="dxa" w:w="60"/>
            <w:tcBorders>
              <w:top w:val="none" w:color="FFFFFF" w:sz="0"/>
              <w:left w:val="none" w:color="FFFFFF" w:sz="0"/>
              <w:bottom w:val="none" w:color="FFFFFF" w:sz="0"/>
              <w:right w:val="none" w:color="FFFFFF" w:sz="0"/>
            </w:tcBorders>
            <w:shd w:fill="27B39E" w:color="auto" w:val="clear"/>
          </w:tcPr>
          <w:p>
            <w:r>
              <w:rPr>
                <w:sz w:val="2"/>
                <w:szCs w:val="2"/>
              </w:rPr>
              <w:t xml:space="preserve"/>
            </w:r>
          </w:p>
        </w:tc>
        <w:tc>
          <w:tcPr>
            <w:tcW w:type="dxa" w:w="10380"/>
            <w:tcBorders>
              <w:top w:val="none" w:color="FFFFFF" w:sz="0"/>
              <w:left w:val="none" w:color="FFFFFF" w:sz="0"/>
              <w:bottom w:val="none" w:color="FFFFFF" w:sz="0"/>
              <w:right w:val="none" w:color="FFFFFF" w:sz="0"/>
            </w:tcBorders>
            <w:shd w:fill="F5F7FB" w:color="auto" w:val="clear"/>
            <w:tcMar>
              <w:top w:type="dxa" w:w="160"/>
              <w:left w:type="dxa" w:w="240"/>
              <w:bottom w:type="dxa" w:w="160"/>
              <w:right w:type="dxa" w:w="240"/>
            </w:tcMar>
          </w:tcPr>
          <w:p>
            <w:pPr>
              <w:spacing w:after="0" w:before="0" w:line="300"/>
              <w:jc w:val="left"/>
            </w:pPr>
            <w:r>
              <w:rPr>
                <w:rFonts w:ascii="Malgun Gothic" w:cs="Malgun Gothic" w:eastAsia="Malgun Gothic" w:hAnsi="Malgun Gothic"/>
                <w:b/>
                <w:bCs/>
                <w:color w:val="1A2254"/>
                <w:sz w:val="22"/>
                <w:szCs w:val="22"/>
              </w:rPr>
              <w:t xml:space="preserve">Q6.  8월 해상운임은 어떻게 움직였으며, 9월 이후 항로별 전망은 어떤가요?</w:t>
            </w:r>
          </w:p>
        </w:tc>
      </w:tr>
    </w:tbl>
    <w:p>
      <w:pPr>
        <w:spacing w:after="140"/>
      </w:pPr>
      <w:r>
        <w:rPr>
          <w:sz w:val="2"/>
          <w:szCs w:val="2"/>
        </w:rPr>
        <w:t xml:space="preserve"/>
      </w:r>
    </w:p>
    <w:p>
      <w:pPr>
        <w:spacing w:after="160" w:before="0" w:line="320"/>
        <w:jc w:val="left"/>
      </w:pPr>
      <w:r>
        <w:rPr>
          <w:rFonts w:ascii="Malgun Gothic" w:cs="Malgun Gothic" w:eastAsia="Malgun Gothic" w:hAnsi="Malgun Gothic"/>
          <w:b w:val="false"/>
          <w:bCs w:val="false"/>
          <w:color w:val="2B3140"/>
          <w:sz w:val="20"/>
          <w:szCs w:val="20"/>
        </w:rPr>
        <w:t xml:space="preserve">8월 SCFI 종합지수는 전월 대비 6.8% 상승했고 36주차까지 6주 연속 상승 흐름이 이어졌습니다. 미서안은 평균 $6,726/FEU로 10.9%, 미동안은 평균 $9,651/FEU로 15.7% 상승한 반면, 북유럽·지중해는 각각 11.3%·14.2% 하락했고, 남미동안·중동은 각각 20.7%·26.2% 상승했습니다.</w:t>
      </w:r>
    </w:p>
    <w:p>
      <w:pPr>
        <w:spacing w:after="280" w:before="0" w:line="320"/>
        <w:jc w:val="left"/>
      </w:pPr>
      <w:r>
        <w:rPr>
          <w:rFonts w:ascii="Malgun Gothic" w:cs="Malgun Gothic" w:eastAsia="Malgun Gothic" w:hAnsi="Malgun Gothic"/>
          <w:b w:val="false"/>
          <w:bCs w:val="false"/>
          <w:color w:val="2B3140"/>
          <w:sz w:val="20"/>
          <w:szCs w:val="20"/>
        </w:rPr>
        <w:t xml:space="preserve">9월 이후 미주는 중국 항만 정상화 지연, 국경절 전 선적 집중, 파나마 통항 슬롯 축소가 겹치며 강세가 이어질 전망입니다. 북유럽·지중해는 성수기 수요 감소로 하락세가 지속될 가능성이 크고, 남미동안·중동은 각각 제한된 선복 공급과 호르무즈 불확실성으로 높은 수준을 유지할 전망입니다.</w:t>
      </w:r>
    </w:p>
    <w:p>
      <w:pPr>
        <w:spacing w:after="200"/>
      </w:pPr>
      <w:r>
        <w:rPr>
          <w:sz w:val="2"/>
          <w:szCs w:val="2"/>
        </w:rPr>
        <w:t xml:space="preserv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1A2254" w:color="auto" w:val="clear"/>
            <w:tcMar>
              <w:top w:type="dxa" w:w="200"/>
              <w:left w:type="dxa" w:w="260"/>
              <w:bottom w:type="dxa" w:w="200"/>
              <w:right w:type="dxa" w:w="260"/>
            </w:tcMar>
          </w:tcPr>
          <w:p>
            <w:pPr>
              <w:spacing w:after="0" w:before="0" w:line="300"/>
              <w:jc w:val="left"/>
            </w:pPr>
            <w:r>
              <w:rPr>
                <w:rFonts w:ascii="Malgun Gothic" w:cs="Malgun Gothic" w:eastAsia="Malgun Gothic" w:hAnsi="Malgun Gothic"/>
                <w:b/>
                <w:bCs/>
                <w:color w:val="FFFFFF"/>
                <w:sz w:val="26"/>
                <w:szCs w:val="26"/>
              </w:rPr>
              <w:t xml:space="preserve">2026년 9월 해상 컨테이너 시장 핵심 키워드 한눈에 보기</w:t>
            </w:r>
          </w:p>
        </w:tc>
      </w:tr>
    </w:tbl>
    <w:p>
      <w:pPr>
        <w:spacing w:after="240"/>
      </w:pPr>
      <w:r>
        <w:rPr>
          <w:sz w:val="2"/>
          <w:szCs w:val="2"/>
        </w:rP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600"/>
        <w:gridCol w:w="7840"/>
      </w:tblGrid>
      <w:tr>
        <w:trPr>
          <w:tblHeader/>
        </w:trPr>
        <w:tc>
          <w:tcPr>
            <w:tcW w:type="dxa" w:w="2600"/>
            <w:tcBorders>
              <w:top w:val="single" w:color="D5DAE5" w:sz="4"/>
              <w:left w:val="single" w:color="D5DAE5" w:sz="4"/>
              <w:bottom w:val="single" w:color="D5DAE5" w:sz="4"/>
              <w:right w:val="single" w:color="D5DAE5" w:sz="4"/>
            </w:tcBorders>
            <w:shd w:fill="1A2254" w:color="auto" w:val="clear"/>
            <w:tcMar>
              <w:top w:type="dxa" w:w="140"/>
              <w:left w:type="dxa" w:w="200"/>
              <w:bottom w:type="dxa" w:w="140"/>
              <w:right w:type="dxa" w:w="200"/>
            </w:tcMar>
          </w:tcPr>
          <w:p>
            <w:pPr>
              <w:spacing w:after="0" w:before="0" w:line="320"/>
              <w:jc w:val="center"/>
            </w:pPr>
            <w:r>
              <w:rPr>
                <w:rFonts w:ascii="Malgun Gothic" w:cs="Malgun Gothic" w:eastAsia="Malgun Gothic" w:hAnsi="Malgun Gothic"/>
                <w:b/>
                <w:bCs/>
                <w:color w:val="FFFFFF"/>
                <w:sz w:val="20"/>
                <w:szCs w:val="20"/>
              </w:rPr>
              <w:t xml:space="preserve">구분</w:t>
            </w:r>
          </w:p>
        </w:tc>
        <w:tc>
          <w:tcPr>
            <w:tcW w:type="dxa" w:w="7840"/>
            <w:tcBorders>
              <w:top w:val="single" w:color="D5DAE5" w:sz="4"/>
              <w:left w:val="single" w:color="D5DAE5" w:sz="4"/>
              <w:bottom w:val="single" w:color="D5DAE5" w:sz="4"/>
              <w:right w:val="single" w:color="D5DAE5" w:sz="4"/>
            </w:tcBorders>
            <w:shd w:fill="1A2254" w:color="auto" w:val="clear"/>
            <w:tcMar>
              <w:top w:type="dxa" w:w="140"/>
              <w:left w:type="dxa" w:w="200"/>
              <w:bottom w:type="dxa" w:w="140"/>
              <w:right w:type="dxa" w:w="200"/>
            </w:tcMar>
          </w:tcPr>
          <w:p>
            <w:pPr>
              <w:spacing w:after="0" w:before="0" w:line="320"/>
              <w:jc w:val="center"/>
            </w:pPr>
            <w:r>
              <w:rPr>
                <w:rFonts w:ascii="Malgun Gothic" w:cs="Malgun Gothic" w:eastAsia="Malgun Gothic" w:hAnsi="Malgun Gothic"/>
                <w:b/>
                <w:bCs/>
                <w:color w:val="FFFFFF"/>
                <w:sz w:val="20"/>
                <w:szCs w:val="20"/>
              </w:rPr>
              <w:t xml:space="preserve">핵심 내용</w:t>
            </w:r>
          </w:p>
        </w:tc>
      </w:tr>
      <w:tr>
        <w:tc>
          <w:tcPr>
            <w:tcW w:type="dxa" w:w="2600"/>
            <w:tcBorders>
              <w:top w:val="single" w:color="D5DAE5" w:sz="4"/>
              <w:left w:val="single" w:color="D5DAE5" w:sz="4"/>
              <w:bottom w:val="single" w:color="D5DAE5" w:sz="4"/>
              <w:right w:val="single" w:color="D5DAE5" w:sz="4"/>
            </w:tcBorders>
            <w:shd w:fill="F5F7FB" w:color="auto" w:val="clear"/>
            <w:tcMar>
              <w:top w:type="dxa" w:w="140"/>
              <w:left w:type="dxa" w:w="200"/>
              <w:bottom w:type="dxa" w:w="140"/>
              <w:right w:type="dxa" w:w="200"/>
            </w:tcMar>
          </w:tcPr>
          <w:p>
            <w:pPr>
              <w:spacing w:after="0" w:before="0" w:line="300"/>
              <w:jc w:val="left"/>
            </w:pPr>
            <w:r>
              <w:rPr>
                <w:rFonts w:ascii="Malgun Gothic" w:cs="Malgun Gothic" w:eastAsia="Malgun Gothic" w:hAnsi="Malgun Gothic"/>
                <w:b/>
                <w:bCs/>
                <w:color w:val="1A2254"/>
                <w:sz w:val="19"/>
                <w:szCs w:val="19"/>
              </w:rPr>
              <w:t xml:space="preserve">주요 주제</w:t>
            </w:r>
          </w:p>
        </w:tc>
        <w:tc>
          <w:tcPr>
            <w:tcW w:type="dxa" w:w="7840"/>
            <w:tcBorders>
              <w:top w:val="single" w:color="D5DAE5" w:sz="4"/>
              <w:left w:val="single" w:color="D5DAE5" w:sz="4"/>
              <w:bottom w:val="single" w:color="D5DAE5" w:sz="4"/>
              <w:right w:val="single" w:color="D5DAE5" w:sz="4"/>
            </w:tcBorders>
            <w:shd w:fill="F5F7FB" w:color="auto" w:val="clear"/>
            <w:tcMar>
              <w:top w:type="dxa" w:w="140"/>
              <w:left w:type="dxa" w:w="240"/>
              <w:bottom w:type="dxa" w:w="140"/>
              <w:right w:type="dxa" w:w="240"/>
            </w:tcMar>
          </w:tcPr>
          <w:p>
            <w:pPr>
              <w:spacing w:after="0" w:before="0" w:line="300"/>
              <w:jc w:val="left"/>
            </w:pPr>
            <w:r>
              <w:rPr>
                <w:rFonts w:ascii="Malgun Gothic" w:cs="Malgun Gothic" w:eastAsia="Malgun Gothic" w:hAnsi="Malgun Gothic"/>
                <w:b w:val="false"/>
                <w:bCs w:val="false"/>
                <w:color w:val="2B3140"/>
                <w:sz w:val="19"/>
                <w:szCs w:val="19"/>
              </w:rPr>
              <w:t xml:space="preserve">2026년 9월 글로벌 컨테이너 수급, 항로별 운임 흐름 및 공급 리스크 재부각</w:t>
            </w:r>
          </w:p>
        </w:tc>
      </w:tr>
      <w:tr>
        <w:tc>
          <w:tcPr>
            <w:tcW w:type="dxa" w:w="2600"/>
            <w:tcBorders>
              <w:top w:val="single" w:color="D5DAE5" w:sz="4"/>
              <w:left w:val="single" w:color="D5DAE5" w:sz="4"/>
              <w:bottom w:val="single" w:color="D5DAE5" w:sz="4"/>
              <w:right w:val="single" w:color="D5DAE5" w:sz="4"/>
            </w:tcBorders>
            <w:shd w:fill="FFFFFF" w:color="auto" w:val="clear"/>
            <w:tcMar>
              <w:top w:type="dxa" w:w="140"/>
              <w:left w:type="dxa" w:w="200"/>
              <w:bottom w:type="dxa" w:w="140"/>
              <w:right w:type="dxa" w:w="200"/>
            </w:tcMar>
          </w:tcPr>
          <w:p>
            <w:pPr>
              <w:spacing w:after="0" w:before="0" w:line="300"/>
              <w:jc w:val="left"/>
            </w:pPr>
            <w:r>
              <w:rPr>
                <w:rFonts w:ascii="Malgun Gothic" w:cs="Malgun Gothic" w:eastAsia="Malgun Gothic" w:hAnsi="Malgun Gothic"/>
                <w:b/>
                <w:bCs/>
                <w:color w:val="1A2254"/>
                <w:sz w:val="19"/>
                <w:szCs w:val="19"/>
              </w:rPr>
              <w:t xml:space="preserve">글로벌 수요</w:t>
            </w:r>
          </w:p>
        </w:tc>
        <w:tc>
          <w:tcPr>
            <w:tcW w:type="dxa" w:w="7840"/>
            <w:tcBorders>
              <w:top w:val="single" w:color="D5DAE5" w:sz="4"/>
              <w:left w:val="single" w:color="D5DAE5" w:sz="4"/>
              <w:bottom w:val="single" w:color="D5DAE5" w:sz="4"/>
              <w:right w:val="single" w:color="D5DAE5" w:sz="4"/>
            </w:tcBorders>
            <w:shd w:fill="FFFFFF" w:color="auto" w:val="clear"/>
            <w:tcMar>
              <w:top w:type="dxa" w:w="140"/>
              <w:left w:type="dxa" w:w="240"/>
              <w:bottom w:type="dxa" w:w="140"/>
              <w:right w:type="dxa" w:w="240"/>
            </w:tcMar>
          </w:tcPr>
          <w:p>
            <w:pPr>
              <w:spacing w:after="0" w:before="0" w:line="300"/>
              <w:jc w:val="left"/>
            </w:pPr>
            <w:r>
              <w:rPr>
                <w:rFonts w:ascii="Malgun Gothic" w:cs="Malgun Gothic" w:eastAsia="Malgun Gothic" w:hAnsi="Malgun Gothic"/>
                <w:b w:val="false"/>
                <w:bCs w:val="false"/>
                <w:color w:val="2B3140"/>
                <w:sz w:val="19"/>
                <w:szCs w:val="19"/>
              </w:rPr>
              <w:t xml:space="preserve">2026년 글로벌 컨테이너 물동은 전년 대비 3.8% 증가 전망</w:t>
            </w:r>
          </w:p>
        </w:tc>
      </w:tr>
      <w:tr>
        <w:tc>
          <w:tcPr>
            <w:tcW w:type="dxa" w:w="2600"/>
            <w:tcBorders>
              <w:top w:val="single" w:color="D5DAE5" w:sz="4"/>
              <w:left w:val="single" w:color="D5DAE5" w:sz="4"/>
              <w:bottom w:val="single" w:color="D5DAE5" w:sz="4"/>
              <w:right w:val="single" w:color="D5DAE5" w:sz="4"/>
            </w:tcBorders>
            <w:shd w:fill="F5F7FB" w:color="auto" w:val="clear"/>
            <w:tcMar>
              <w:top w:type="dxa" w:w="140"/>
              <w:left w:type="dxa" w:w="200"/>
              <w:bottom w:type="dxa" w:w="140"/>
              <w:right w:type="dxa" w:w="200"/>
            </w:tcMar>
          </w:tcPr>
          <w:p>
            <w:pPr>
              <w:spacing w:after="0" w:before="0" w:line="300"/>
              <w:jc w:val="left"/>
            </w:pPr>
            <w:r>
              <w:rPr>
                <w:rFonts w:ascii="Malgun Gothic" w:cs="Malgun Gothic" w:eastAsia="Malgun Gothic" w:hAnsi="Malgun Gothic"/>
                <w:b/>
                <w:bCs/>
                <w:color w:val="1A2254"/>
                <w:sz w:val="19"/>
                <w:szCs w:val="19"/>
              </w:rPr>
              <w:t xml:space="preserve">아시아-북미</w:t>
            </w:r>
          </w:p>
        </w:tc>
        <w:tc>
          <w:tcPr>
            <w:tcW w:type="dxa" w:w="7840"/>
            <w:tcBorders>
              <w:top w:val="single" w:color="D5DAE5" w:sz="4"/>
              <w:left w:val="single" w:color="D5DAE5" w:sz="4"/>
              <w:bottom w:val="single" w:color="D5DAE5" w:sz="4"/>
              <w:right w:val="single" w:color="D5DAE5" w:sz="4"/>
            </w:tcBorders>
            <w:shd w:fill="F5F7FB" w:color="auto" w:val="clear"/>
            <w:tcMar>
              <w:top w:type="dxa" w:w="140"/>
              <w:left w:type="dxa" w:w="240"/>
              <w:bottom w:type="dxa" w:w="140"/>
              <w:right w:type="dxa" w:w="240"/>
            </w:tcMar>
          </w:tcPr>
          <w:p>
            <w:pPr>
              <w:spacing w:after="0" w:before="0" w:line="300"/>
              <w:jc w:val="left"/>
            </w:pPr>
            <w:r>
              <w:rPr>
                <w:rFonts w:ascii="Malgun Gothic" w:cs="Malgun Gothic" w:eastAsia="Malgun Gothic" w:hAnsi="Malgun Gothic"/>
                <w:b w:val="false"/>
                <w:bCs w:val="false"/>
                <w:color w:val="2B3140"/>
                <w:sz w:val="19"/>
                <w:szCs w:val="19"/>
              </w:rPr>
              <w:t xml:space="preserve">3분기 물동은 전년 대비 1.7% 감소 전망, 2025년 3분기 7.6% 감소 대비 감소폭 크게 축소</w:t>
            </w:r>
          </w:p>
        </w:tc>
      </w:tr>
      <w:tr>
        <w:tc>
          <w:tcPr>
            <w:tcW w:type="dxa" w:w="2600"/>
            <w:tcBorders>
              <w:top w:val="single" w:color="D5DAE5" w:sz="4"/>
              <w:left w:val="single" w:color="D5DAE5" w:sz="4"/>
              <w:bottom w:val="single" w:color="D5DAE5" w:sz="4"/>
              <w:right w:val="single" w:color="D5DAE5" w:sz="4"/>
            </w:tcBorders>
            <w:shd w:fill="FFFFFF" w:color="auto" w:val="clear"/>
            <w:tcMar>
              <w:top w:type="dxa" w:w="140"/>
              <w:left w:type="dxa" w:w="200"/>
              <w:bottom w:type="dxa" w:w="140"/>
              <w:right w:type="dxa" w:w="200"/>
            </w:tcMar>
          </w:tcPr>
          <w:p>
            <w:pPr>
              <w:spacing w:after="0" w:before="0" w:line="300"/>
              <w:jc w:val="left"/>
            </w:pPr>
            <w:r>
              <w:rPr>
                <w:rFonts w:ascii="Malgun Gothic" w:cs="Malgun Gothic" w:eastAsia="Malgun Gothic" w:hAnsi="Malgun Gothic"/>
                <w:b/>
                <w:bCs/>
                <w:color w:val="1A2254"/>
                <w:sz w:val="19"/>
                <w:szCs w:val="19"/>
              </w:rPr>
              <w:t xml:space="preserve">아시아-유럽</w:t>
            </w:r>
          </w:p>
        </w:tc>
        <w:tc>
          <w:tcPr>
            <w:tcW w:type="dxa" w:w="7840"/>
            <w:tcBorders>
              <w:top w:val="single" w:color="D5DAE5" w:sz="4"/>
              <w:left w:val="single" w:color="D5DAE5" w:sz="4"/>
              <w:bottom w:val="single" w:color="D5DAE5" w:sz="4"/>
              <w:right w:val="single" w:color="D5DAE5" w:sz="4"/>
            </w:tcBorders>
            <w:shd w:fill="FFFFFF" w:color="auto" w:val="clear"/>
            <w:tcMar>
              <w:top w:type="dxa" w:w="140"/>
              <w:left w:type="dxa" w:w="240"/>
              <w:bottom w:type="dxa" w:w="140"/>
              <w:right w:type="dxa" w:w="240"/>
            </w:tcMar>
          </w:tcPr>
          <w:p>
            <w:pPr>
              <w:spacing w:after="0" w:before="0" w:line="300"/>
              <w:jc w:val="left"/>
            </w:pPr>
            <w:r>
              <w:rPr>
                <w:rFonts w:ascii="Malgun Gothic" w:cs="Malgun Gothic" w:eastAsia="Malgun Gothic" w:hAnsi="Malgun Gothic"/>
                <w:b w:val="false"/>
                <w:bCs w:val="false"/>
                <w:color w:val="2B3140"/>
                <w:sz w:val="19"/>
                <w:szCs w:val="19"/>
              </w:rPr>
              <w:t xml:space="preserve">3분기 물동은 1.3% 증가에 그칠 전망, 조기 성수기 소진으로 성장세 크게 둔화</w:t>
            </w:r>
          </w:p>
        </w:tc>
      </w:tr>
      <w:tr>
        <w:tc>
          <w:tcPr>
            <w:tcW w:type="dxa" w:w="2600"/>
            <w:tcBorders>
              <w:top w:val="single" w:color="D5DAE5" w:sz="4"/>
              <w:left w:val="single" w:color="D5DAE5" w:sz="4"/>
              <w:bottom w:val="single" w:color="D5DAE5" w:sz="4"/>
              <w:right w:val="single" w:color="D5DAE5" w:sz="4"/>
            </w:tcBorders>
            <w:shd w:fill="F5F7FB" w:color="auto" w:val="clear"/>
            <w:tcMar>
              <w:top w:type="dxa" w:w="140"/>
              <w:left w:type="dxa" w:w="200"/>
              <w:bottom w:type="dxa" w:w="140"/>
              <w:right w:type="dxa" w:w="200"/>
            </w:tcMar>
          </w:tcPr>
          <w:p>
            <w:pPr>
              <w:spacing w:after="0" w:before="0" w:line="300"/>
              <w:jc w:val="left"/>
            </w:pPr>
            <w:r>
              <w:rPr>
                <w:rFonts w:ascii="Malgun Gothic" w:cs="Malgun Gothic" w:eastAsia="Malgun Gothic" w:hAnsi="Malgun Gothic"/>
                <w:b/>
                <w:bCs/>
                <w:color w:val="1A2254"/>
                <w:sz w:val="19"/>
                <w:szCs w:val="19"/>
              </w:rPr>
              <w:t xml:space="preserve">미국 수입</w:t>
            </w:r>
          </w:p>
        </w:tc>
        <w:tc>
          <w:tcPr>
            <w:tcW w:type="dxa" w:w="7840"/>
            <w:tcBorders>
              <w:top w:val="single" w:color="D5DAE5" w:sz="4"/>
              <w:left w:val="single" w:color="D5DAE5" w:sz="4"/>
              <w:bottom w:val="single" w:color="D5DAE5" w:sz="4"/>
              <w:right w:val="single" w:color="D5DAE5" w:sz="4"/>
            </w:tcBorders>
            <w:shd w:fill="F5F7FB" w:color="auto" w:val="clear"/>
            <w:tcMar>
              <w:top w:type="dxa" w:w="140"/>
              <w:left w:type="dxa" w:w="240"/>
              <w:bottom w:type="dxa" w:w="140"/>
              <w:right w:type="dxa" w:w="240"/>
            </w:tcMar>
          </w:tcPr>
          <w:p>
            <w:pPr>
              <w:spacing w:after="0" w:before="0" w:line="300"/>
              <w:jc w:val="left"/>
            </w:pPr>
            <w:r>
              <w:rPr>
                <w:rFonts w:ascii="Malgun Gothic" w:cs="Malgun Gothic" w:eastAsia="Malgun Gothic" w:hAnsi="Malgun Gothic"/>
                <w:b w:val="false"/>
                <w:bCs w:val="false"/>
                <w:color w:val="2B3140"/>
                <w:sz w:val="19"/>
                <w:szCs w:val="19"/>
              </w:rPr>
              <w:t xml:space="preserve">9월 주요 항만 수입 2.31백만 TEU로 연중 최대 예상, 4분기 점진적 둔화</w:t>
            </w:r>
          </w:p>
        </w:tc>
      </w:tr>
      <w:tr>
        <w:tc>
          <w:tcPr>
            <w:tcW w:type="dxa" w:w="2600"/>
            <w:tcBorders>
              <w:top w:val="single" w:color="D5DAE5" w:sz="4"/>
              <w:left w:val="single" w:color="D5DAE5" w:sz="4"/>
              <w:bottom w:val="single" w:color="D5DAE5" w:sz="4"/>
              <w:right w:val="single" w:color="D5DAE5" w:sz="4"/>
            </w:tcBorders>
            <w:shd w:fill="FFFFFF" w:color="auto" w:val="clear"/>
            <w:tcMar>
              <w:top w:type="dxa" w:w="140"/>
              <w:left w:type="dxa" w:w="200"/>
              <w:bottom w:type="dxa" w:w="140"/>
              <w:right w:type="dxa" w:w="200"/>
            </w:tcMar>
          </w:tcPr>
          <w:p>
            <w:pPr>
              <w:spacing w:after="0" w:before="0" w:line="300"/>
              <w:jc w:val="left"/>
            </w:pPr>
            <w:r>
              <w:rPr>
                <w:rFonts w:ascii="Malgun Gothic" w:cs="Malgun Gothic" w:eastAsia="Malgun Gothic" w:hAnsi="Malgun Gothic"/>
                <w:b/>
                <w:bCs/>
                <w:color w:val="1A2254"/>
                <w:sz w:val="19"/>
                <w:szCs w:val="19"/>
              </w:rPr>
              <w:t xml:space="preserve">글로벌 선대</w:t>
            </w:r>
          </w:p>
        </w:tc>
        <w:tc>
          <w:tcPr>
            <w:tcW w:type="dxa" w:w="7840"/>
            <w:tcBorders>
              <w:top w:val="single" w:color="D5DAE5" w:sz="4"/>
              <w:left w:val="single" w:color="D5DAE5" w:sz="4"/>
              <w:bottom w:val="single" w:color="D5DAE5" w:sz="4"/>
              <w:right w:val="single" w:color="D5DAE5" w:sz="4"/>
            </w:tcBorders>
            <w:shd w:fill="FFFFFF" w:color="auto" w:val="clear"/>
            <w:tcMar>
              <w:top w:type="dxa" w:w="140"/>
              <w:left w:type="dxa" w:w="240"/>
              <w:bottom w:type="dxa" w:w="140"/>
              <w:right w:type="dxa" w:w="240"/>
            </w:tcMar>
          </w:tcPr>
          <w:p>
            <w:pPr>
              <w:spacing w:after="0" w:before="0" w:line="300"/>
              <w:jc w:val="left"/>
            </w:pPr>
            <w:r>
              <w:rPr>
                <w:rFonts w:ascii="Malgun Gothic" w:cs="Malgun Gothic" w:eastAsia="Malgun Gothic" w:hAnsi="Malgun Gothic"/>
                <w:b w:val="false"/>
                <w:bCs w:val="false"/>
                <w:color w:val="2B3140"/>
                <w:sz w:val="19"/>
                <w:szCs w:val="19"/>
              </w:rPr>
              <w:t xml:space="preserve">2026년 컨테이너 선대 34.6백만 TEU, 전년 대비 4.6% 증가 전망</w:t>
            </w:r>
          </w:p>
        </w:tc>
      </w:tr>
      <w:tr>
        <w:tc>
          <w:tcPr>
            <w:tcW w:type="dxa" w:w="2600"/>
            <w:tcBorders>
              <w:top w:val="single" w:color="D5DAE5" w:sz="4"/>
              <w:left w:val="single" w:color="D5DAE5" w:sz="4"/>
              <w:bottom w:val="single" w:color="D5DAE5" w:sz="4"/>
              <w:right w:val="single" w:color="D5DAE5" w:sz="4"/>
            </w:tcBorders>
            <w:shd w:fill="F5F7FB" w:color="auto" w:val="clear"/>
            <w:tcMar>
              <w:top w:type="dxa" w:w="140"/>
              <w:left w:type="dxa" w:w="200"/>
              <w:bottom w:type="dxa" w:w="140"/>
              <w:right w:type="dxa" w:w="200"/>
            </w:tcMar>
          </w:tcPr>
          <w:p>
            <w:pPr>
              <w:spacing w:after="0" w:before="0" w:line="300"/>
              <w:jc w:val="left"/>
            </w:pPr>
            <w:r>
              <w:rPr>
                <w:rFonts w:ascii="Malgun Gothic" w:cs="Malgun Gothic" w:eastAsia="Malgun Gothic" w:hAnsi="Malgun Gothic"/>
                <w:b/>
                <w:bCs/>
                <w:color w:val="1A2254"/>
                <w:sz w:val="19"/>
                <w:szCs w:val="19"/>
              </w:rPr>
              <w:t xml:space="preserve">신조선 인도</w:t>
            </w:r>
          </w:p>
        </w:tc>
        <w:tc>
          <w:tcPr>
            <w:tcW w:type="dxa" w:w="7840"/>
            <w:tcBorders>
              <w:top w:val="single" w:color="D5DAE5" w:sz="4"/>
              <w:left w:val="single" w:color="D5DAE5" w:sz="4"/>
              <w:bottom w:val="single" w:color="D5DAE5" w:sz="4"/>
              <w:right w:val="single" w:color="D5DAE5" w:sz="4"/>
            </w:tcBorders>
            <w:shd w:fill="F5F7FB" w:color="auto" w:val="clear"/>
            <w:tcMar>
              <w:top w:type="dxa" w:w="140"/>
              <w:left w:type="dxa" w:w="240"/>
              <w:bottom w:type="dxa" w:w="140"/>
              <w:right w:type="dxa" w:w="240"/>
            </w:tcMar>
          </w:tcPr>
          <w:p>
            <w:pPr>
              <w:spacing w:after="0" w:before="0" w:line="300"/>
              <w:jc w:val="left"/>
            </w:pPr>
            <w:r>
              <w:rPr>
                <w:rFonts w:ascii="Malgun Gothic" w:cs="Malgun Gothic" w:eastAsia="Malgun Gothic" w:hAnsi="Malgun Gothic"/>
                <w:b w:val="false"/>
                <w:bCs w:val="false"/>
                <w:color w:val="2B3140"/>
                <w:sz w:val="19"/>
                <w:szCs w:val="19"/>
              </w:rPr>
              <w:t xml:space="preserve">2026년 약 1.6백만 TEU 인도 전망, 2027년 이후 중장기 공급 부담 확대 가능성</w:t>
            </w:r>
          </w:p>
        </w:tc>
      </w:tr>
      <w:tr>
        <w:tc>
          <w:tcPr>
            <w:tcW w:type="dxa" w:w="2600"/>
            <w:tcBorders>
              <w:top w:val="single" w:color="D5DAE5" w:sz="4"/>
              <w:left w:val="single" w:color="D5DAE5" w:sz="4"/>
              <w:bottom w:val="single" w:color="D5DAE5" w:sz="4"/>
              <w:right w:val="single" w:color="D5DAE5" w:sz="4"/>
            </w:tcBorders>
            <w:shd w:fill="FFFFFF" w:color="auto" w:val="clear"/>
            <w:tcMar>
              <w:top w:type="dxa" w:w="140"/>
              <w:left w:type="dxa" w:w="200"/>
              <w:bottom w:type="dxa" w:w="140"/>
              <w:right w:type="dxa" w:w="200"/>
            </w:tcMar>
          </w:tcPr>
          <w:p>
            <w:pPr>
              <w:spacing w:after="0" w:before="0" w:line="300"/>
              <w:jc w:val="left"/>
            </w:pPr>
            <w:r>
              <w:rPr>
                <w:rFonts w:ascii="Malgun Gothic" w:cs="Malgun Gothic" w:eastAsia="Malgun Gothic" w:hAnsi="Malgun Gothic"/>
                <w:b/>
                <w:bCs/>
                <w:color w:val="1A2254"/>
                <w:sz w:val="19"/>
                <w:szCs w:val="19"/>
              </w:rPr>
              <w:t xml:space="preserve">유효선복</w:t>
            </w:r>
          </w:p>
        </w:tc>
        <w:tc>
          <w:tcPr>
            <w:tcW w:type="dxa" w:w="7840"/>
            <w:tcBorders>
              <w:top w:val="single" w:color="D5DAE5" w:sz="4"/>
              <w:left w:val="single" w:color="D5DAE5" w:sz="4"/>
              <w:bottom w:val="single" w:color="D5DAE5" w:sz="4"/>
              <w:right w:val="single" w:color="D5DAE5" w:sz="4"/>
            </w:tcBorders>
            <w:shd w:fill="FFFFFF" w:color="auto" w:val="clear"/>
            <w:tcMar>
              <w:top w:type="dxa" w:w="140"/>
              <w:left w:type="dxa" w:w="240"/>
              <w:bottom w:type="dxa" w:w="140"/>
              <w:right w:type="dxa" w:w="240"/>
            </w:tcMar>
          </w:tcPr>
          <w:p>
            <w:pPr>
              <w:spacing w:after="0" w:before="0" w:line="300"/>
              <w:jc w:val="left"/>
            </w:pPr>
            <w:r>
              <w:rPr>
                <w:rFonts w:ascii="Malgun Gothic" w:cs="Malgun Gothic" w:eastAsia="Malgun Gothic" w:hAnsi="Malgun Gothic"/>
                <w:b w:val="false"/>
                <w:bCs w:val="false"/>
                <w:color w:val="2B3140"/>
                <w:sz w:val="19"/>
                <w:szCs w:val="19"/>
              </w:rPr>
              <w:t xml:space="preserve">홍해 우회와 호르무즈 통항 불확실성이 항해 거리를 늘려 실제 가용 선복 제약</w:t>
            </w:r>
          </w:p>
        </w:tc>
      </w:tr>
      <w:tr>
        <w:tc>
          <w:tcPr>
            <w:tcW w:type="dxa" w:w="2600"/>
            <w:tcBorders>
              <w:top w:val="single" w:color="D5DAE5" w:sz="4"/>
              <w:left w:val="single" w:color="D5DAE5" w:sz="4"/>
              <w:bottom w:val="single" w:color="D5DAE5" w:sz="4"/>
              <w:right w:val="single" w:color="D5DAE5" w:sz="4"/>
            </w:tcBorders>
            <w:shd w:fill="F5F7FB" w:color="auto" w:val="clear"/>
            <w:tcMar>
              <w:top w:type="dxa" w:w="140"/>
              <w:left w:type="dxa" w:w="200"/>
              <w:bottom w:type="dxa" w:w="140"/>
              <w:right w:type="dxa" w:w="200"/>
            </w:tcMar>
          </w:tcPr>
          <w:p>
            <w:pPr>
              <w:spacing w:after="0" w:before="0" w:line="300"/>
              <w:jc w:val="left"/>
            </w:pPr>
            <w:r>
              <w:rPr>
                <w:rFonts w:ascii="Malgun Gothic" w:cs="Malgun Gothic" w:eastAsia="Malgun Gothic" w:hAnsi="Malgun Gothic"/>
                <w:b/>
                <w:bCs/>
                <w:color w:val="1A2254"/>
                <w:sz w:val="19"/>
                <w:szCs w:val="19"/>
              </w:rPr>
              <w:t xml:space="preserve">선박 배치</w:t>
            </w:r>
          </w:p>
        </w:tc>
        <w:tc>
          <w:tcPr>
            <w:tcW w:type="dxa" w:w="7840"/>
            <w:tcBorders>
              <w:top w:val="single" w:color="D5DAE5" w:sz="4"/>
              <w:left w:val="single" w:color="D5DAE5" w:sz="4"/>
              <w:bottom w:val="single" w:color="D5DAE5" w:sz="4"/>
              <w:right w:val="single" w:color="D5DAE5" w:sz="4"/>
            </w:tcBorders>
            <w:shd w:fill="F5F7FB" w:color="auto" w:val="clear"/>
            <w:tcMar>
              <w:top w:type="dxa" w:w="140"/>
              <w:left w:type="dxa" w:w="240"/>
              <w:bottom w:type="dxa" w:w="140"/>
              <w:right w:type="dxa" w:w="240"/>
            </w:tcMar>
          </w:tcPr>
          <w:p>
            <w:pPr>
              <w:spacing w:after="0" w:before="0" w:line="300"/>
              <w:jc w:val="left"/>
            </w:pPr>
            <w:r>
              <w:rPr>
                <w:rFonts w:ascii="Malgun Gothic" w:cs="Malgun Gothic" w:eastAsia="Malgun Gothic" w:hAnsi="Malgun Gothic"/>
                <w:b w:val="false"/>
                <w:bCs w:val="false"/>
                <w:color w:val="2B3140"/>
                <w:sz w:val="19"/>
                <w:szCs w:val="19"/>
              </w:rPr>
              <w:t xml:space="preserve">9월 아시아-미서안 138척, 미동안 75척, 북유럽 109척, 지중해 134척으로 국경절 대응 확대</w:t>
            </w:r>
          </w:p>
        </w:tc>
      </w:tr>
      <w:tr>
        <w:tc>
          <w:tcPr>
            <w:tcW w:type="dxa" w:w="2600"/>
            <w:tcBorders>
              <w:top w:val="single" w:color="D5DAE5" w:sz="4"/>
              <w:left w:val="single" w:color="D5DAE5" w:sz="4"/>
              <w:bottom w:val="single" w:color="D5DAE5" w:sz="4"/>
              <w:right w:val="single" w:color="D5DAE5" w:sz="4"/>
            </w:tcBorders>
            <w:shd w:fill="FFFFFF" w:color="auto" w:val="clear"/>
            <w:tcMar>
              <w:top w:type="dxa" w:w="140"/>
              <w:left w:type="dxa" w:w="200"/>
              <w:bottom w:type="dxa" w:w="140"/>
              <w:right w:type="dxa" w:w="200"/>
            </w:tcMar>
          </w:tcPr>
          <w:p>
            <w:pPr>
              <w:spacing w:after="0" w:before="0" w:line="300"/>
              <w:jc w:val="left"/>
            </w:pPr>
            <w:r>
              <w:rPr>
                <w:rFonts w:ascii="Malgun Gothic" w:cs="Malgun Gothic" w:eastAsia="Malgun Gothic" w:hAnsi="Malgun Gothic"/>
                <w:b/>
                <w:bCs/>
                <w:color w:val="1A2254"/>
                <w:sz w:val="19"/>
                <w:szCs w:val="19"/>
              </w:rPr>
              <w:t xml:space="preserve">운항 정시성</w:t>
            </w:r>
          </w:p>
        </w:tc>
        <w:tc>
          <w:tcPr>
            <w:tcW w:type="dxa" w:w="7840"/>
            <w:tcBorders>
              <w:top w:val="single" w:color="D5DAE5" w:sz="4"/>
              <w:left w:val="single" w:color="D5DAE5" w:sz="4"/>
              <w:bottom w:val="single" w:color="D5DAE5" w:sz="4"/>
              <w:right w:val="single" w:color="D5DAE5" w:sz="4"/>
            </w:tcBorders>
            <w:shd w:fill="FFFFFF" w:color="auto" w:val="clear"/>
            <w:tcMar>
              <w:top w:type="dxa" w:w="140"/>
              <w:left w:type="dxa" w:w="240"/>
              <w:bottom w:type="dxa" w:w="140"/>
              <w:right w:type="dxa" w:w="240"/>
            </w:tcMar>
          </w:tcPr>
          <w:p>
            <w:pPr>
              <w:spacing w:after="0" w:before="0" w:line="300"/>
              <w:jc w:val="left"/>
            </w:pPr>
            <w:r>
              <w:rPr>
                <w:rFonts w:ascii="Malgun Gothic" w:cs="Malgun Gothic" w:eastAsia="Malgun Gothic" w:hAnsi="Malgun Gothic"/>
                <w:b w:val="false"/>
                <w:bCs w:val="false"/>
                <w:color w:val="2B3140"/>
                <w:sz w:val="19"/>
                <w:szCs w:val="19"/>
              </w:rPr>
              <w:t xml:space="preserve">7월 글로벌 56.4%, 미서안 69.7%, 미동안 71.5%, 북유럽 65.0%</w:t>
            </w:r>
          </w:p>
        </w:tc>
      </w:tr>
      <w:tr>
        <w:tc>
          <w:tcPr>
            <w:tcW w:type="dxa" w:w="2600"/>
            <w:tcBorders>
              <w:top w:val="single" w:color="D5DAE5" w:sz="4"/>
              <w:left w:val="single" w:color="D5DAE5" w:sz="4"/>
              <w:bottom w:val="single" w:color="D5DAE5" w:sz="4"/>
              <w:right w:val="single" w:color="D5DAE5" w:sz="4"/>
            </w:tcBorders>
            <w:shd w:fill="F5F7FB" w:color="auto" w:val="clear"/>
            <w:tcMar>
              <w:top w:type="dxa" w:w="140"/>
              <w:left w:type="dxa" w:w="200"/>
              <w:bottom w:type="dxa" w:w="140"/>
              <w:right w:type="dxa" w:w="200"/>
            </w:tcMar>
          </w:tcPr>
          <w:p>
            <w:pPr>
              <w:spacing w:after="0" w:before="0" w:line="300"/>
              <w:jc w:val="left"/>
            </w:pPr>
            <w:r>
              <w:rPr>
                <w:rFonts w:ascii="Malgun Gothic" w:cs="Malgun Gothic" w:eastAsia="Malgun Gothic" w:hAnsi="Malgun Gothic"/>
                <w:b/>
                <w:bCs/>
                <w:color w:val="1A2254"/>
                <w:sz w:val="19"/>
                <w:szCs w:val="19"/>
              </w:rPr>
              <w:t xml:space="preserve">항만 체선</w:t>
            </w:r>
          </w:p>
        </w:tc>
        <w:tc>
          <w:tcPr>
            <w:tcW w:type="dxa" w:w="7840"/>
            <w:tcBorders>
              <w:top w:val="single" w:color="D5DAE5" w:sz="4"/>
              <w:left w:val="single" w:color="D5DAE5" w:sz="4"/>
              <w:bottom w:val="single" w:color="D5DAE5" w:sz="4"/>
              <w:right w:val="single" w:color="D5DAE5" w:sz="4"/>
            </w:tcBorders>
            <w:shd w:fill="F5F7FB" w:color="auto" w:val="clear"/>
            <w:tcMar>
              <w:top w:type="dxa" w:w="140"/>
              <w:left w:type="dxa" w:w="240"/>
              <w:bottom w:type="dxa" w:w="140"/>
              <w:right w:type="dxa" w:w="240"/>
            </w:tcMar>
          </w:tcPr>
          <w:p>
            <w:pPr>
              <w:spacing w:after="0" w:before="0" w:line="300"/>
              <w:jc w:val="left"/>
            </w:pPr>
            <w:r>
              <w:rPr>
                <w:rFonts w:ascii="Malgun Gothic" w:cs="Malgun Gothic" w:eastAsia="Malgun Gothic" w:hAnsi="Malgun Gothic"/>
                <w:b w:val="false"/>
                <w:bCs w:val="false"/>
                <w:color w:val="2B3140"/>
                <w:sz w:val="19"/>
                <w:szCs w:val="19"/>
              </w:rPr>
              <w:t xml:space="preserve">상하이 태풍 재확대, 로테르담 파업으로 단기 혼잡, 롱비치 3주 연속 증가</w:t>
            </w:r>
          </w:p>
        </w:tc>
      </w:tr>
      <w:tr>
        <w:tc>
          <w:tcPr>
            <w:tcW w:type="dxa" w:w="2600"/>
            <w:tcBorders>
              <w:top w:val="single" w:color="D5DAE5" w:sz="4"/>
              <w:left w:val="single" w:color="D5DAE5" w:sz="4"/>
              <w:bottom w:val="single" w:color="D5DAE5" w:sz="4"/>
              <w:right w:val="single" w:color="D5DAE5" w:sz="4"/>
            </w:tcBorders>
            <w:shd w:fill="FFFFFF" w:color="auto" w:val="clear"/>
            <w:tcMar>
              <w:top w:type="dxa" w:w="140"/>
              <w:left w:type="dxa" w:w="200"/>
              <w:bottom w:type="dxa" w:w="140"/>
              <w:right w:type="dxa" w:w="200"/>
            </w:tcMar>
          </w:tcPr>
          <w:p>
            <w:pPr>
              <w:spacing w:after="0" w:before="0" w:line="300"/>
              <w:jc w:val="left"/>
            </w:pPr>
            <w:r>
              <w:rPr>
                <w:rFonts w:ascii="Malgun Gothic" w:cs="Malgun Gothic" w:eastAsia="Malgun Gothic" w:hAnsi="Malgun Gothic"/>
                <w:b/>
                <w:bCs/>
                <w:color w:val="1A2254"/>
                <w:sz w:val="19"/>
                <w:szCs w:val="19"/>
              </w:rPr>
              <w:t xml:space="preserve">SCFI</w:t>
            </w:r>
          </w:p>
        </w:tc>
        <w:tc>
          <w:tcPr>
            <w:tcW w:type="dxa" w:w="7840"/>
            <w:tcBorders>
              <w:top w:val="single" w:color="D5DAE5" w:sz="4"/>
              <w:left w:val="single" w:color="D5DAE5" w:sz="4"/>
              <w:bottom w:val="single" w:color="D5DAE5" w:sz="4"/>
              <w:right w:val="single" w:color="D5DAE5" w:sz="4"/>
            </w:tcBorders>
            <w:shd w:fill="FFFFFF" w:color="auto" w:val="clear"/>
            <w:tcMar>
              <w:top w:type="dxa" w:w="140"/>
              <w:left w:type="dxa" w:w="240"/>
              <w:bottom w:type="dxa" w:w="140"/>
              <w:right w:type="dxa" w:w="240"/>
            </w:tcMar>
          </w:tcPr>
          <w:p>
            <w:pPr>
              <w:spacing w:after="0" w:before="0" w:line="300"/>
              <w:jc w:val="left"/>
            </w:pPr>
            <w:r>
              <w:rPr>
                <w:rFonts w:ascii="Malgun Gothic" w:cs="Malgun Gothic" w:eastAsia="Malgun Gothic" w:hAnsi="Malgun Gothic"/>
                <w:b w:val="false"/>
                <w:bCs w:val="false"/>
                <w:color w:val="2B3140"/>
                <w:sz w:val="19"/>
                <w:szCs w:val="19"/>
              </w:rPr>
              <w:t xml:space="preserve">36주차 종합지수 3,590pt, 8월 평균 3,388pt로 전월 대비 6.8% 상승, 6주 연속 상승</w:t>
            </w:r>
          </w:p>
        </w:tc>
      </w:tr>
      <w:tr>
        <w:tc>
          <w:tcPr>
            <w:tcW w:type="dxa" w:w="2600"/>
            <w:tcBorders>
              <w:top w:val="single" w:color="D5DAE5" w:sz="4"/>
              <w:left w:val="single" w:color="D5DAE5" w:sz="4"/>
              <w:bottom w:val="single" w:color="D5DAE5" w:sz="4"/>
              <w:right w:val="single" w:color="D5DAE5" w:sz="4"/>
            </w:tcBorders>
            <w:shd w:fill="F5F7FB" w:color="auto" w:val="clear"/>
            <w:tcMar>
              <w:top w:type="dxa" w:w="140"/>
              <w:left w:type="dxa" w:w="200"/>
              <w:bottom w:type="dxa" w:w="140"/>
              <w:right w:type="dxa" w:w="200"/>
            </w:tcMar>
          </w:tcPr>
          <w:p>
            <w:pPr>
              <w:spacing w:after="0" w:before="0" w:line="300"/>
              <w:jc w:val="left"/>
            </w:pPr>
            <w:r>
              <w:rPr>
                <w:rFonts w:ascii="Malgun Gothic" w:cs="Malgun Gothic" w:eastAsia="Malgun Gothic" w:hAnsi="Malgun Gothic"/>
                <w:b/>
                <w:bCs/>
                <w:color w:val="1A2254"/>
                <w:sz w:val="19"/>
                <w:szCs w:val="19"/>
              </w:rPr>
              <w:t xml:space="preserve">미주 운임</w:t>
            </w:r>
          </w:p>
        </w:tc>
        <w:tc>
          <w:tcPr>
            <w:tcW w:type="dxa" w:w="7840"/>
            <w:tcBorders>
              <w:top w:val="single" w:color="D5DAE5" w:sz="4"/>
              <w:left w:val="single" w:color="D5DAE5" w:sz="4"/>
              <w:bottom w:val="single" w:color="D5DAE5" w:sz="4"/>
              <w:right w:val="single" w:color="D5DAE5" w:sz="4"/>
            </w:tcBorders>
            <w:shd w:fill="F5F7FB" w:color="auto" w:val="clear"/>
            <w:tcMar>
              <w:top w:type="dxa" w:w="140"/>
              <w:left w:type="dxa" w:w="240"/>
              <w:bottom w:type="dxa" w:w="140"/>
              <w:right w:type="dxa" w:w="240"/>
            </w:tcMar>
          </w:tcPr>
          <w:p>
            <w:pPr>
              <w:spacing w:after="0" w:before="0" w:line="300"/>
              <w:jc w:val="left"/>
            </w:pPr>
            <w:r>
              <w:rPr>
                <w:rFonts w:ascii="Malgun Gothic" w:cs="Malgun Gothic" w:eastAsia="Malgun Gothic" w:hAnsi="Malgun Gothic"/>
                <w:b w:val="false"/>
                <w:bCs w:val="false"/>
                <w:color w:val="2B3140"/>
                <w:sz w:val="19"/>
                <w:szCs w:val="19"/>
              </w:rPr>
              <w:t xml:space="preserve">8월 미서안 평균 $6,726/FEU(+10.9%), 미동안 평균 $9,651/FEU(+15.7%)</w:t>
            </w:r>
          </w:p>
        </w:tc>
      </w:tr>
      <w:tr>
        <w:tc>
          <w:tcPr>
            <w:tcW w:type="dxa" w:w="2600"/>
            <w:tcBorders>
              <w:top w:val="single" w:color="D5DAE5" w:sz="4"/>
              <w:left w:val="single" w:color="D5DAE5" w:sz="4"/>
              <w:bottom w:val="single" w:color="D5DAE5" w:sz="4"/>
              <w:right w:val="single" w:color="D5DAE5" w:sz="4"/>
            </w:tcBorders>
            <w:shd w:fill="FFFFFF" w:color="auto" w:val="clear"/>
            <w:tcMar>
              <w:top w:type="dxa" w:w="140"/>
              <w:left w:type="dxa" w:w="200"/>
              <w:bottom w:type="dxa" w:w="140"/>
              <w:right w:type="dxa" w:w="200"/>
            </w:tcMar>
          </w:tcPr>
          <w:p>
            <w:pPr>
              <w:spacing w:after="0" w:before="0" w:line="300"/>
              <w:jc w:val="left"/>
            </w:pPr>
            <w:r>
              <w:rPr>
                <w:rFonts w:ascii="Malgun Gothic" w:cs="Malgun Gothic" w:eastAsia="Malgun Gothic" w:hAnsi="Malgun Gothic"/>
                <w:b/>
                <w:bCs/>
                <w:color w:val="1A2254"/>
                <w:sz w:val="19"/>
                <w:szCs w:val="19"/>
              </w:rPr>
              <w:t xml:space="preserve">유럽 운임</w:t>
            </w:r>
          </w:p>
        </w:tc>
        <w:tc>
          <w:tcPr>
            <w:tcW w:type="dxa" w:w="7840"/>
            <w:tcBorders>
              <w:top w:val="single" w:color="D5DAE5" w:sz="4"/>
              <w:left w:val="single" w:color="D5DAE5" w:sz="4"/>
              <w:bottom w:val="single" w:color="D5DAE5" w:sz="4"/>
              <w:right w:val="single" w:color="D5DAE5" w:sz="4"/>
            </w:tcBorders>
            <w:shd w:fill="FFFFFF" w:color="auto" w:val="clear"/>
            <w:tcMar>
              <w:top w:type="dxa" w:w="140"/>
              <w:left w:type="dxa" w:w="240"/>
              <w:bottom w:type="dxa" w:w="140"/>
              <w:right w:type="dxa" w:w="240"/>
            </w:tcMar>
          </w:tcPr>
          <w:p>
            <w:pPr>
              <w:spacing w:after="0" w:before="0" w:line="300"/>
              <w:jc w:val="left"/>
            </w:pPr>
            <w:r>
              <w:rPr>
                <w:rFonts w:ascii="Malgun Gothic" w:cs="Malgun Gothic" w:eastAsia="Malgun Gothic" w:hAnsi="Malgun Gothic"/>
                <w:b w:val="false"/>
                <w:bCs w:val="false"/>
                <w:color w:val="2B3140"/>
                <w:sz w:val="19"/>
                <w:szCs w:val="19"/>
              </w:rPr>
              <w:t xml:space="preserve">8월 북유럽·지중해 각각 11.3%·14.2% 하락, 성수기 수요 감소 속 조정 지속</w:t>
            </w:r>
          </w:p>
        </w:tc>
      </w:tr>
      <w:tr>
        <w:tc>
          <w:tcPr>
            <w:tcW w:type="dxa" w:w="2600"/>
            <w:tcBorders>
              <w:top w:val="single" w:color="D5DAE5" w:sz="4"/>
              <w:left w:val="single" w:color="D5DAE5" w:sz="4"/>
              <w:bottom w:val="single" w:color="D5DAE5" w:sz="4"/>
              <w:right w:val="single" w:color="D5DAE5" w:sz="4"/>
            </w:tcBorders>
            <w:shd w:fill="F5F7FB" w:color="auto" w:val="clear"/>
            <w:tcMar>
              <w:top w:type="dxa" w:w="140"/>
              <w:left w:type="dxa" w:w="200"/>
              <w:bottom w:type="dxa" w:w="140"/>
              <w:right w:type="dxa" w:w="200"/>
            </w:tcMar>
          </w:tcPr>
          <w:p>
            <w:pPr>
              <w:spacing w:after="0" w:before="0" w:line="300"/>
              <w:jc w:val="left"/>
            </w:pPr>
            <w:r>
              <w:rPr>
                <w:rFonts w:ascii="Malgun Gothic" w:cs="Malgun Gothic" w:eastAsia="Malgun Gothic" w:hAnsi="Malgun Gothic"/>
                <w:b/>
                <w:bCs/>
                <w:color w:val="1A2254"/>
                <w:sz w:val="19"/>
                <w:szCs w:val="19"/>
              </w:rPr>
              <w:t xml:space="preserve">중동·남미 운임</w:t>
            </w:r>
          </w:p>
        </w:tc>
        <w:tc>
          <w:tcPr>
            <w:tcW w:type="dxa" w:w="7840"/>
            <w:tcBorders>
              <w:top w:val="single" w:color="D5DAE5" w:sz="4"/>
              <w:left w:val="single" w:color="D5DAE5" w:sz="4"/>
              <w:bottom w:val="single" w:color="D5DAE5" w:sz="4"/>
              <w:right w:val="single" w:color="D5DAE5" w:sz="4"/>
            </w:tcBorders>
            <w:shd w:fill="F5F7FB" w:color="auto" w:val="clear"/>
            <w:tcMar>
              <w:top w:type="dxa" w:w="140"/>
              <w:left w:type="dxa" w:w="240"/>
              <w:bottom w:type="dxa" w:w="140"/>
              <w:right w:type="dxa" w:w="240"/>
            </w:tcMar>
          </w:tcPr>
          <w:p>
            <w:pPr>
              <w:spacing w:after="0" w:before="0" w:line="300"/>
              <w:jc w:val="left"/>
            </w:pPr>
            <w:r>
              <w:rPr>
                <w:rFonts w:ascii="Malgun Gothic" w:cs="Malgun Gothic" w:eastAsia="Malgun Gothic" w:hAnsi="Malgun Gothic"/>
                <w:b w:val="false"/>
                <w:bCs w:val="false"/>
                <w:color w:val="2B3140"/>
                <w:sz w:val="19"/>
                <w:szCs w:val="19"/>
              </w:rPr>
              <w:t xml:space="preserve">8월 남미동안 +20.7%, 중동 +26.2%, 공급 제약 속 높은 수준 유지</w:t>
            </w:r>
          </w:p>
        </w:tc>
      </w:tr>
      <w:tr>
        <w:tc>
          <w:tcPr>
            <w:tcW w:type="dxa" w:w="2600"/>
            <w:tcBorders>
              <w:top w:val="single" w:color="D5DAE5" w:sz="4"/>
              <w:left w:val="single" w:color="D5DAE5" w:sz="4"/>
              <w:bottom w:val="single" w:color="D5DAE5" w:sz="4"/>
              <w:right w:val="single" w:color="D5DAE5" w:sz="4"/>
            </w:tcBorders>
            <w:shd w:fill="FFFFFF" w:color="auto" w:val="clear"/>
            <w:tcMar>
              <w:top w:type="dxa" w:w="140"/>
              <w:left w:type="dxa" w:w="200"/>
              <w:bottom w:type="dxa" w:w="140"/>
              <w:right w:type="dxa" w:w="200"/>
            </w:tcMar>
          </w:tcPr>
          <w:p>
            <w:pPr>
              <w:spacing w:after="0" w:before="0" w:line="300"/>
              <w:jc w:val="left"/>
            </w:pPr>
            <w:r>
              <w:rPr>
                <w:rFonts w:ascii="Malgun Gothic" w:cs="Malgun Gothic" w:eastAsia="Malgun Gothic" w:hAnsi="Malgun Gothic"/>
                <w:b/>
                <w:bCs/>
                <w:color w:val="1A2254"/>
                <w:sz w:val="19"/>
                <w:szCs w:val="19"/>
              </w:rPr>
              <w:t xml:space="preserve">주요 리스크</w:t>
            </w:r>
          </w:p>
        </w:tc>
        <w:tc>
          <w:tcPr>
            <w:tcW w:type="dxa" w:w="7840"/>
            <w:tcBorders>
              <w:top w:val="single" w:color="D5DAE5" w:sz="4"/>
              <w:left w:val="single" w:color="D5DAE5" w:sz="4"/>
              <w:bottom w:val="single" w:color="D5DAE5" w:sz="4"/>
              <w:right w:val="single" w:color="D5DAE5" w:sz="4"/>
            </w:tcBorders>
            <w:shd w:fill="FFFFFF" w:color="auto" w:val="clear"/>
            <w:tcMar>
              <w:top w:type="dxa" w:w="140"/>
              <w:left w:type="dxa" w:w="240"/>
              <w:bottom w:type="dxa" w:w="140"/>
              <w:right w:type="dxa" w:w="240"/>
            </w:tcMar>
          </w:tcPr>
          <w:p>
            <w:pPr>
              <w:spacing w:after="0" w:before="0" w:line="300"/>
              <w:jc w:val="left"/>
            </w:pPr>
            <w:r>
              <w:rPr>
                <w:rFonts w:ascii="Malgun Gothic" w:cs="Malgun Gothic" w:eastAsia="Malgun Gothic" w:hAnsi="Malgun Gothic"/>
                <w:b w:val="false"/>
                <w:bCs w:val="false"/>
                <w:color w:val="2B3140"/>
                <w:sz w:val="19"/>
                <w:szCs w:val="19"/>
              </w:rPr>
              <w:t xml:space="preserve">파나마 통항 축소, 중국 태풍, 로테르담 파업, 홍해·호르무즈, 미국 관세</w:t>
            </w:r>
          </w:p>
        </w:tc>
      </w:tr>
    </w:tbl>
    <w:sectPr>
      <w:pgSz w:w="11906" w:h="16838" w:orient="portrait"/>
      <w:pgMar w:top="1247" w:right="1020" w:bottom="1247"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B31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2026년 9월 글로벌 해상 컨테이너 시황</dc:title>
  <dc:creator>Samsung SDS Cello Square</dc:creator>
  <cp:lastModifiedBy>Un-named</cp:lastModifiedBy>
  <cp:revision>1</cp:revision>
  <dcterms:created xsi:type="dcterms:W3CDTF">2026-09-10T02:20:50.070Z</dcterms:created>
  <dcterms:modified xsi:type="dcterms:W3CDTF">2026-09-10T02:20:50.082Z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6" name="FLCMData">
    <vt:lpwstr>5504E36785EFB3595A1C218D38AEFEAB9B9E0BE35E3FCA0DB6BFE3F1469D01DE7794BEB6224593ED392DCE09E1D73B03291686D2829A40D47890C73A46B1E66B</vt:lpwstr>
  </property>
</Properties>
</file>