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126310" w14:textId="779998AE" w:rsidR="00190A11" w:rsidRDefault="00000000">
      <w:pPr>
        <w:spacing w:after="100" w:line="380" w:lineRule="auto"/>
      </w:pPr>
      <w:commentRangeStart w:id="0"/>
      <w:r>
        <w:rPr>
          <w:b/>
          <w:bCs/>
          <w:color w:val="1A2254"/>
          <w:sz w:val="40"/>
          <w:szCs w:val="40"/>
        </w:rPr>
        <w:t xml:space="preserve">['26년 </w:t>
      </w:r>
      <w:r w:rsidR="00EB3F2E" w:rsidRPr="00EB3F2E">
        <w:rPr>
          <w:rFonts w:hint="eastAsia"/>
          <w:b/>
          <w:bCs/>
          <w:color w:val="EE0000"/>
          <w:sz w:val="40"/>
          <w:szCs w:val="40"/>
        </w:rPr>
        <w:t>9</w:t>
      </w:r>
      <w:r>
        <w:rPr>
          <w:b/>
          <w:bCs/>
          <w:color w:val="1A2254"/>
          <w:sz w:val="40"/>
          <w:szCs w:val="40"/>
        </w:rPr>
        <w:t>월] 물류 Market Intelligence 리포트</w:t>
      </w:r>
      <w:commentRangeEnd w:id="0"/>
      <w:r w:rsidR="0078778C">
        <w:rPr>
          <w:rStyle w:val="aa"/>
          <w:sz w:val="22"/>
          <w:szCs w:val="22"/>
        </w:rPr>
        <w:commentReference w:id="0"/>
      </w:r>
    </w:p>
    <w:p w14:paraId="0D6F58F9" w14:textId="77777777" w:rsidR="00190A11" w:rsidRDefault="00000000">
      <w:pPr>
        <w:spacing w:after="260" w:line="320" w:lineRule="auto"/>
      </w:pPr>
      <w:commentRangeStart w:id="1"/>
      <w:r>
        <w:rPr>
          <w:color w:val="6B7280"/>
          <w:sz w:val="17"/>
          <w:szCs w:val="17"/>
        </w:rPr>
        <w:t>등록일 2026-10-01</w:t>
      </w:r>
      <w:commentRangeEnd w:id="1"/>
      <w:r w:rsidR="00E2730D">
        <w:rPr>
          <w:rStyle w:val="aa"/>
          <w:sz w:val="22"/>
          <w:szCs w:val="22"/>
        </w:rPr>
        <w:commentReference w:id="1"/>
      </w:r>
    </w:p>
    <w:p w14:paraId="03B4FB1D" w14:textId="77777777" w:rsidR="00190A11" w:rsidRDefault="00190A11">
      <w:pPr>
        <w:pBdr>
          <w:bottom w:val="single" w:sz="12" w:space="1" w:color="1A2254"/>
        </w:pBdr>
        <w:spacing w:after="3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033E6D0B" w14:textId="77777777">
        <w:tc>
          <w:tcPr>
            <w:tcW w:w="60" w:type="dxa"/>
            <w:tcBorders>
              <w:top w:val="none" w:sz="0" w:space="0" w:color="FFFFFF"/>
              <w:left w:val="none" w:sz="0" w:space="0" w:color="FFFFFF"/>
              <w:bottom w:val="none" w:sz="0" w:space="0" w:color="FFFFFF"/>
              <w:right w:val="none" w:sz="0" w:space="0" w:color="FFFFFF"/>
            </w:tcBorders>
            <w:shd w:val="clear" w:color="auto" w:fill="1A2254"/>
          </w:tcPr>
          <w:p w14:paraId="511232EB"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FFFFF"/>
            <w:tcMar>
              <w:top w:w="180" w:type="dxa"/>
              <w:left w:w="240" w:type="dxa"/>
              <w:bottom w:w="180" w:type="dxa"/>
              <w:right w:w="240" w:type="dxa"/>
            </w:tcMar>
          </w:tcPr>
          <w:p w14:paraId="423841BB" w14:textId="77777777" w:rsidR="00190A11" w:rsidRDefault="00000000">
            <w:pPr>
              <w:spacing w:line="300" w:lineRule="auto"/>
            </w:pPr>
            <w:r>
              <w:rPr>
                <w:b/>
                <w:bCs/>
                <w:color w:val="1A2254"/>
              </w:rPr>
              <w:t>물류시황</w:t>
            </w:r>
          </w:p>
        </w:tc>
      </w:tr>
    </w:tbl>
    <w:p w14:paraId="0CE9E4C3" w14:textId="77777777" w:rsidR="00190A11" w:rsidRDefault="00190A11">
      <w:pPr>
        <w:spacing w:after="24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190A11" w14:paraId="2278A7E2" w14:textId="77777777">
        <w:tc>
          <w:tcPr>
            <w:tcW w:w="10440" w:type="dxa"/>
            <w:tcBorders>
              <w:top w:val="none" w:sz="0" w:space="0" w:color="FFFFFF"/>
              <w:left w:val="none" w:sz="0" w:space="0" w:color="FFFFFF"/>
              <w:bottom w:val="none" w:sz="0" w:space="0" w:color="FFFFFF"/>
              <w:right w:val="none" w:sz="0" w:space="0" w:color="FFFFFF"/>
            </w:tcBorders>
            <w:shd w:val="clear" w:color="auto" w:fill="1A2254"/>
            <w:tcMar>
              <w:top w:w="180" w:type="dxa"/>
              <w:left w:w="240" w:type="dxa"/>
              <w:bottom w:w="180" w:type="dxa"/>
              <w:right w:w="240" w:type="dxa"/>
            </w:tcMar>
          </w:tcPr>
          <w:p w14:paraId="03F9D54D" w14:textId="77777777" w:rsidR="00190A11" w:rsidRDefault="00000000">
            <w:pPr>
              <w:spacing w:line="300" w:lineRule="auto"/>
            </w:pPr>
            <w:r>
              <w:rPr>
                <w:b/>
                <w:bCs/>
                <w:color w:val="FFFFFF"/>
                <w:sz w:val="24"/>
                <w:szCs w:val="24"/>
              </w:rPr>
              <w:t>해상</w:t>
            </w:r>
          </w:p>
        </w:tc>
      </w:tr>
    </w:tbl>
    <w:p w14:paraId="09CD472D" w14:textId="77777777" w:rsidR="00190A11" w:rsidRDefault="00190A11">
      <w:pPr>
        <w:spacing w:after="1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190A11" w14:paraId="0A41775B" w14:textId="77777777">
        <w:tc>
          <w:tcPr>
            <w:tcW w:w="1044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23302D2A" w14:textId="4300E40A" w:rsidR="00190A11" w:rsidRDefault="00EB3F2E">
            <w:pPr>
              <w:spacing w:line="320" w:lineRule="auto"/>
            </w:pPr>
            <w:r w:rsidRPr="00EB3F2E">
              <w:rPr>
                <w:rFonts w:hint="eastAsia"/>
                <w:color w:val="EE0000"/>
                <w:sz w:val="20"/>
                <w:szCs w:val="20"/>
              </w:rPr>
              <w:t>9</w:t>
            </w:r>
            <w:r>
              <w:rPr>
                <w:sz w:val="20"/>
                <w:szCs w:val="20"/>
              </w:rPr>
              <w:t xml:space="preserve">월 해상 시장은 미주 강세가 6주 연속 이어지는 가운데, 북유럽·지중해 약세와 중동·남미동안의 높은 변동성이 지속되고 있습니다. </w:t>
            </w:r>
            <w:commentRangeStart w:id="2"/>
            <w:r>
              <w:rPr>
                <w:sz w:val="20"/>
                <w:szCs w:val="20"/>
                <w:u w:val="single"/>
              </w:rPr>
              <w:t>주요 항로별 운임과 수요·공급 동향을 살펴보겠습니다</w:t>
            </w:r>
            <w:commentRangeEnd w:id="2"/>
            <w:r w:rsidR="0078778C">
              <w:rPr>
                <w:rStyle w:val="aa"/>
                <w:sz w:val="20"/>
                <w:szCs w:val="20"/>
                <w:u w:val="single"/>
              </w:rPr>
              <w:commentReference w:id="2"/>
            </w:r>
            <w:r>
              <w:rPr>
                <w:sz w:val="20"/>
                <w:szCs w:val="20"/>
                <w:u w:val="single"/>
              </w:rPr>
              <w:t>.</w:t>
            </w:r>
          </w:p>
        </w:tc>
      </w:tr>
    </w:tbl>
    <w:p w14:paraId="0C8CA266" w14:textId="77777777" w:rsidR="00190A11" w:rsidRDefault="00190A11">
      <w:pPr>
        <w:spacing w:after="2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2C9C98E6" w14:textId="77777777">
        <w:tc>
          <w:tcPr>
            <w:tcW w:w="60" w:type="dxa"/>
            <w:tcBorders>
              <w:top w:val="none" w:sz="0" w:space="0" w:color="FFFFFF"/>
              <w:left w:val="none" w:sz="0" w:space="0" w:color="FFFFFF"/>
              <w:bottom w:val="none" w:sz="0" w:space="0" w:color="FFFFFF"/>
              <w:right w:val="none" w:sz="0" w:space="0" w:color="FFFFFF"/>
            </w:tcBorders>
            <w:shd w:val="clear" w:color="auto" w:fill="1A2254"/>
          </w:tcPr>
          <w:p w14:paraId="0A3EC959"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25BF07D7" w14:textId="77777777" w:rsidR="00190A11" w:rsidRDefault="00000000">
            <w:pPr>
              <w:spacing w:line="300" w:lineRule="auto"/>
            </w:pPr>
            <w:r>
              <w:rPr>
                <w:b/>
                <w:bCs/>
                <w:color w:val="1A2254"/>
              </w:rPr>
              <w:t>SCFI 종합지수</w:t>
            </w:r>
          </w:p>
        </w:tc>
      </w:tr>
    </w:tbl>
    <w:p w14:paraId="0EA28893" w14:textId="77777777" w:rsidR="00190A11" w:rsidRDefault="00190A11">
      <w:pPr>
        <w:spacing w:after="180"/>
      </w:pPr>
    </w:p>
    <w:p w14:paraId="0C5E1ACA" w14:textId="77777777" w:rsidR="00190A11" w:rsidRDefault="00000000">
      <w:pPr>
        <w:spacing w:after="160" w:line="320" w:lineRule="auto"/>
      </w:pPr>
      <w:r>
        <w:t xml:space="preserve">36주차 SCFI 종합지수는 3,590pt로 전주 대비 </w:t>
      </w:r>
      <w:r>
        <w:rPr>
          <w:b/>
          <w:bCs/>
        </w:rPr>
        <w:t>2.3% 상승</w:t>
      </w:r>
      <w:r>
        <w:t>했으며 6주 연속 상승 흐름이 이어졌습니다. 8월 평균은 3,388pt로 전월 대비 6.8% 상승했으며, 미주 강세가 북유럽·지중해 약세를 상쇄했습니다.</w:t>
      </w:r>
    </w:p>
    <w:p w14:paraId="11367161" w14:textId="77777777" w:rsidR="00190A11" w:rsidRDefault="00000000">
      <w:pPr>
        <w:spacing w:after="160" w:line="320" w:lineRule="auto"/>
      </w:pPr>
      <w:r>
        <w:t>8월 미서안 운임은 평균 $6,726/FEU로 전월 대비 10.9%, 미동안은 평균 $9,651/FEU로 15.7% 상승했습니다. 견조한 미국 수요와 중국 태풍에 따른 항만 운영 차질, 파나마 통항 제약 우려가 운임 강세를 지지하고 있습니다.</w:t>
      </w:r>
    </w:p>
    <w:p w14:paraId="70A86057" w14:textId="77777777" w:rsidR="00190A11" w:rsidRDefault="00000000">
      <w:pPr>
        <w:spacing w:after="100" w:line="320" w:lineRule="auto"/>
      </w:pPr>
      <w:r>
        <w:t>반면 8월 북유럽·지중해는 전월 대비 각각 11.3%·14.2% 하락하며 약세가 지속됐고, 중동·남미동안은 각각 26.2%·20.7% 상승하며 공급 제약 속에 높은 수준을 유지했습니다.</w:t>
      </w:r>
    </w:p>
    <w:p w14:paraId="0684DC1A" w14:textId="77777777" w:rsidR="00190A11" w:rsidRDefault="00000000">
      <w:pPr>
        <w:spacing w:after="240" w:line="320" w:lineRule="auto"/>
        <w:jc w:val="right"/>
      </w:pPr>
      <w:r>
        <w:rPr>
          <w:color w:val="A3A9B8"/>
          <w:sz w:val="17"/>
          <w:szCs w:val="17"/>
        </w:rPr>
        <w:t>(출처 : Shanghai Shipping Exchange)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5B7F2F89" w14:textId="77777777">
        <w:tc>
          <w:tcPr>
            <w:tcW w:w="60" w:type="dxa"/>
            <w:tcBorders>
              <w:top w:val="none" w:sz="0" w:space="0" w:color="FFFFFF"/>
              <w:left w:val="none" w:sz="0" w:space="0" w:color="FFFFFF"/>
              <w:bottom w:val="none" w:sz="0" w:space="0" w:color="FFFFFF"/>
              <w:right w:val="none" w:sz="0" w:space="0" w:color="FFFFFF"/>
            </w:tcBorders>
            <w:shd w:val="clear" w:color="auto" w:fill="1A2254"/>
          </w:tcPr>
          <w:p w14:paraId="31FC738A"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3CE94169" w14:textId="77777777" w:rsidR="00190A11" w:rsidRDefault="00000000">
            <w:pPr>
              <w:spacing w:line="300" w:lineRule="auto"/>
            </w:pPr>
            <w:r>
              <w:rPr>
                <w:b/>
                <w:bCs/>
                <w:color w:val="1A2254"/>
              </w:rPr>
              <w:t>삼성SDS SCFI 전망</w:t>
            </w:r>
          </w:p>
        </w:tc>
      </w:tr>
    </w:tbl>
    <w:p w14:paraId="394F852B" w14:textId="77777777" w:rsidR="00190A11" w:rsidRDefault="00190A11">
      <w:pPr>
        <w:spacing w:after="180"/>
      </w:pPr>
    </w:p>
    <w:p w14:paraId="3AB499C3" w14:textId="77777777" w:rsidR="00190A11" w:rsidRDefault="00000000">
      <w:pPr>
        <w:spacing w:after="160" w:line="320" w:lineRule="auto"/>
      </w:pPr>
      <w:r>
        <w:t>9월 SCFI 종합지수는 미주 강세와 북유럽·지중해 약세가 이어질 전망입니다. 유럽 약세가 지속되는 가운데 미주 운임의 강세 지속 여부가 지수 방향을 좌우할 것으로 예상됩니다.</w:t>
      </w:r>
    </w:p>
    <w:p w14:paraId="3D7BB132" w14:textId="77777777" w:rsidR="00190A11" w:rsidRDefault="00000000">
      <w:pPr>
        <w:spacing w:after="160" w:line="320" w:lineRule="auto"/>
      </w:pPr>
      <w:r>
        <w:t>미서안은 중국 항만 정상화 지연과 국경절 전 선적 집중이 맞물리며 강세를 지지하고, 미동안은 중국 항만 차질과 국경절 전 선적 집중에 파나마 통항 Slot 축소까지 더해져 고운임이 지속될 가능성이 높습니다.</w:t>
      </w:r>
    </w:p>
    <w:p w14:paraId="4D499F75" w14:textId="77777777" w:rsidR="00190A11" w:rsidRDefault="00000000">
      <w:pPr>
        <w:spacing w:after="100" w:line="320" w:lineRule="auto"/>
      </w:pPr>
      <w:r>
        <w:t>북유럽·지중해는 성수기 수요 감소로 하락세가 지속될 전망이며, 일부 선사의 수에즈 복귀 움직임에 따른 운항거리 단축이 추가 하락 압력으로 작용할 가능성이 있습니다. 중동·남미동안은 각각 호르무즈 불확실성과 제한된 선복 공급으로 높은 수준을 유지할 전망입니다.</w:t>
      </w:r>
    </w:p>
    <w:p w14:paraId="1C77329C" w14:textId="77777777" w:rsidR="00190A11" w:rsidRDefault="00000000">
      <w:pPr>
        <w:spacing w:after="240" w:line="320" w:lineRule="auto"/>
        <w:jc w:val="right"/>
      </w:pPr>
      <w:r>
        <w:rPr>
          <w:color w:val="A3A9B8"/>
          <w:sz w:val="17"/>
          <w:szCs w:val="17"/>
        </w:rPr>
        <w:t>(출처 :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28F92A36" w14:textId="77777777">
        <w:tc>
          <w:tcPr>
            <w:tcW w:w="60" w:type="dxa"/>
            <w:tcBorders>
              <w:top w:val="none" w:sz="0" w:space="0" w:color="FFFFFF"/>
              <w:left w:val="none" w:sz="0" w:space="0" w:color="FFFFFF"/>
              <w:bottom w:val="none" w:sz="0" w:space="0" w:color="FFFFFF"/>
              <w:right w:val="none" w:sz="0" w:space="0" w:color="FFFFFF"/>
            </w:tcBorders>
            <w:shd w:val="clear" w:color="auto" w:fill="1A2254"/>
          </w:tcPr>
          <w:p w14:paraId="23DD3BC1"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794A0D9D" w14:textId="77777777" w:rsidR="00190A11" w:rsidRDefault="00000000">
            <w:pPr>
              <w:spacing w:line="300" w:lineRule="auto"/>
            </w:pPr>
            <w:r>
              <w:rPr>
                <w:b/>
                <w:bCs/>
                <w:color w:val="1A2254"/>
              </w:rPr>
              <w:t>수요&amp;공급 동향</w:t>
            </w:r>
          </w:p>
        </w:tc>
      </w:tr>
    </w:tbl>
    <w:p w14:paraId="79D51BED" w14:textId="77777777" w:rsidR="00190A11" w:rsidRDefault="00190A11">
      <w:pPr>
        <w:spacing w:after="180"/>
      </w:pPr>
    </w:p>
    <w:p w14:paraId="7F9D49C8" w14:textId="77777777" w:rsidR="00190A11" w:rsidRDefault="00000000">
      <w:pPr>
        <w:spacing w:after="160" w:line="320" w:lineRule="auto"/>
      </w:pPr>
      <w:r>
        <w:t xml:space="preserve">2026년 글로벌 컨테이너 물동은 전년 대비 </w:t>
      </w:r>
      <w:r>
        <w:rPr>
          <w:b/>
          <w:bCs/>
        </w:rPr>
        <w:t>3.8% 증가</w:t>
      </w:r>
      <w:r>
        <w:t xml:space="preserve"> 전망입니다. 미국향 수요가 예상보다 견조한 반면 유럽향은 조기 성수기 이후 둔화되며 항로별 차이가 확대되는 흐름입니다.</w:t>
      </w:r>
    </w:p>
    <w:p w14:paraId="50247311" w14:textId="77777777" w:rsidR="00190A11" w:rsidRDefault="00000000">
      <w:pPr>
        <w:spacing w:after="160" w:line="320" w:lineRule="auto"/>
      </w:pPr>
      <w:r>
        <w:t>3분기 아시아-북미 물동은 전년 동기 대비 1.7% 감소 전망이나 2025년 3분기 7.6% 감소 대비 감소폭은 크게 축소되었고, 아시아-유럽은 조기 성수기(5~7월) 이후 물동이 빠르게 감소하며 1.3% 증가에 그칠 전망입니다.</w:t>
      </w:r>
    </w:p>
    <w:p w14:paraId="215F454B" w14:textId="77777777" w:rsidR="00190A11" w:rsidRDefault="00000000">
      <w:pPr>
        <w:spacing w:after="100" w:line="320" w:lineRule="auto"/>
      </w:pPr>
      <w:r>
        <w:t xml:space="preserve">2026년 글로벌 컨테이너 선대는 </w:t>
      </w:r>
      <w:r>
        <w:rPr>
          <w:b/>
          <w:bCs/>
        </w:rPr>
        <w:t>34.6백만 TEU로 전년 대비 4.6% 증가</w:t>
      </w:r>
      <w:r>
        <w:t xml:space="preserve"> 전망으로 수요 증가율을 상회합니다. 신조선 인도는 1.6백만 TEU로 여전히 높은 수준이며 폐선은 매우 저조합니다. 중국 항만 차질과 홍해·호르무즈 제약으로 실제 가용 선복이 제한된 가운데, 9월에는 국경절 전 선적 집중에 대응한 높은 수준의 선복 투입이 지속될 전망입니다.</w:t>
      </w:r>
    </w:p>
    <w:p w14:paraId="5EF21A39" w14:textId="77777777" w:rsidR="00190A11" w:rsidRDefault="00000000">
      <w:pPr>
        <w:spacing w:after="240" w:line="320" w:lineRule="auto"/>
        <w:jc w:val="right"/>
      </w:pPr>
      <w:r>
        <w:rPr>
          <w:color w:val="A3A9B8"/>
          <w:sz w:val="17"/>
          <w:szCs w:val="17"/>
        </w:rPr>
        <w:t>(출처 : Clarksons,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10353E85" w14:textId="77777777">
        <w:tc>
          <w:tcPr>
            <w:tcW w:w="60" w:type="dxa"/>
            <w:tcBorders>
              <w:top w:val="none" w:sz="0" w:space="0" w:color="FFFFFF"/>
              <w:left w:val="none" w:sz="0" w:space="0" w:color="FFFFFF"/>
              <w:bottom w:val="none" w:sz="0" w:space="0" w:color="FFFFFF"/>
              <w:right w:val="none" w:sz="0" w:space="0" w:color="FFFFFF"/>
            </w:tcBorders>
            <w:shd w:val="clear" w:color="auto" w:fill="1A2254"/>
          </w:tcPr>
          <w:p w14:paraId="08E4DD98"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4F15BE60" w14:textId="77777777" w:rsidR="00190A11" w:rsidRDefault="00000000">
            <w:pPr>
              <w:spacing w:line="300" w:lineRule="auto"/>
            </w:pPr>
            <w:r>
              <w:rPr>
                <w:b/>
                <w:bCs/>
                <w:color w:val="1A2254"/>
              </w:rPr>
              <w:t>지역별 동향</w:t>
            </w:r>
          </w:p>
        </w:tc>
      </w:tr>
    </w:tbl>
    <w:p w14:paraId="65AC3F65" w14:textId="77777777" w:rsidR="00190A11" w:rsidRDefault="00190A11">
      <w:pPr>
        <w:spacing w:after="180"/>
      </w:pPr>
    </w:p>
    <w:p w14:paraId="1C08DFAF" w14:textId="77777777" w:rsidR="00190A11" w:rsidRDefault="00000000">
      <w:pPr>
        <w:spacing w:after="100" w:line="320" w:lineRule="auto"/>
      </w:pPr>
      <w:r>
        <w:rPr>
          <w:b/>
          <w:bCs/>
          <w:color w:val="1A2254"/>
        </w:rPr>
        <w:lastRenderedPageBreak/>
        <w:t>[아시아]  태풍 여파에 따른 중국 주요 항만 체선 재확대</w:t>
      </w:r>
    </w:p>
    <w:p w14:paraId="1B79F5D2" w14:textId="77777777" w:rsidR="00190A11" w:rsidRDefault="00000000">
      <w:pPr>
        <w:spacing w:after="220" w:line="320" w:lineRule="auto"/>
      </w:pPr>
      <w:r>
        <w:rPr>
          <w:sz w:val="20"/>
          <w:szCs w:val="20"/>
        </w:rPr>
        <w:t>상하이항 체선은 35주차 196.2척에서 36주차 212.1척으로 8.1% 증가하며 태풍 영향이 반복되고 있고, 싱가포르항 체선도 35주차 130.4척에서 36주차 139.9척으로 7.3% 증가했습니다. 아시아-미서안 투입 선박수는 9월 138척(+3.0%), 아시아-미동안 75척(+4.2%)으로 국경절 전 선적 집중에 대응한 공급 확대가 이어질 전망입니다.</w:t>
      </w:r>
    </w:p>
    <w:p w14:paraId="30D84A70" w14:textId="77777777" w:rsidR="00190A11" w:rsidRDefault="00000000">
      <w:pPr>
        <w:spacing w:after="100" w:line="320" w:lineRule="auto"/>
      </w:pPr>
      <w:r>
        <w:rPr>
          <w:b/>
          <w:bCs/>
          <w:color w:val="1A2254"/>
        </w:rPr>
        <w:t>[미주]  파나마 운하 통항 감축과 롱비치항 체선 지속</w:t>
      </w:r>
    </w:p>
    <w:p w14:paraId="74AC79A9" w14:textId="77777777" w:rsidR="00190A11" w:rsidRDefault="00000000">
      <w:pPr>
        <w:spacing w:after="220" w:line="320" w:lineRule="auto"/>
      </w:pPr>
      <w:r>
        <w:rPr>
          <w:sz w:val="20"/>
          <w:szCs w:val="20"/>
        </w:rPr>
        <w:t>파나마운하청은 9월 4일부터 일일 통항량을 36척에서 34척으로, 15일부터 32척으로 추가 축소하고 네오파나막스 흘수 확대를 10월 1일로 연기했습니다. 롱비치 체선은 33주차 19.4척에서 36주차 26.8척으로 3주 연속 증가했고, 미동안은 파나마 통항 Slot 축소와 흘수 제한으로 실질 공급 확대 효과가 제한될 전망입니다.</w:t>
      </w:r>
    </w:p>
    <w:p w14:paraId="17C43378" w14:textId="77777777" w:rsidR="00190A11" w:rsidRDefault="00000000">
      <w:pPr>
        <w:spacing w:after="100" w:line="320" w:lineRule="auto"/>
      </w:pPr>
      <w:r>
        <w:rPr>
          <w:b/>
          <w:bCs/>
          <w:color w:val="1A2254"/>
        </w:rPr>
        <w:t>[유럽]  성수기 수요 둔화 속 하락세 지속</w:t>
      </w:r>
    </w:p>
    <w:p w14:paraId="5CF74BCC" w14:textId="77777777" w:rsidR="00190A11" w:rsidRDefault="00000000">
      <w:pPr>
        <w:spacing w:after="260" w:line="320" w:lineRule="auto"/>
      </w:pPr>
      <w:r>
        <w:rPr>
          <w:sz w:val="20"/>
          <w:szCs w:val="20"/>
        </w:rPr>
        <w:t>로테르담 체선은 36주차 57.8척으로 상반기 대비 완화됐고, 함부르크는 37.0척으로 최근 물동 둔화가 반영되고 있습니다. 아시아-북유럽 투입 선박수는 9월 109척(+12.4%), 아시아-지중해 134척(+4.7%)으로 확대되며 성수기 수요 둔화 속 공급 부담이 커질 것으로 예상됩니다. 일부 선사의 수에즈 복귀 움직임에 따른 운항거리 단축도 추가 하락 압력으로 작용할 가능성이 있습니다.</w:t>
      </w:r>
    </w:p>
    <w:p w14:paraId="1623BCB6" w14:textId="77777777" w:rsidR="00190A11" w:rsidRDefault="00190A11">
      <w:pPr>
        <w:spacing w:after="30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190A11" w14:paraId="6E8834C0" w14:textId="77777777">
        <w:tc>
          <w:tcPr>
            <w:tcW w:w="10440" w:type="dxa"/>
            <w:tcBorders>
              <w:top w:val="none" w:sz="0" w:space="0" w:color="FFFFFF"/>
              <w:left w:val="none" w:sz="0" w:space="0" w:color="FFFFFF"/>
              <w:bottom w:val="none" w:sz="0" w:space="0" w:color="FFFFFF"/>
              <w:right w:val="none" w:sz="0" w:space="0" w:color="FFFFFF"/>
            </w:tcBorders>
            <w:shd w:val="clear" w:color="auto" w:fill="2E43BA"/>
            <w:tcMar>
              <w:top w:w="180" w:type="dxa"/>
              <w:left w:w="240" w:type="dxa"/>
              <w:bottom w:w="180" w:type="dxa"/>
              <w:right w:w="240" w:type="dxa"/>
            </w:tcMar>
          </w:tcPr>
          <w:p w14:paraId="740B3F4C" w14:textId="77777777" w:rsidR="00190A11" w:rsidRDefault="00000000">
            <w:pPr>
              <w:spacing w:line="300" w:lineRule="auto"/>
            </w:pPr>
            <w:r>
              <w:rPr>
                <w:b/>
                <w:bCs/>
                <w:color w:val="FFFFFF"/>
                <w:sz w:val="24"/>
                <w:szCs w:val="24"/>
              </w:rPr>
              <w:t>항공</w:t>
            </w:r>
          </w:p>
        </w:tc>
      </w:tr>
    </w:tbl>
    <w:p w14:paraId="7A5CAA66" w14:textId="77777777" w:rsidR="00190A11" w:rsidRDefault="00190A11">
      <w:pPr>
        <w:spacing w:after="1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190A11" w14:paraId="78C47CBD" w14:textId="77777777">
        <w:tc>
          <w:tcPr>
            <w:tcW w:w="1044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5002069C" w14:textId="5ED5A393" w:rsidR="00190A11" w:rsidRDefault="00E2730D">
            <w:pPr>
              <w:spacing w:line="320" w:lineRule="auto"/>
            </w:pPr>
            <w:r w:rsidRPr="00E2730D">
              <w:rPr>
                <w:rFonts w:hint="eastAsia"/>
                <w:color w:val="EE0000"/>
                <w:sz w:val="20"/>
                <w:szCs w:val="20"/>
              </w:rPr>
              <w:t>9</w:t>
            </w:r>
            <w:r>
              <w:rPr>
                <w:sz w:val="20"/>
                <w:szCs w:val="20"/>
              </w:rPr>
              <w:t xml:space="preserve">월 항공 화물 시장은 아시아발 반도체 수요 강세가 지속되는 가운데 미주향 고운임 기조가 유지되고, 유럽 노선은 성수기 진입 효과로 하락세 진정이 예상됩니다. </w:t>
            </w:r>
            <w:r>
              <w:rPr>
                <w:sz w:val="20"/>
                <w:szCs w:val="20"/>
                <w:u w:val="single"/>
              </w:rPr>
              <w:t>주요 노선별 운임과 수요·공급 동향을 살펴보겠습니다.</w:t>
            </w:r>
          </w:p>
        </w:tc>
      </w:tr>
    </w:tbl>
    <w:p w14:paraId="24F25858" w14:textId="77777777" w:rsidR="00190A11" w:rsidRDefault="00190A11">
      <w:pPr>
        <w:spacing w:after="28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563D7C47" w14:textId="77777777">
        <w:tc>
          <w:tcPr>
            <w:tcW w:w="60" w:type="dxa"/>
            <w:tcBorders>
              <w:top w:val="none" w:sz="0" w:space="0" w:color="FFFFFF"/>
              <w:left w:val="none" w:sz="0" w:space="0" w:color="FFFFFF"/>
              <w:bottom w:val="none" w:sz="0" w:space="0" w:color="FFFFFF"/>
              <w:right w:val="none" w:sz="0" w:space="0" w:color="FFFFFF"/>
            </w:tcBorders>
            <w:shd w:val="clear" w:color="auto" w:fill="2E43BA"/>
          </w:tcPr>
          <w:p w14:paraId="00340136"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661F34E7" w14:textId="77777777" w:rsidR="00190A11" w:rsidRDefault="00000000">
            <w:pPr>
              <w:spacing w:line="300" w:lineRule="auto"/>
            </w:pPr>
            <w:r>
              <w:rPr>
                <w:b/>
                <w:bCs/>
                <w:color w:val="1A2254"/>
              </w:rPr>
              <w:t>TAC Index</w:t>
            </w:r>
          </w:p>
        </w:tc>
      </w:tr>
    </w:tbl>
    <w:p w14:paraId="0FD58969" w14:textId="77777777" w:rsidR="00190A11" w:rsidRDefault="00190A11">
      <w:pPr>
        <w:spacing w:after="180"/>
      </w:pPr>
    </w:p>
    <w:p w14:paraId="0E053DEA" w14:textId="77777777" w:rsidR="00190A11" w:rsidRDefault="00000000">
      <w:pPr>
        <w:spacing w:after="160" w:line="320" w:lineRule="auto"/>
      </w:pPr>
      <w:r>
        <w:t xml:space="preserve">35주차 발틱 항공 운임지수는 </w:t>
      </w:r>
      <w:r>
        <w:rPr>
          <w:b/>
          <w:bCs/>
        </w:rPr>
        <w:t>2,419로 전주 대비 0.2% 하락</w:t>
      </w:r>
      <w:r>
        <w:t xml:space="preserve">했으나, 8월 운임은 7월 급락세가 진정되며 보합권 등락이 지속되었습니다. 중동발 리스크 잔존으로 항공유 강세가 운임 하단을 지지하고 </w:t>
      </w:r>
      <w:r>
        <w:lastRenderedPageBreak/>
        <w:t>있습니다.</w:t>
      </w:r>
    </w:p>
    <w:p w14:paraId="7A24F965" w14:textId="77777777" w:rsidR="00190A11" w:rsidRDefault="00000000">
      <w:pPr>
        <w:spacing w:after="160" w:line="320" w:lineRule="auto"/>
      </w:pPr>
      <w:r>
        <w:t>8월 평균 운임은 2,422로 전월 대비 1.5% 하락, 전년 대비 19.1% 상승하며 비수기 내 고운임 국면이 지속되고 있습니다.</w:t>
      </w:r>
    </w:p>
    <w:p w14:paraId="77808B27" w14:textId="77777777" w:rsidR="00190A11" w:rsidRDefault="00000000">
      <w:pPr>
        <w:spacing w:after="100" w:line="320" w:lineRule="auto"/>
      </w:pPr>
      <w:r>
        <w:t>8월 미주착은 홍콩발 2.8% 상승 등 상대적으로 견조했고, 중국·홍콩발 유럽착은 전월 대비 2.1~8.7% 하락했습니다. 인도발 노선은 중동 공역 제한 및 우회 운항 영향으로 5월 이후 전 노선이 전년 대비 50~80% 상승세를 이어가고 있으며, 8월 인도발 평균 운임은 미국착 54.3%, 유럽착 60.4% 상승했습니다.</w:t>
      </w:r>
    </w:p>
    <w:p w14:paraId="196753ED" w14:textId="77777777" w:rsidR="00190A11" w:rsidRDefault="00000000">
      <w:pPr>
        <w:spacing w:after="240" w:line="320" w:lineRule="auto"/>
        <w:jc w:val="right"/>
      </w:pPr>
      <w:r>
        <w:rPr>
          <w:color w:val="A3A9B8"/>
          <w:sz w:val="17"/>
          <w:szCs w:val="17"/>
        </w:rPr>
        <w:t>(출처 : TAC Index)</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5F512904" w14:textId="77777777">
        <w:tc>
          <w:tcPr>
            <w:tcW w:w="60" w:type="dxa"/>
            <w:tcBorders>
              <w:top w:val="none" w:sz="0" w:space="0" w:color="FFFFFF"/>
              <w:left w:val="none" w:sz="0" w:space="0" w:color="FFFFFF"/>
              <w:bottom w:val="none" w:sz="0" w:space="0" w:color="FFFFFF"/>
              <w:right w:val="none" w:sz="0" w:space="0" w:color="FFFFFF"/>
            </w:tcBorders>
            <w:shd w:val="clear" w:color="auto" w:fill="2E43BA"/>
          </w:tcPr>
          <w:p w14:paraId="2C0B6F36"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4DB6225D" w14:textId="77777777" w:rsidR="00190A11" w:rsidRDefault="00000000">
            <w:pPr>
              <w:spacing w:line="300" w:lineRule="auto"/>
            </w:pPr>
            <w:r>
              <w:rPr>
                <w:b/>
                <w:bCs/>
                <w:color w:val="1A2254"/>
              </w:rPr>
              <w:t>삼성SDS TAC 전망</w:t>
            </w:r>
          </w:p>
        </w:tc>
      </w:tr>
    </w:tbl>
    <w:p w14:paraId="479F797C" w14:textId="77777777" w:rsidR="00190A11" w:rsidRDefault="00190A11">
      <w:pPr>
        <w:spacing w:after="180"/>
      </w:pPr>
    </w:p>
    <w:p w14:paraId="4C046DA0" w14:textId="77777777" w:rsidR="00190A11" w:rsidRDefault="00000000">
      <w:pPr>
        <w:spacing w:after="160" w:line="320" w:lineRule="auto"/>
      </w:pPr>
      <w:r>
        <w:t>9월 항공 화물 시장은 아시아발 반도체 수요 강세가 지속되는 가운데 미주향 중심 고운임 기조가 유지될 전망입니다. 성수기 중국·홍콩발 중심 운임 반등, 아시아-미주 노선 화물기 가동률 상승이 운임 하단을 지지할 가능성이 있습니다.</w:t>
      </w:r>
    </w:p>
    <w:p w14:paraId="60EE7C53" w14:textId="77777777" w:rsidR="00190A11" w:rsidRDefault="00000000">
      <w:pPr>
        <w:spacing w:after="160" w:line="320" w:lineRule="auto"/>
      </w:pPr>
      <w:r>
        <w:t>북미향은 대만·한국발 노선의 반도체 물동이 수요를 지속 견인하며 운임 강세 기조를 이어갈 전망입니다. 유럽향은 국경절 전 밀어내기 물량 유입으로 이커머스 위축에 따른 물량 감소폭이 완화될 가능성이 있습니다.</w:t>
      </w:r>
    </w:p>
    <w:p w14:paraId="382456E4" w14:textId="77777777" w:rsidR="00190A11" w:rsidRDefault="00000000">
      <w:pPr>
        <w:spacing w:after="100" w:line="320" w:lineRule="auto"/>
      </w:pPr>
      <w:r>
        <w:t>전반적으로 항공 운임은 중국·홍콩발 유럽 노선 운임 회복과 성수기 진입 효과가 맞물리며 하락세가 진정되고, 소폭 상승 전환이 전망됩니다.</w:t>
      </w:r>
    </w:p>
    <w:p w14:paraId="65264164" w14:textId="77777777" w:rsidR="00190A11" w:rsidRDefault="00000000">
      <w:pPr>
        <w:spacing w:after="240" w:line="320" w:lineRule="auto"/>
        <w:jc w:val="right"/>
      </w:pPr>
      <w:r>
        <w:rPr>
          <w:color w:val="A3A9B8"/>
          <w:sz w:val="17"/>
          <w:szCs w:val="17"/>
        </w:rPr>
        <w:t>(출처 : Samsung SDS Brightics)</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72E1CD7D" w14:textId="77777777">
        <w:tc>
          <w:tcPr>
            <w:tcW w:w="60" w:type="dxa"/>
            <w:tcBorders>
              <w:top w:val="none" w:sz="0" w:space="0" w:color="FFFFFF"/>
              <w:left w:val="none" w:sz="0" w:space="0" w:color="FFFFFF"/>
              <w:bottom w:val="none" w:sz="0" w:space="0" w:color="FFFFFF"/>
              <w:right w:val="none" w:sz="0" w:space="0" w:color="FFFFFF"/>
            </w:tcBorders>
            <w:shd w:val="clear" w:color="auto" w:fill="2E43BA"/>
          </w:tcPr>
          <w:p w14:paraId="07A78DFF"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41FF1BFF" w14:textId="77777777" w:rsidR="00190A11" w:rsidRDefault="00000000">
            <w:pPr>
              <w:spacing w:line="300" w:lineRule="auto"/>
            </w:pPr>
            <w:r>
              <w:rPr>
                <w:b/>
                <w:bCs/>
                <w:color w:val="1A2254"/>
              </w:rPr>
              <w:t>수요&amp;공급 동향</w:t>
            </w:r>
          </w:p>
        </w:tc>
      </w:tr>
    </w:tbl>
    <w:p w14:paraId="5B953C07" w14:textId="77777777" w:rsidR="00190A11" w:rsidRDefault="00190A11">
      <w:pPr>
        <w:spacing w:after="180"/>
      </w:pPr>
    </w:p>
    <w:p w14:paraId="072CCFE8" w14:textId="77777777" w:rsidR="00190A11" w:rsidRDefault="00000000">
      <w:pPr>
        <w:spacing w:after="160" w:line="320" w:lineRule="auto"/>
      </w:pPr>
      <w:r>
        <w:t xml:space="preserve">7월 수요는 전년 동기 대비 </w:t>
      </w:r>
      <w:r>
        <w:rPr>
          <w:b/>
          <w:bCs/>
        </w:rPr>
        <w:t>4.7% 증가</w:t>
      </w:r>
      <w:r>
        <w:t xml:space="preserve">(전월 대비 1.4% 증가)하며 성장이 지속되었습니다. 트랜스퍼시픽 노선의 해상 운임 급등에 따른 Modal Shift 효과 및 아시아-북미향 반도체·AI서버 화물로 항공 수요가 확대되었습니다. 화물기 물동은 전년 대비 13.9% 늘며 5년 만에 최대 증가폭을 기록한 반면, </w:t>
      </w:r>
      <w:r>
        <w:lastRenderedPageBreak/>
        <w:t>여객 물동은 전년 대비 7.0% 감소하였습니다.</w:t>
      </w:r>
    </w:p>
    <w:p w14:paraId="5D30B851" w14:textId="77777777" w:rsidR="00190A11" w:rsidRDefault="00000000">
      <w:pPr>
        <w:spacing w:after="160" w:line="320" w:lineRule="auto"/>
      </w:pPr>
      <w:r>
        <w:t xml:space="preserve">7월 공급은 전년 동기 대비 </w:t>
      </w:r>
      <w:r>
        <w:rPr>
          <w:b/>
          <w:bCs/>
        </w:rPr>
        <w:t>1.8% 증가</w:t>
      </w:r>
      <w:r>
        <w:t>(전월 대비 2.4% 증가)했으나 수요 증가폭을 하회하며 수급 격차는 점진적으로 완화되었습니다. 아시아태평양 항공사 공급이 전체 증가분의 약 74%를 차지한 반면, 북미 항공사 공급은 약 1.5% 감소하였습니다.</w:t>
      </w:r>
    </w:p>
    <w:p w14:paraId="311BEEBE" w14:textId="77777777" w:rsidR="00190A11" w:rsidRDefault="00000000">
      <w:pPr>
        <w:spacing w:after="100" w:line="320" w:lineRule="auto"/>
      </w:pPr>
      <w:r>
        <w:t>8월 공급은 전년 동기 대비 0.4% 증가로 여객기는 보합, 화물기 확장이 전체 성장을 견인했습니다. 글로벌 공급 점유율은 여객기 43%, 화물기 38%, 특송기 19%이며, 반도체·AI서버 수요로 대만·인천발 화물기 투입이 확대되는 반면 중국·홍콩발 감편으로 유럽향은 체감 공급 부족이 이어지고, 남아시아는 인도의 IT·전자 및 제약 수출 화물 허브인 벵갈루루 공항 중심으로 인도발 화물기 공급이 크게 확대되고 있습니다.</w:t>
      </w:r>
    </w:p>
    <w:p w14:paraId="17A2B768" w14:textId="77777777" w:rsidR="00190A11" w:rsidRDefault="00000000">
      <w:pPr>
        <w:spacing w:after="240" w:line="320" w:lineRule="auto"/>
        <w:jc w:val="right"/>
      </w:pPr>
      <w:r>
        <w:rPr>
          <w:color w:val="A3A9B8"/>
          <w:sz w:val="17"/>
          <w:szCs w:val="17"/>
        </w:rPr>
        <w:t>(출처 : WorldACD, IATA, Seabury, TAC Index)</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
        <w:gridCol w:w="10380"/>
      </w:tblGrid>
      <w:tr w:rsidR="00190A11" w14:paraId="62F9D0AC" w14:textId="77777777">
        <w:tc>
          <w:tcPr>
            <w:tcW w:w="60" w:type="dxa"/>
            <w:tcBorders>
              <w:top w:val="none" w:sz="0" w:space="0" w:color="FFFFFF"/>
              <w:left w:val="none" w:sz="0" w:space="0" w:color="FFFFFF"/>
              <w:bottom w:val="none" w:sz="0" w:space="0" w:color="FFFFFF"/>
              <w:right w:val="none" w:sz="0" w:space="0" w:color="FFFFFF"/>
            </w:tcBorders>
            <w:shd w:val="clear" w:color="auto" w:fill="2E43BA"/>
          </w:tcPr>
          <w:p w14:paraId="5862D617" w14:textId="77777777" w:rsidR="00190A11" w:rsidRDefault="00190A11"/>
        </w:tc>
        <w:tc>
          <w:tcPr>
            <w:tcW w:w="10380" w:type="dxa"/>
            <w:tcBorders>
              <w:top w:val="none" w:sz="0" w:space="0" w:color="FFFFFF"/>
              <w:left w:val="none" w:sz="0" w:space="0" w:color="FFFFFF"/>
              <w:bottom w:val="none" w:sz="0" w:space="0" w:color="FFFFFF"/>
              <w:right w:val="none" w:sz="0" w:space="0" w:color="FFFFFF"/>
            </w:tcBorders>
            <w:shd w:val="clear" w:color="auto" w:fill="F5F7FB"/>
            <w:tcMar>
              <w:top w:w="180" w:type="dxa"/>
              <w:left w:w="240" w:type="dxa"/>
              <w:bottom w:w="180" w:type="dxa"/>
              <w:right w:w="240" w:type="dxa"/>
            </w:tcMar>
          </w:tcPr>
          <w:p w14:paraId="62BC0ADE" w14:textId="77777777" w:rsidR="00190A11" w:rsidRDefault="00000000">
            <w:pPr>
              <w:spacing w:line="300" w:lineRule="auto"/>
            </w:pPr>
            <w:r>
              <w:rPr>
                <w:b/>
                <w:bCs/>
                <w:color w:val="1A2254"/>
              </w:rPr>
              <w:t>지역별 동향</w:t>
            </w:r>
          </w:p>
        </w:tc>
      </w:tr>
    </w:tbl>
    <w:p w14:paraId="24C73126" w14:textId="77777777" w:rsidR="00190A11" w:rsidRDefault="00190A11">
      <w:pPr>
        <w:spacing w:after="180"/>
      </w:pPr>
    </w:p>
    <w:p w14:paraId="08B55068" w14:textId="77777777" w:rsidR="00190A11" w:rsidRDefault="00000000">
      <w:pPr>
        <w:spacing w:after="100" w:line="320" w:lineRule="auto"/>
      </w:pPr>
      <w:r>
        <w:rPr>
          <w:b/>
          <w:bCs/>
          <w:color w:val="2E43BA"/>
        </w:rPr>
        <w:t>[아시아]  반도체·AI서버 수요로 대만·인천발 화물기 투입 확대</w:t>
      </w:r>
    </w:p>
    <w:p w14:paraId="2EDA51D7" w14:textId="77777777" w:rsidR="00190A11" w:rsidRDefault="00000000">
      <w:pPr>
        <w:spacing w:after="220" w:line="320" w:lineRule="auto"/>
      </w:pPr>
      <w:r>
        <w:rPr>
          <w:sz w:val="20"/>
          <w:szCs w:val="20"/>
        </w:rPr>
        <w:t>동아시아-미주 노선을 중심으로 반도체·AI서버 화물 수요가 견조하게 유지되며 대만·인천발 화물기 투입이 확대되고 있습니다. 홍콩공항(HKG) 7월 처리량은 42만 2천 톤으로 전년 동월 대비 1.9% 감소했으나, 싱가포르 창이공항(SIN)은 19만 3천 톤(+7.2% YoY)으로 반도체·전자 화물 중심 견조세를 유지했습니다.</w:t>
      </w:r>
    </w:p>
    <w:p w14:paraId="08827775" w14:textId="77777777" w:rsidR="00190A11" w:rsidRDefault="00000000">
      <w:pPr>
        <w:spacing w:after="100" w:line="320" w:lineRule="auto"/>
      </w:pPr>
      <w:r>
        <w:rPr>
          <w:b/>
          <w:bCs/>
          <w:color w:val="2E43BA"/>
        </w:rPr>
        <w:t>[미주]  반도체 수요로 홍콩발 미주 노선 상대적 견조</w:t>
      </w:r>
    </w:p>
    <w:p w14:paraId="102D6886" w14:textId="77777777" w:rsidR="00190A11" w:rsidRDefault="00000000">
      <w:pPr>
        <w:spacing w:after="220" w:line="320" w:lineRule="auto"/>
      </w:pPr>
      <w:r>
        <w:rPr>
          <w:sz w:val="20"/>
          <w:szCs w:val="20"/>
        </w:rPr>
        <w:t>홍콩발 미주 운임은 전월 대비 2.8% 상승, 상해발은 3.0% 하락에 그치며 상대적으로 견조한 흐름을 보였습니다. LA공항(LAX) 7월 처리량은 20만 7천 3백 톤으로 전년 동월 대비 14.6% 증가했으며, 동아시아발 반도체·서버 랙 화물이 태평양 노선 수요를 견인했습니다. 인도발 미주향은 전월 대비 6.4% 상승하며 아시아-미주 노선 중 가장 강한 상승 탄력을 보였습니다.</w:t>
      </w:r>
    </w:p>
    <w:p w14:paraId="390F85D1" w14:textId="77777777" w:rsidR="00190A11" w:rsidRDefault="00000000">
      <w:pPr>
        <w:spacing w:after="100" w:line="320" w:lineRule="auto"/>
      </w:pPr>
      <w:r>
        <w:rPr>
          <w:b/>
          <w:bCs/>
          <w:color w:val="2E43BA"/>
        </w:rPr>
        <w:t>[유럽]  소액 화물 관세 시행 이후 이커머스 물동 위축</w:t>
      </w:r>
    </w:p>
    <w:p w14:paraId="238D720D" w14:textId="77777777" w:rsidR="00190A11" w:rsidRDefault="00000000">
      <w:pPr>
        <w:spacing w:after="260" w:line="320" w:lineRule="auto"/>
      </w:pPr>
      <w:r>
        <w:rPr>
          <w:sz w:val="20"/>
          <w:szCs w:val="20"/>
        </w:rPr>
        <w:t>중국·홍콩발 유럽착 운임은 전월 대비 2.1~8.7% 하락하며 소액 화물 관세 시행 여파가 지속되고 있습니다. 프랑크푸르트공항(FRA) 7월 처리량은 17만 6천 6백 톤(+1.1% YoY)으로 여객 증편에 따른 Belly Cargo 공급 회복세가 확인됐고, 인도발 유럽착 8월 평균 운임은 전년 대비 60.4% 상승하며 중동 공역 제한 및 우회 운항 영향이 이어지고 있습니다.</w:t>
      </w:r>
    </w:p>
    <w:p w14:paraId="045D2F5F" w14:textId="77777777" w:rsidR="00190A11" w:rsidRDefault="00190A11">
      <w:pPr>
        <w:spacing w:after="300"/>
      </w:pPr>
    </w:p>
    <w:sectPr w:rsidR="00190A11">
      <w:pgSz w:w="11906" w:h="16838"/>
      <w:pgMar w:top="1247" w:right="1020" w:bottom="1247" w:left="10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10T17:29:00Z" w:initials="YS">
    <w:p w14:paraId="7C18D7F8" w14:textId="77777777" w:rsidR="0078778C" w:rsidRDefault="0078778C" w:rsidP="0078778C">
      <w:r>
        <w:rPr>
          <w:rStyle w:val="aa"/>
        </w:rPr>
        <w:annotationRef/>
      </w:r>
      <w:r>
        <w:t>국영문 공통 : 본문 내 볼드 처리 유지 필요</w:t>
      </w:r>
    </w:p>
  </w:comment>
  <w:comment w:id="1" w:author="Yoojin Shin" w:date="2026-09-10T17:24:00Z" w:initials="YS">
    <w:p w14:paraId="023B4BB8" w14:textId="77777777" w:rsidR="00E2730D" w:rsidRDefault="00E2730D" w:rsidP="00E2730D">
      <w:r>
        <w:rPr>
          <w:rStyle w:val="aa"/>
        </w:rPr>
        <w:annotationRef/>
      </w:r>
      <w:r>
        <w:t>등록 날짜 반영 - 9/9</w:t>
      </w:r>
    </w:p>
  </w:comment>
  <w:comment w:id="2" w:author="Yoojin Shin" w:date="2026-09-10T17:34:00Z" w:initials="YS">
    <w:p w14:paraId="279940A9" w14:textId="77777777" w:rsidR="0078778C" w:rsidRDefault="0078778C" w:rsidP="0078778C">
      <w:r>
        <w:rPr>
          <w:rStyle w:val="aa"/>
        </w:rPr>
        <w:annotationRef/>
      </w:r>
      <w:r>
        <w:t xml:space="preserve">기존 게시글과 동일 링크 처리(사용성 테스트중) </w:t>
      </w:r>
    </w:p>
    <w:p w14:paraId="7697AD0E" w14:textId="77777777" w:rsidR="0078778C" w:rsidRDefault="0078778C" w:rsidP="0078778C">
      <w:hyperlink r:id="rId1" w:history="1">
        <w:r w:rsidRPr="005D7C1E">
          <w:rPr>
            <w:rStyle w:val="a5"/>
          </w:rPr>
          <w:t>https://www.cello-square.com/kr/marketupdates/view-2267.do</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C18D7F8" w15:done="0"/>
  <w15:commentEx w15:paraId="023B4BB8" w15:done="0"/>
  <w15:commentEx w15:paraId="7697AD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2DBC41C" w16cex:dateUtc="2026-09-10T08:29:00Z"/>
  <w16cex:commentExtensible w16cex:durableId="782E2634" w16cex:dateUtc="2026-09-10T08:24:00Z"/>
  <w16cex:commentExtensible w16cex:durableId="48BA3225" w16cex:dateUtc="2026-09-10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C18D7F8" w16cid:durableId="22DBC41C"/>
  <w16cid:commentId w16cid:paraId="023B4BB8" w16cid:durableId="782E2634"/>
  <w16cid:commentId w16cid:paraId="7697AD0E" w16cid:durableId="48BA32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002647"/>
    <w:multiLevelType w:val="hybridMultilevel"/>
    <w:tmpl w:val="77AC8F32"/>
    <w:lvl w:ilvl="0" w:tplc="E4201D40">
      <w:start w:val="1"/>
      <w:numFmt w:val="bullet"/>
      <w:lvlText w:val="●"/>
      <w:lvlJc w:val="left"/>
      <w:pPr>
        <w:ind w:left="720" w:hanging="360"/>
      </w:pPr>
    </w:lvl>
    <w:lvl w:ilvl="1" w:tplc="5FF815CC">
      <w:start w:val="1"/>
      <w:numFmt w:val="bullet"/>
      <w:lvlText w:val="○"/>
      <w:lvlJc w:val="left"/>
      <w:pPr>
        <w:ind w:left="1440" w:hanging="360"/>
      </w:pPr>
    </w:lvl>
    <w:lvl w:ilvl="2" w:tplc="B7C818E4">
      <w:start w:val="1"/>
      <w:numFmt w:val="bullet"/>
      <w:lvlText w:val="■"/>
      <w:lvlJc w:val="left"/>
      <w:pPr>
        <w:ind w:left="2160" w:hanging="360"/>
      </w:pPr>
    </w:lvl>
    <w:lvl w:ilvl="3" w:tplc="549C49B8">
      <w:start w:val="1"/>
      <w:numFmt w:val="bullet"/>
      <w:lvlText w:val="●"/>
      <w:lvlJc w:val="left"/>
      <w:pPr>
        <w:ind w:left="2880" w:hanging="360"/>
      </w:pPr>
    </w:lvl>
    <w:lvl w:ilvl="4" w:tplc="6ED2DD56">
      <w:start w:val="1"/>
      <w:numFmt w:val="bullet"/>
      <w:lvlText w:val="○"/>
      <w:lvlJc w:val="left"/>
      <w:pPr>
        <w:ind w:left="3600" w:hanging="360"/>
      </w:pPr>
    </w:lvl>
    <w:lvl w:ilvl="5" w:tplc="EFC2A3E0">
      <w:start w:val="1"/>
      <w:numFmt w:val="bullet"/>
      <w:lvlText w:val="■"/>
      <w:lvlJc w:val="left"/>
      <w:pPr>
        <w:ind w:left="4320" w:hanging="360"/>
      </w:pPr>
    </w:lvl>
    <w:lvl w:ilvl="6" w:tplc="75D4C610">
      <w:start w:val="1"/>
      <w:numFmt w:val="bullet"/>
      <w:lvlText w:val="●"/>
      <w:lvlJc w:val="left"/>
      <w:pPr>
        <w:ind w:left="5040" w:hanging="360"/>
      </w:pPr>
    </w:lvl>
    <w:lvl w:ilvl="7" w:tplc="E3966E8C">
      <w:start w:val="1"/>
      <w:numFmt w:val="bullet"/>
      <w:lvlText w:val="●"/>
      <w:lvlJc w:val="left"/>
      <w:pPr>
        <w:ind w:left="5760" w:hanging="360"/>
      </w:pPr>
    </w:lvl>
    <w:lvl w:ilvl="8" w:tplc="76EE0766">
      <w:start w:val="1"/>
      <w:numFmt w:val="bullet"/>
      <w:lvlText w:val="●"/>
      <w:lvlJc w:val="left"/>
      <w:pPr>
        <w:ind w:left="6480" w:hanging="360"/>
      </w:pPr>
    </w:lvl>
  </w:abstractNum>
  <w:num w:numId="1" w16cid:durableId="125358595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A11"/>
    <w:rsid w:val="00190A11"/>
    <w:rsid w:val="00611C35"/>
    <w:rsid w:val="0078778C"/>
    <w:rsid w:val="009F7250"/>
    <w:rsid w:val="00E2730D"/>
    <w:rsid w:val="00EB3F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64A4D7B"/>
  <w15:docId w15:val="{30738189-CC4D-DE4D-896A-E62C09D6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color w:val="2B314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E2730D"/>
    <w:rPr>
      <w:sz w:val="18"/>
      <w:szCs w:val="18"/>
    </w:rPr>
  </w:style>
  <w:style w:type="paragraph" w:styleId="ab">
    <w:name w:val="annotation text"/>
    <w:basedOn w:val="a"/>
    <w:link w:val="Char1"/>
    <w:uiPriority w:val="99"/>
    <w:semiHidden/>
    <w:unhideWhenUsed/>
    <w:rsid w:val="00E2730D"/>
  </w:style>
  <w:style w:type="character" w:customStyle="1" w:styleId="Char1">
    <w:name w:val="메모 텍스트 Char"/>
    <w:basedOn w:val="a0"/>
    <w:link w:val="ab"/>
    <w:uiPriority w:val="99"/>
    <w:semiHidden/>
    <w:rsid w:val="00E2730D"/>
  </w:style>
  <w:style w:type="paragraph" w:styleId="ac">
    <w:name w:val="annotation subject"/>
    <w:basedOn w:val="ab"/>
    <w:next w:val="ab"/>
    <w:link w:val="Char2"/>
    <w:uiPriority w:val="99"/>
    <w:semiHidden/>
    <w:unhideWhenUsed/>
    <w:rsid w:val="00E2730D"/>
    <w:rPr>
      <w:b/>
      <w:bCs/>
    </w:rPr>
  </w:style>
  <w:style w:type="character" w:customStyle="1" w:styleId="Char2">
    <w:name w:val="메모 주제 Char"/>
    <w:basedOn w:val="Char1"/>
    <w:link w:val="ac"/>
    <w:uiPriority w:val="99"/>
    <w:semiHidden/>
    <w:rsid w:val="00E2730D"/>
    <w:rPr>
      <w:b/>
      <w:bCs/>
    </w:rPr>
  </w:style>
  <w:style w:type="character" w:styleId="ad">
    <w:name w:val="Unresolved Mention"/>
    <w:basedOn w:val="a0"/>
    <w:uiPriority w:val="99"/>
    <w:semiHidden/>
    <w:unhideWhenUsed/>
    <w:rsid w:val="00787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ello-square.com/kr/marketupdates/view-2267.do"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661</Words>
  <Characters>3772</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['26년 10월] 물류 Market Intelligence 리포트</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['26년 10월] 물류 Market Intelligence 리포트</dc:title>
  <dc:creator>Samsung SDS Cello Square</dc:creator>
  <cp:lastModifiedBy>Yoojin Shin</cp:lastModifiedBy>
  <cp:revision>3</cp:revision>
  <dcterms:created xsi:type="dcterms:W3CDTF">2026-09-10T08:29:00Z</dcterms:created>
  <dcterms:modified xsi:type="dcterms:W3CDTF">2026-09-10T08:35:00Z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837F36207A63543EC092F226909BA5E26C5978C46FF10B74E1EC9360C4A7E159A9E231F8D1E4FC7D8065D19BBF2E9B87EF96691013A421EABD53F926A9C68E29</vt:lpwstr>
  </property>
</Properties>
</file>