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80"/>
        <w:jc w:val="left"/>
      </w:pPr>
      <w:r>
        <w:rPr>
          <w:rFonts w:ascii="Segoe UI" w:cs="Segoe UI" w:eastAsia="Segoe UI" w:hAnsi="Segoe UI"/>
          <w:b/>
          <w:bCs/>
          <w:color w:val="1A2254"/>
          <w:sz w:val="40"/>
          <w:szCs w:val="40"/>
        </w:rPr>
        <w:t xml:space="preserve">Air Cargo Market Outlook, September 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2E43BA" w:color="auto" w:val="clear"/>
            <w:tcMar>
              <w:top w:type="dxa" w:w="260"/>
              <w:left w:type="dxa" w:w="300"/>
              <w:bottom w:type="dxa" w:w="260"/>
              <w:right w:type="dxa" w:w="300"/>
            </w:tcMar>
          </w:tcPr>
          <w:p>
            <w:pPr>
              <w:spacing w:after="0" w:before="0" w:line="360"/>
              <w:jc w:val="left"/>
            </w:pPr>
            <w:r>
              <w:rPr>
                <w:rFonts w:ascii="Segoe UI" w:cs="Segoe UI" w:eastAsia="Segoe UI" w:hAnsi="Segoe UI"/>
                <w:b/>
                <w:bCs/>
                <w:color w:val="FFFFFF"/>
                <w:sz w:val="24"/>
                <w:szCs w:val="24"/>
              </w:rPr>
              <w:t xml:space="preserve">Semiconductor &amp; AI-server demand and India-origin strength continue, while Europe-bound e-commerce weakness sharpens</w:t>
            </w:r>
          </w:p>
        </w:tc>
      </w:tr>
    </w:tbl>
    <w:p>
      <w:pPr>
        <w:spacing w:after="280"/>
      </w:pPr>
      <w:r>
        <w:rPr>
          <w:sz w:val="2"/>
          <w:szCs w:val="2"/>
        </w:rPr>
        <w:t xml:space="preserve"/>
      </w:r>
    </w:p>
    <w:p>
      <w:pPr>
        <w:spacing w:after="180" w:before="0" w:line="320"/>
        <w:jc w:val="left"/>
      </w:pPr>
      <w:r>
        <w:rPr>
          <w:rFonts w:ascii="Segoe UI" w:cs="Segoe UI" w:eastAsia="Segoe UI" w:hAnsi="Segoe UI"/>
          <w:b w:val="false"/>
          <w:bCs w:val="false"/>
          <w:color w:val="2B3140"/>
          <w:sz w:val="22"/>
          <w:szCs w:val="22"/>
        </w:rPr>
        <w:t xml:space="preserve">In July 2026, global air cargo demand grew 4.7% year on year, sustaining momentum. Modal shift from surging trans-Pacific ocean rates combined with Asia-to-North America semiconductor and AI-server flows to drive demand expansion. Dedicated freighter volumes rose 13.9% year on year — the largest increase in five years — while passenger-aircraft belly cargo volumes fell 7.0%, establishing a freighter-led growth structure.</w:t>
      </w:r>
    </w:p>
    <w:p>
      <w:pPr>
        <w:spacing w:after="180" w:before="0" w:line="320"/>
        <w:jc w:val="left"/>
      </w:pPr>
      <w:r>
        <w:rPr>
          <w:rFonts w:ascii="Segoe UI" w:cs="Segoe UI" w:eastAsia="Segoe UI" w:hAnsi="Segoe UI"/>
          <w:b w:val="false"/>
          <w:bCs w:val="false"/>
          <w:color w:val="2B3140"/>
          <w:sz w:val="22"/>
          <w:szCs w:val="22"/>
        </w:rPr>
        <w:t xml:space="preserve">July supply rose 1.8% year on year, lagging demand growth and progressively easing the supply-demand gap, with Asia-Pacific carriers accounting for about 74% of the increase. In W35, the Baltic Air Freight Index eased 0.2% week on week to 2,419 but held 21.0% above a year earlier, and India-origin lanes have run 50–80% above last year across the board since May on Middle East airspace restrictions and rerouting. This whitepaper reviews air cargo demand and supply, major airport throughput, the Baltic Air Freight Index and route-level rate trends, and Samsung SDS's short-term outlook on the key variables for September and October.</w:t>
      </w:r>
    </w:p>
    <w:p>
      <w:pPr>
        <w:spacing w:after="120"/>
      </w:pPr>
      <w:r>
        <w:rPr>
          <w:sz w:val="2"/>
          <w:szCs w:val="2"/>
        </w:rPr>
        <w:t xml:space="preserve"/>
      </w:r>
    </w:p>
    <w:p>
      <w:pPr>
        <w:spacing w:after="60" w:before="0" w:line="320"/>
        <w:jc w:val="left"/>
      </w:pPr>
      <w:r>
        <w:rPr>
          <w:rFonts w:ascii="Segoe UI" w:cs="Segoe UI" w:eastAsia="Segoe UI" w:hAnsi="Segoe UI"/>
          <w:b w:val="false"/>
          <w:bCs w:val="false"/>
          <w:color w:val="6B7280"/>
          <w:sz w:val="18"/>
          <w:szCs w:val="18"/>
        </w:rPr>
        <w:t xml:space="preserve">Published : September 12, 2026</w:t>
      </w:r>
    </w:p>
    <w:p>
      <w:pPr>
        <w:spacing w:after="240" w:before="0" w:line="320"/>
        <w:jc w:val="left"/>
      </w:pPr>
      <w:r>
        <w:rPr>
          <w:rFonts w:ascii="Segoe UI" w:cs="Segoe UI" w:eastAsia="Segoe UI" w:hAnsi="Segoe UI"/>
          <w:b/>
          <w:bCs/>
          <w:color w:val="1A2254"/>
          <w:sz w:val="20"/>
          <w:szCs w:val="20"/>
        </w:rPr>
        <w:t xml:space="preserve">Samsung SDS Logistics Division  ·  Powered by Cello Square</w:t>
      </w:r>
    </w:p>
    <w:p>
      <w:pPr>
        <w:pBdr>
          <w:bottom w:val="single" w:color="1A2254" w:sz="12" w:space="1"/>
        </w:pBdr>
        <w:spacing w:after="32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Segoe UI" w:cs="Segoe UI" w:eastAsia="Segoe UI" w:hAnsi="Segoe UI"/>
                <w:b/>
                <w:bCs/>
                <w:color w:val="FFFFFF"/>
                <w:sz w:val="26"/>
                <w:szCs w:val="26"/>
              </w:rPr>
              <w:t xml:space="preserve">Key Concept Definitions</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Air Cargo Demand</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overall demand volume for cargo shipped by air. This whitepaper uses IATA and WorldACD indicators to review demand changes versus prior year and prior month, alongside regional volume trends.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Load Factor</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share of available air cargo capacity actually used by cargo. A key indicator of supply-demand balance — when demand grows faster than supply, tightness in the market becomes visible.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Belly Capacity</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Air cargo supply carried in the lower holds of passenger aircraft. Directly influenced by passenger flight schedules and wide-body operations, so airline flight plans are a direct variable in cargo supply.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Freighter Capacity</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supply provided by dedicated cargo aircraft. In July 2026, dedicated freighter volumes rose 13.9% year on year — the largest increase in five years — leading global air cargo growth.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Transpacific</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The trans-Pacific lanes connecting Asia and North America. Freighter deployment out of Taipei and Incheon has expanded on semiconductor and AI-server flows, making the concentration of supply on high-yield lanes increasingly visible.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Baltic Air Freight Index</w:t>
            </w:r>
          </w:p>
        </w:tc>
      </w:tr>
    </w:tbl>
    <w:p>
      <w:pPr>
        <w:spacing w:after="140"/>
      </w:pPr>
      <w:r>
        <w:rPr>
          <w:sz w:val="2"/>
          <w:szCs w:val="2"/>
        </w:rPr>
        <w:t xml:space="preserve"/>
      </w:r>
    </w:p>
    <w:p>
      <w:pPr>
        <w:spacing w:after="260" w:before="0" w:line="320"/>
        <w:jc w:val="left"/>
      </w:pPr>
      <w:r>
        <w:rPr>
          <w:rFonts w:ascii="Segoe UI" w:cs="Segoe UI" w:eastAsia="Segoe UI" w:hAnsi="Segoe UI"/>
          <w:b w:val="false"/>
          <w:bCs w:val="false"/>
          <w:color w:val="2B3140"/>
          <w:sz w:val="20"/>
          <w:szCs w:val="20"/>
        </w:rPr>
        <w:t xml:space="preserve">A rate index reflecting weekly transaction pricing for general air cargo. Used to compare the direction of overall market rates and route-level rate trends.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Samsung SDS TAC Forecast</w:t>
            </w:r>
          </w:p>
        </w:tc>
      </w:tr>
    </w:tbl>
    <w:p>
      <w:pPr>
        <w:spacing w:after="140"/>
      </w:pPr>
      <w:r>
        <w:rPr>
          <w:sz w:val="2"/>
          <w:szCs w:val="2"/>
        </w:rPr>
        <w:t xml:space="preserve"/>
      </w:r>
    </w:p>
    <w:p>
      <w:pPr>
        <w:spacing w:after="240" w:before="0" w:line="320"/>
        <w:jc w:val="left"/>
      </w:pPr>
      <w:r>
        <w:rPr>
          <w:rFonts w:ascii="Segoe UI" w:cs="Segoe UI" w:eastAsia="Segoe UI" w:hAnsi="Segoe UI"/>
          <w:b w:val="false"/>
          <w:bCs w:val="false"/>
          <w:color w:val="2B3140"/>
          <w:sz w:val="20"/>
          <w:szCs w:val="20"/>
        </w:rPr>
        <w:t xml:space="preserve">An indicator built on Samsung SDS Brightics that forecasts short-term rate trends on the main Asia-to-Americas air lanes. Used in this whitepaper to look at route-level rate direction for September and October.</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Segoe UI" w:cs="Segoe UI" w:eastAsia="Segoe UI" w:hAnsi="Segoe UI"/>
                <w:b/>
                <w:bCs/>
                <w:color w:val="FFFFFF"/>
                <w:sz w:val="26"/>
                <w:szCs w:val="26"/>
              </w:rPr>
              <w:t xml:space="preserve">September 2026 Air Cargo Market — Key Questions</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Q1.  What is the key theme in the September 2026 air cargo market?</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The defining feature is sharp segmentation by cargo type and the continued strength of India-origin lanes. July global demand rose 4.7% year on year, but dedicated freighter volumes surged 13.9% while passenger-aircraft belly cargo volumes fell 7.0% — a clear freighter-led growth structure.</w:t>
      </w:r>
    </w:p>
    <w:p>
      <w:pPr>
        <w:spacing w:after="280" w:before="0" w:line="320"/>
        <w:jc w:val="left"/>
      </w:pPr>
      <w:r>
        <w:rPr>
          <w:rFonts w:ascii="Segoe UI" w:cs="Segoe UI" w:eastAsia="Segoe UI" w:hAnsi="Segoe UI"/>
          <w:b w:val="false"/>
          <w:bCs w:val="false"/>
          <w:color w:val="2B3140"/>
          <w:sz w:val="20"/>
          <w:szCs w:val="20"/>
        </w:rPr>
        <w:t xml:space="preserve">By route, Taiwan-, Korea-, and India-origin flows to North America — driven by semiconductor and AI-server cargo — held firm, while China- and Hong Kong-origin volumes to Europe remained weak on lingering effects of de minimis tariff enforcement and e-commerce softness. Reading the market by cargo type and origin-destination pair matters more than reading the market average.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Q2.  Which cargo types are driving air cargo demand?</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High-value technology cargo — semiconductors and AI servers — remains the sustained growth engine. In July, modal shift from surging trans-Pacific ocean rates combined with Asia-to-North America semiconductor and AI-server flows to drive overall demand expansion.</w:t>
      </w:r>
    </w:p>
    <w:p>
      <w:pPr>
        <w:spacing w:after="280" w:before="0" w:line="320"/>
        <w:jc w:val="left"/>
      </w:pPr>
      <w:r>
        <w:rPr>
          <w:rFonts w:ascii="Segoe UI" w:cs="Segoe UI" w:eastAsia="Segoe UI" w:hAnsi="Segoe UI"/>
          <w:b w:val="false"/>
          <w:bCs w:val="false"/>
          <w:color w:val="2B3140"/>
          <w:sz w:val="20"/>
          <w:szCs w:val="20"/>
        </w:rPr>
        <w:t xml:space="preserve">India-origin lanes have run 50–80% above last year across the board since May on Middle East airspace restrictions and rerouting, and freighter supply out of India — with Bengaluru airport as India's IT/electronics and pharmaceutical export hub — has expanded sharply. In contrast, China- and Hong Kong-origin volumes to Europe have continued to weaken since de minimis tariff enforcement, and the shift in cargo mix is widening the demand gap between routes.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Q3.  Is supply keeping up with demand growth?</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July global supply rose 1.8% year on year (up 2.4% MoM), lagging the 4.7% demand growth, and the supply-demand gap is progressively easing. Asia-Pacific carriers accounted for about 74% of the increase, while North American carriers cut supply by about 1.5% — a clear regional divergence.</w:t>
      </w:r>
    </w:p>
    <w:p>
      <w:pPr>
        <w:spacing w:after="280" w:before="0" w:line="320"/>
        <w:jc w:val="left"/>
      </w:pPr>
      <w:r>
        <w:rPr>
          <w:rFonts w:ascii="Segoe UI" w:cs="Segoe UI" w:eastAsia="Segoe UI" w:hAnsi="Segoe UI"/>
          <w:b w:val="false"/>
          <w:bCs w:val="false"/>
          <w:color w:val="2B3140"/>
          <w:sz w:val="20"/>
          <w:szCs w:val="20"/>
        </w:rPr>
        <w:t xml:space="preserve">August supply was up 0.4% year on year — passenger flat, freighter expansion driving growth — and global capacity share has shifted to 43% passenger, 38% freighter, and 19% express. Freighter deployment out of Taipei and Incheon has expanded on semiconductor and AI-server demand, while cuts from China and Hong Kong continue to leave Europe-bound capacity feeling short.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Q4.  How did throughput at major global airports move?</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In July 2026, Los Angeles handled 207.3 thousand tonnes, up 14.6% year on year — the largest growth among the major hubs. East Asia-origin semiconductor and server-rack cargo drove trans-Pacific demand. Singapore Changi handled 193 thousand tonnes (+7.2% YoY), and Frankfurt 176.6 thousand tonnes (+1.1% YoY).</w:t>
      </w:r>
    </w:p>
    <w:p>
      <w:pPr>
        <w:spacing w:after="280" w:before="0" w:line="320"/>
        <w:jc w:val="left"/>
      </w:pPr>
      <w:r>
        <w:rPr>
          <w:rFonts w:ascii="Segoe UI" w:cs="Segoe UI" w:eastAsia="Segoe UI" w:hAnsi="Segoe UI"/>
          <w:b w:val="false"/>
          <w:bCs w:val="false"/>
          <w:color w:val="2B3140"/>
          <w:sz w:val="20"/>
          <w:szCs w:val="20"/>
        </w:rPr>
        <w:t xml:space="preserve">Hong Kong, by contrast, handled 422 thousand tonnes — down 1.9% year on year — as the impact of weakening Europe-bound e-commerce began to feed through. Across the major hubs, the twin dynamics are clear: an Asia-Americas surge led by semiconductor and electronics cargo, and Europe e-commerce weakness.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Q5.  How did August air rates move?</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In W35, the Baltic Air Freight Index eased 0.2% week on week to 2,419, but August traded in a narrow range as July's sharp decline stabilized. The August average of 2,422 was 1.5% below July but 19.1% above a year earlier, sustaining high rates through the low season.</w:t>
      </w:r>
    </w:p>
    <w:p>
      <w:pPr>
        <w:spacing w:after="280" w:before="0" w:line="320"/>
        <w:jc w:val="left"/>
      </w:pPr>
      <w:r>
        <w:rPr>
          <w:rFonts w:ascii="Segoe UI" w:cs="Segoe UI" w:eastAsia="Segoe UI" w:hAnsi="Segoe UI"/>
          <w:b w:val="false"/>
          <w:bCs w:val="false"/>
          <w:color w:val="2B3140"/>
          <w:sz w:val="20"/>
          <w:szCs w:val="20"/>
        </w:rPr>
        <w:t xml:space="preserve">In August, US-bound rates from Hong Kong rose 2.8% and held relatively firm, while China and Hong Kong to Europe fell 2.1–8.7% month on month. India-origin average rates were up 54.3% to the US and 60.4% to Europe year on year — sustaining strength since May — and India-origin to the Americas rose 6.4% MoM, the sharpest gain on any Asia-Americas lane.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E43BA"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Segoe UI" w:cs="Segoe UI" w:eastAsia="Segoe UI" w:hAnsi="Segoe UI"/>
                <w:b/>
                <w:bCs/>
                <w:color w:val="1A2254"/>
                <w:sz w:val="22"/>
                <w:szCs w:val="22"/>
              </w:rPr>
              <w:t xml:space="preserve">Q6.  What is the outlook for September–October air rates, and what variables should we watch?</w:t>
            </w:r>
          </w:p>
        </w:tc>
      </w:tr>
    </w:tbl>
    <w:p>
      <w:pPr>
        <w:spacing w:after="140"/>
      </w:pPr>
      <w:r>
        <w:rPr>
          <w:sz w:val="2"/>
          <w:szCs w:val="2"/>
        </w:rPr>
        <w:t xml:space="preserve"/>
      </w:r>
    </w:p>
    <w:p>
      <w:pPr>
        <w:spacing w:after="160" w:before="0" w:line="320"/>
        <w:jc w:val="left"/>
      </w:pPr>
      <w:r>
        <w:rPr>
          <w:rFonts w:ascii="Segoe UI" w:cs="Segoe UI" w:eastAsia="Segoe UI" w:hAnsi="Segoe UI"/>
          <w:b w:val="false"/>
          <w:bCs w:val="false"/>
          <w:color w:val="2B3140"/>
          <w:sz w:val="20"/>
          <w:szCs w:val="20"/>
        </w:rPr>
        <w:t xml:space="preserve">September's air cargo market is expected to sustain high rates centered on US-bound lanes as Asia-origin semiconductor demand remains strong. Peak-season effects, rate recoveries out of China and Hong Kong, and higher freighter utilization on Asia-US lanes should support the rate floor.</w:t>
      </w:r>
    </w:p>
    <w:p>
      <w:pPr>
        <w:spacing w:after="280" w:before="0" w:line="320"/>
        <w:jc w:val="left"/>
      </w:pPr>
      <w:r>
        <w:rPr>
          <w:rFonts w:ascii="Segoe UI" w:cs="Segoe UI" w:eastAsia="Segoe UI" w:hAnsi="Segoe UI"/>
          <w:b w:val="false"/>
          <w:bCs w:val="false"/>
          <w:color w:val="2B3140"/>
          <w:sz w:val="20"/>
          <w:szCs w:val="20"/>
        </w:rPr>
        <w:t xml:space="preserve">Overall, air freight rates are expected to see the decline ease as China/Hong Kong-Europe recoveries combine with peak-season effects, transitioning to a mild upward shift. Middle East airspace controls and rerouting, jet fuel prices, the pace of Europe e-commerce recovery, and the durability of US-bound AI and semiconductor flows are the main variables for short-term rate volatility.</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Segoe UI" w:cs="Segoe UI" w:eastAsia="Segoe UI" w:hAnsi="Segoe UI"/>
                <w:b/>
                <w:bCs/>
                <w:color w:val="FFFFFF"/>
                <w:sz w:val="26"/>
                <w:szCs w:val="26"/>
              </w:rPr>
              <w:t xml:space="preserve">September 2026 Air Cargo Market — Key Takeaways at a Glance</w:t>
            </w:r>
          </w:p>
        </w:tc>
      </w:tr>
    </w:tbl>
    <w:p>
      <w:pPr>
        <w:spacing w:after="240"/>
      </w:pPr>
      <w:r>
        <w:rPr>
          <w:sz w:val="2"/>
          <w:szCs w:val="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rPr>
          <w:tblHeader/>
        </w:trPr>
        <w:tc>
          <w:tcPr>
            <w:tcW w:type="dxa" w:w="260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Segoe UI" w:cs="Segoe UI" w:eastAsia="Segoe UI" w:hAnsi="Segoe UI"/>
                <w:b/>
                <w:bCs/>
                <w:color w:val="FFFFFF"/>
                <w:sz w:val="20"/>
                <w:szCs w:val="20"/>
              </w:rPr>
              <w:t xml:space="preserve">Category</w:t>
            </w:r>
          </w:p>
        </w:tc>
        <w:tc>
          <w:tcPr>
            <w:tcW w:type="dxa" w:w="784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Segoe UI" w:cs="Segoe UI" w:eastAsia="Segoe UI" w:hAnsi="Segoe UI"/>
                <w:b/>
                <w:bCs/>
                <w:color w:val="FFFFFF"/>
                <w:sz w:val="20"/>
                <w:szCs w:val="20"/>
              </w:rPr>
              <w:t xml:space="preserve">Key Content</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Key Theme</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September 2026 global air cargo demand-supply shifts and route-level rate outlook</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Global Demand</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July demand +4.7% YoY, driven by semiconductor/AI-server cargo and modal shift</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Freighter vs Belly</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Dedicated freighter volumes +13.9% (5-year high); passenger-aircraft belly cargo -7.0%</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North America Demand</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Taiwan- and Korea-origin semiconductor and AI-server flows remain firm; trans-Pacific strength continues</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India-Origin Strength</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All routes running 50–80% above last year since May; freighter deployment centered on Bengaluru</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Europe Demand</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Continued weakness in China/Hong Kong-origin e-commerce flows after de minimis tariff enforcement</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Global Supply</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July supply +1.8% YoY, below demand growth; supply-demand gap progressively easing</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Supply Rebalancing</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Asia-Pacific carriers ~74% of the increase; North American carriers cut supply ~1.5%</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Capacity Share</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August: passenger 43%, freighter 38%, express 19% — freighter expansion driving growth</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Major Airports</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July LAX +14.6%, SIN +7.2%, FRA +1.1%, HKG -1.9% YoY</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Air Rate Index</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W35 Baltic Air Freight Index 2,419 (-0.2% WoW, +21.0% YoY)</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August Avg Rate</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2,422 (-1.5% MoM, +19.1% YoY)</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US-Bound Rates</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HKG-Americas +2.8%, SHA -3.0% (relatively firm); India-Americas +6.4% MoM</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Europe-Bound Rates</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China/Hong Kong-Europe down 2.1–8.7% MoM; weakness continues</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Sep–Oct Outlook</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Asia-Americas strength continues; Europe recovery and peak-season effects support mild upward shift</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Segoe UI" w:cs="Segoe UI" w:eastAsia="Segoe UI" w:hAnsi="Segoe UI"/>
                <w:b/>
                <w:bCs/>
                <w:color w:val="1A2254"/>
                <w:sz w:val="19"/>
                <w:szCs w:val="19"/>
              </w:rPr>
              <w:t xml:space="preserve">Key Risks</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Segoe UI" w:cs="Segoe UI" w:eastAsia="Segoe UI" w:hAnsi="Segoe UI"/>
                <w:b w:val="false"/>
                <w:bCs w:val="false"/>
                <w:color w:val="2B3140"/>
                <w:sz w:val="19"/>
                <w:szCs w:val="19"/>
              </w:rPr>
              <w:t xml:space="preserve">Middle East airspace controls, jet fuel prices, pace of Europe e-commerce recovery, AI/semiconductor flow durability</w:t>
            </w:r>
          </w:p>
        </w:tc>
      </w:tr>
    </w:tbl>
    <w:sectPr>
      <w:pgSz w:w="11906" w:h="16838" w:orient="portrait"/>
      <w:pgMar w:top="1247" w:right="1020" w:bottom="124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B31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Cargo Market Outlook, September 2026</dc:title>
  <dc:creator>Samsung SDS Cello Square</dc:creator>
  <cp:lastModifiedBy>Un-named</cp:lastModifiedBy>
  <cp:revision>1</cp:revision>
  <dcterms:created xsi:type="dcterms:W3CDTF">2026-09-14T04:43:35.169Z</dcterms:created>
  <dcterms:modified xsi:type="dcterms:W3CDTF">2026-09-14T04:43:35.169Z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6" name="FLCMData">
    <vt:lpwstr>116761F549E1C3491D813A52939A9EEB8C9C7978D5079CBB296F19E5C5B3EB471310ADD1E4B19BF800D1866E9F53FA4C53285C8EFAA85E15BE97E181F279F013</vt:lpwstr>
  </property>
</Properties>
</file>