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513"/>
        <w:spacing w:before="64" w:line="227" w:lineRule="auto"/>
        <w:outlineLvl w:val="0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</w:rPr>
        <w:t>AI</w:t>
      </w:r>
      <w:r>
        <w:rPr>
          <w:rFonts w:ascii="Arial" w:hAnsi="Arial" w:eastAsia="Arial" w:cs="Arial"/>
          <w:sz w:val="31"/>
          <w:szCs w:val="31"/>
          <w:b/>
          <w:bCs/>
          <w:spacing w:val="7"/>
        </w:rPr>
        <w:t xml:space="preserve">  </w:t>
      </w:r>
      <w:r>
        <w:rPr>
          <w:sz w:val="31"/>
          <w:szCs w:val="31"/>
          <w:b/>
          <w:bCs/>
          <w:spacing w:val="7"/>
        </w:rPr>
        <w:t>工具使用详情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640"/>
        <w:spacing w:before="6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4"/>
        </w:rPr>
        <w:t>依据《MathorCup数学应用挑战赛人工智能工具使用规定（试行）》整理</w:t>
      </w:r>
    </w:p>
    <w:p>
      <w:pPr>
        <w:ind w:left="12" w:right="133" w:firstLine="348"/>
        <w:spacing w:before="71" w:line="252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本记录对应论文《面向啤酒酿造化合物的感官分级预测、关键化合物归因与风格条件生成》，正文共 10 章、13 个独立公式段、23 张图、10 张表、18 条参考文献。在写作过程中，我们把 AI 工具用在语言润色、排版检查、术语翻译与校对、参考文献格式整理、代码调试这类辅助环节上，建模思路、求解过程和全部结论均由参赛队独立完成。下面按实际使用情况逐项说明。</w:t>
      </w:r>
    </w:p>
    <w:p>
      <w:pPr>
        <w:pStyle w:val="BodyText"/>
        <w:ind w:left="2646"/>
        <w:spacing w:before="11" w:line="22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一、所用</w:t>
      </w:r>
      <w:r>
        <w:rPr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 xml:space="preserve">  </w:t>
      </w:r>
      <w:r>
        <w:rPr>
          <w:sz w:val="24"/>
          <w:szCs w:val="24"/>
          <w:spacing w:val="1"/>
        </w:rPr>
        <w:t>工具名称、版本或型号</w:t>
      </w:r>
    </w:p>
    <w:p>
      <w:pPr>
        <w:spacing w:before="35"/>
        <w:rPr/>
      </w:pPr>
      <w:r/>
    </w:p>
    <w:tbl>
      <w:tblPr>
        <w:tblStyle w:val="TableNormal"/>
        <w:tblW w:w="8336" w:type="dxa"/>
        <w:tblInd w:w="4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6"/>
        <w:gridCol w:w="1286"/>
        <w:gridCol w:w="1764"/>
        <w:gridCol w:w="3101"/>
        <w:gridCol w:w="1579"/>
      </w:tblGrid>
      <w:tr>
        <w:trPr>
          <w:trHeight w:val="412" w:hRule="atLeast"/>
        </w:trPr>
        <w:tc>
          <w:tcPr>
            <w:tcW w:w="6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6"/>
              <w:spacing w:before="52" w:line="222" w:lineRule="auto"/>
              <w:rPr/>
            </w:pPr>
            <w:r>
              <w:rPr/>
              <w:t>序号</w:t>
            </w:r>
          </w:p>
        </w:tc>
        <w:tc>
          <w:tcPr>
            <w:tcW w:w="12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4"/>
              <w:spacing w:before="52" w:line="222" w:lineRule="auto"/>
              <w:rPr/>
            </w:pPr>
            <w:r>
              <w:rPr>
                <w:spacing w:val="2"/>
              </w:rPr>
              <w:t>工具名称</w:t>
            </w:r>
          </w:p>
        </w:tc>
        <w:tc>
          <w:tcPr>
            <w:tcW w:w="17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7"/>
              <w:spacing w:before="49" w:line="220" w:lineRule="auto"/>
              <w:rPr/>
            </w:pPr>
            <w:r>
              <w:rPr>
                <w:spacing w:val="3"/>
              </w:rPr>
              <w:t>版本或型号</w:t>
            </w:r>
          </w:p>
        </w:tc>
        <w:tc>
          <w:tcPr>
            <w:tcW w:w="31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9"/>
              <w:spacing w:before="49" w:line="220" w:lineRule="auto"/>
              <w:rPr/>
            </w:pPr>
            <w:r>
              <w:rPr>
                <w:spacing w:val="2"/>
              </w:rPr>
              <w:t>开发机构</w:t>
            </w:r>
          </w:p>
        </w:tc>
        <w:tc>
          <w:tcPr>
            <w:tcW w:w="15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0"/>
              <w:spacing w:before="52" w:line="220" w:lineRule="auto"/>
              <w:rPr/>
            </w:pPr>
            <w:r>
              <w:rPr>
                <w:spacing w:val="2"/>
              </w:rPr>
              <w:t>使用日期</w:t>
            </w:r>
          </w:p>
        </w:tc>
      </w:tr>
      <w:tr>
        <w:trPr>
          <w:trHeight w:val="702" w:hRule="atLeast"/>
        </w:trPr>
        <w:tc>
          <w:tcPr>
            <w:tcW w:w="6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5"/>
              <w:spacing w:before="77" w:line="179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1</w:t>
            </w:r>
          </w:p>
        </w:tc>
        <w:tc>
          <w:tcPr>
            <w:tcW w:w="12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8"/>
              <w:spacing w:line="227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1"/>
              </w:rPr>
              <w:t>DeepSeek</w:t>
            </w:r>
          </w:p>
        </w:tc>
        <w:tc>
          <w:tcPr>
            <w:tcW w:w="17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19" w:right="315" w:hanging="1"/>
              <w:spacing w:before="1" w:line="282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DeepSeek</w:t>
            </w: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7"/>
              </w:rPr>
              <w:t>-V4-</w:t>
            </w: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 xml:space="preserve"> </w:t>
            </w: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1"/>
              </w:rPr>
              <w:t>Flash</w:t>
            </w:r>
          </w:p>
        </w:tc>
        <w:tc>
          <w:tcPr>
            <w:tcW w:w="31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0" w:right="277" w:hanging="24"/>
              <w:spacing w:before="48" w:line="256" w:lineRule="auto"/>
              <w:rPr/>
            </w:pPr>
            <w:r>
              <w:rPr>
                <w:spacing w:val="7"/>
              </w:rPr>
              <w:t>杭州深度求索人工智能基础技术研</w:t>
            </w:r>
            <w:r>
              <w:rPr/>
              <w:t>究有限公司</w:t>
            </w:r>
          </w:p>
        </w:tc>
        <w:tc>
          <w:tcPr>
            <w:tcW w:w="15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6"/>
              <w:spacing w:before="77" w:line="179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3"/>
              </w:rPr>
              <w:t>2026-10-24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119"/>
        <w:spacing w:before="79" w:line="22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二、具体使用目的和环节</w:t>
      </w:r>
    </w:p>
    <w:p>
      <w:pPr>
        <w:spacing w:before="34"/>
        <w:rPr/>
      </w:pPr>
      <w:r/>
    </w:p>
    <w:tbl>
      <w:tblPr>
        <w:tblStyle w:val="TableNormal"/>
        <w:tblW w:w="8098" w:type="dxa"/>
        <w:tblInd w:w="6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7"/>
        <w:gridCol w:w="3364"/>
        <w:gridCol w:w="1998"/>
        <w:gridCol w:w="2169"/>
      </w:tblGrid>
      <w:tr>
        <w:trPr>
          <w:trHeight w:val="422" w:hRule="atLeast"/>
        </w:trPr>
        <w:tc>
          <w:tcPr>
            <w:tcW w:w="5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6"/>
              <w:spacing w:before="50" w:line="222" w:lineRule="auto"/>
              <w:rPr/>
            </w:pPr>
            <w:r>
              <w:rPr/>
              <w:t>序号</w:t>
            </w:r>
          </w:p>
        </w:tc>
        <w:tc>
          <w:tcPr>
            <w:tcW w:w="33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1"/>
              <w:spacing w:before="50" w:line="220" w:lineRule="auto"/>
              <w:rPr/>
            </w:pPr>
            <w:r>
              <w:rPr>
                <w:spacing w:val="2"/>
              </w:rPr>
              <w:t>使用环节</w:t>
            </w:r>
          </w:p>
        </w:tc>
        <w:tc>
          <w:tcPr>
            <w:tcW w:w="19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7"/>
              <w:spacing w:before="50" w:line="220" w:lineRule="auto"/>
              <w:rPr/>
            </w:pPr>
            <w:r>
              <w:rPr>
                <w:spacing w:val="2"/>
              </w:rPr>
              <w:t>使用目的</w:t>
            </w:r>
          </w:p>
        </w:tc>
        <w:tc>
          <w:tcPr>
            <w:tcW w:w="21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50" w:line="221" w:lineRule="auto"/>
              <w:rPr/>
            </w:pPr>
            <w:r>
              <w:rPr>
                <w:spacing w:val="2"/>
              </w:rPr>
              <w:t>所用工具</w:t>
            </w:r>
          </w:p>
        </w:tc>
      </w:tr>
      <w:tr>
        <w:trPr>
          <w:trHeight w:val="1979" w:hRule="atLeast"/>
        </w:trPr>
        <w:tc>
          <w:tcPr>
            <w:tcW w:w="567" w:type="dxa"/>
            <w:vAlign w:val="top"/>
            <w:tcBorders>
              <w:top w:val="single" w:color="000000" w:sz="2" w:space="0"/>
            </w:tcBorders>
          </w:tcPr>
          <w:p>
            <w:pPr>
              <w:ind w:left="155"/>
              <w:spacing w:before="70" w:line="179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1</w:t>
            </w:r>
          </w:p>
        </w:tc>
        <w:tc>
          <w:tcPr>
            <w:tcW w:w="33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2" w:right="205"/>
              <w:spacing w:before="23" w:line="253" w:lineRule="auto"/>
              <w:rPr/>
            </w:pPr>
            <w:r>
              <w:rPr>
                <w:spacing w:val="8"/>
              </w:rPr>
              <w:t>《面向啤酒酿造化合物的感官分级预测、关键化合物归因与风格条件生成》已定稿部分（“摘要”“6.4 结果分析”“8.3 生成质量与结果分析”等小节）的语病与标点核对；</w:t>
            </w:r>
          </w:p>
          <w:p>
            <w:pPr>
              <w:pStyle w:val="TableText"/>
              <w:ind w:left="214" w:right="293" w:hanging="8"/>
              <w:spacing w:before="2" w:line="254" w:lineRule="auto"/>
              <w:rPr/>
            </w:pPr>
            <w:r>
              <w:rPr/>
              <w:t>Word 源稿排版一致性核对：公式、23 张图、10 张表（《面向啤酒酿造化合物的感官分级预测、关键化合物归因与风格条件生成》）</w:t>
            </w:r>
          </w:p>
        </w:tc>
        <w:tc>
          <w:tcPr>
            <w:tcW w:w="19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4"/>
              <w:spacing w:before="39" w:line="220" w:lineRule="auto"/>
              <w:rPr/>
            </w:pPr>
            <w:r>
              <w:rPr>
                <w:spacing w:val="6"/>
              </w:rPr>
              <w:t>语言润色、排版检查</w:t>
            </w:r>
          </w:p>
        </w:tc>
        <w:tc>
          <w:tcPr>
            <w:tcW w:w="2169" w:type="dxa"/>
            <w:vAlign w:val="top"/>
            <w:tcBorders>
              <w:top w:val="single" w:color="000000" w:sz="2" w:space="0"/>
            </w:tcBorders>
          </w:tcPr>
          <w:p>
            <w:pPr>
              <w:ind w:left="190"/>
              <w:spacing w:line="220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1"/>
              </w:rPr>
              <w:t>DeepSeek</w:t>
            </w:r>
          </w:p>
        </w:tc>
      </w:tr>
      <w:tr>
        <w:trPr>
          <w:trHeight w:val="1683" w:hRule="atLeast"/>
        </w:trPr>
        <w:tc>
          <w:tcPr>
            <w:tcW w:w="567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31"/>
              <w:spacing w:before="54" w:line="178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2</w:t>
            </w:r>
          </w:p>
        </w:tc>
        <w:tc>
          <w:tcPr>
            <w:tcW w:w="3364" w:type="dxa"/>
            <w:vAlign w:val="top"/>
          </w:tcPr>
          <w:p>
            <w:pPr>
              <w:pStyle w:val="TableText"/>
              <w:ind w:left="205" w:right="132" w:firstLine="6"/>
              <w:spacing w:before="283" w:line="254" w:lineRule="auto"/>
              <w:jc w:val="both"/>
              <w:rPr/>
            </w:pPr>
            <w:r>
              <w:rPr>
                <w:spacing w:val="7"/>
              </w:rPr>
              <w:t>《面向啤酒酿造化合物的感官分级预测、关键化合物归因与风格条件生成》中摘要、关键词及正文的术语一致性检查；《面向啤酒酿造化合物的感官分级预测、关键化合物归因与风格条件生成》中 18 条参考文献的著录格式核对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48" w:right="183"/>
              <w:spacing w:before="281" w:line="257" w:lineRule="auto"/>
              <w:rPr/>
            </w:pPr>
            <w:r>
              <w:rPr>
                <w:spacing w:val="6"/>
              </w:rPr>
              <w:t>术语翻译与校对、参考</w:t>
            </w:r>
            <w:r>
              <w:rPr>
                <w:spacing w:val="4"/>
              </w:rPr>
              <w:t>文献格式整理</w:t>
            </w:r>
          </w:p>
        </w:tc>
        <w:tc>
          <w:tcPr>
            <w:tcW w:w="2169" w:type="dxa"/>
            <w:vAlign w:val="top"/>
          </w:tcPr>
          <w:p>
            <w:pPr>
              <w:ind w:left="190"/>
              <w:spacing w:before="217" w:line="219" w:lineRule="exact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1"/>
                <w:position w:val="3"/>
              </w:rPr>
              <w:t>DeepSeek</w:t>
            </w:r>
          </w:p>
        </w:tc>
      </w:tr>
      <w:tr>
        <w:trPr>
          <w:trHeight w:val="1314" w:hRule="atLeast"/>
        </w:trPr>
        <w:tc>
          <w:tcPr>
            <w:tcW w:w="567" w:type="dxa"/>
            <w:vAlign w:val="top"/>
            <w:tcBorders>
              <w:bottom w:val="single" w:color="000000" w:sz="2" w:space="0"/>
            </w:tcBorders>
          </w:tcPr>
          <w:p>
            <w:pPr>
              <w:ind w:left="131"/>
              <w:spacing w:before="173" w:line="178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3</w:t>
            </w:r>
          </w:p>
        </w:tc>
        <w:tc>
          <w:tcPr>
            <w:tcW w:w="33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0" w:right="139" w:firstLine="94"/>
              <w:spacing w:before="145" w:line="238" w:lineRule="auto"/>
              <w:jc w:val="both"/>
              <w:rPr/>
            </w:pPr>
            <w:r>
              <w:rPr>
                <w:spacing w:val="7"/>
              </w:rPr>
              <w:t>《面向啤酒酿造化合物的感官分级预测、关键化合物归因与风格条件生成》既有 Python 程序（problem3.py、</w:t>
            </w:r>
          </w:p>
          <w:p>
            <w:pPr>
              <w:pStyle w:val="TableText"/>
              <w:ind w:left="214"/>
              <w:spacing w:before="32" w:line="214" w:lineRule="auto"/>
              <w:rPr/>
            </w:pPr>
            <w:r>
              <w:rPr>
                <w:spacing w:val="9"/>
              </w:rPr>
              <w:t>constraint_audit.py）的运行报错排查</w:t>
            </w:r>
          </w:p>
        </w:tc>
        <w:tc>
          <w:tcPr>
            <w:tcW w:w="19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1"/>
              <w:spacing w:before="137" w:line="220" w:lineRule="auto"/>
              <w:rPr/>
            </w:pPr>
            <w:r>
              <w:rPr>
                <w:spacing w:val="4"/>
              </w:rPr>
              <w:t>代码调试</w:t>
            </w:r>
          </w:p>
        </w:tc>
        <w:tc>
          <w:tcPr>
            <w:tcW w:w="2169" w:type="dxa"/>
            <w:vAlign w:val="top"/>
            <w:tcBorders>
              <w:bottom w:val="single" w:color="000000" w:sz="2" w:space="0"/>
            </w:tcBorders>
          </w:tcPr>
          <w:p>
            <w:pPr>
              <w:ind w:left="190"/>
              <w:spacing w:before="80" w:line="219" w:lineRule="exact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1"/>
                <w:position w:val="3"/>
              </w:rPr>
              <w:t>DeepSeek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081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三、主要提示方式与使用过程</w:t>
      </w:r>
    </w:p>
    <w:p>
      <w:pPr>
        <w:ind w:left="9" w:right="212" w:firstLine="52"/>
        <w:spacing w:before="62" w:line="25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以下按环节列出各处提问的范围与边界。提交的材</w:t>
      </w:r>
      <w:r>
        <w:rPr>
          <w:rFonts w:ascii="SimSun" w:hAnsi="SimSun" w:eastAsia="SimSun" w:cs="SimSun"/>
          <w:sz w:val="18"/>
          <w:szCs w:val="18"/>
          <w:spacing w:val="-5"/>
        </w:rPr>
        <w:t>料限于成稿文字、报错代码和已排版面，</w:t>
      </w:r>
      <w:r>
        <w:rPr>
          <w:rFonts w:ascii="SimSun" w:hAnsi="SimSun" w:eastAsia="SimSun" w:cs="SimSun"/>
          <w:sz w:val="18"/>
          <w:szCs w:val="18"/>
          <w:spacing w:val="6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不涉及论文的研究内容、数据和</w:t>
      </w:r>
      <w:r>
        <w:rPr>
          <w:rFonts w:ascii="SimSun" w:hAnsi="SimSun" w:eastAsia="SimSun" w:cs="SimSun"/>
          <w:sz w:val="18"/>
          <w:szCs w:val="18"/>
          <w:spacing w:val="-7"/>
        </w:rPr>
        <w:t>结论。</w:t>
      </w:r>
    </w:p>
    <w:p>
      <w:pPr>
        <w:pStyle w:val="BodyText"/>
        <w:ind w:left="4" w:right="183" w:hanging="2"/>
        <w:spacing w:before="33" w:line="248" w:lineRule="auto"/>
        <w:rPr/>
      </w:pPr>
      <w:r>
        <w:rPr>
          <w:spacing w:val="-2"/>
        </w:rPr>
        <w:t>环节 1.1（DeepSeek，语言润色、排版检查）：涉及“摘要”“6.4 结果分析”“8.3 生成质量与结果分析”等已定稿小节的成文文字，所问事项限于病句、标点误用和冗余表达，不含补写或改写内容；提问范围限于 Word 源稿里的公式、23 张图、10 张表，所问事项为分页、题注、交叉引用、公式编号和字体一致性，不含正文内容的改写。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9" w:hanging="19"/>
        <w:spacing w:before="59" w:line="246" w:lineRule="auto"/>
        <w:rPr/>
      </w:pPr>
      <w:r>
        <w:rPr>
          <w:spacing w:val="5"/>
        </w:rPr>
        <w:t>环节 1.2（DeepSeek，术语翻译与校对、参考文献格式整理）：提交的材料为本稿已经使用的术语清单（如“缺失感知梯度提升”“共表达图”“条件变分自编码器”“二次加权 Kappa”等已有提法），所问事项为同一概念在摘要、关键词及正文各处的写法、中英对应和大小</w:t>
      </w:r>
    </w:p>
    <w:p>
      <w:pPr>
        <w:pStyle w:val="BodyText"/>
        <w:ind w:right="147" w:firstLine="8"/>
        <w:spacing w:before="4" w:line="253" w:lineRule="auto"/>
        <w:rPr/>
      </w:pPr>
      <w:r>
        <w:rPr>
          <w:spacing w:val="1"/>
        </w:rPr>
        <w:t>写是否统一；不含概念解释或新术语补充。涉及附录前参考文献区的 18 条条目，所问事项限于著录项顺序、缩写和标点是否符合同一体例。</w:t>
      </w:r>
    </w:p>
    <w:p>
      <w:pPr>
        <w:pStyle w:val="BodyText"/>
        <w:ind w:left="3" w:right="185" w:hanging="3"/>
        <w:spacing w:before="265" w:line="245" w:lineRule="auto"/>
        <w:rPr/>
      </w:pPr>
      <w:r>
        <w:rPr/>
        <w:t>环节 1.3（DeepSeek，代码调试）：提问范围限于 problem3.py、constraint_audit.py 的运行报错排查，提交的材料为异常的最小复现片段与运行环境说明，所问事项限于语法或依赖层面的原因；既定算法流程与参数不在提问范围内。采纳后重新运行程序，核验输出与已有的结果文件（problem_1~3_results.json、all_results.json、</w:t>
      </w:r>
    </w:p>
    <w:p>
      <w:pPr>
        <w:pStyle w:val="BodyText"/>
        <w:ind w:left="4"/>
        <w:spacing w:before="4" w:line="217" w:lineRule="auto"/>
        <w:rPr/>
      </w:pPr>
      <w:r>
        <w:rPr>
          <w:spacing w:val="-3"/>
        </w:rPr>
        <w:t>q1_sensory_scores.csv、q2_top3_compounds.csv、q3_generated_profiles.csv）保持一致。</w:t>
      </w:r>
    </w:p>
    <w:p>
      <w:pPr>
        <w:spacing w:line="217" w:lineRule="auto"/>
        <w:sectPr>
          <w:footerReference w:type="default" r:id="rId1"/>
          <w:pgSz w:w="11906" w:h="16838"/>
          <w:pgMar w:top="1102" w:right="972" w:bottom="364" w:left="1034" w:header="0" w:footer="172" w:gutter="0"/>
        </w:sectPr>
        <w:rPr/>
      </w:pPr>
    </w:p>
    <w:p>
      <w:pPr>
        <w:pStyle w:val="BodyText"/>
        <w:ind w:left="2681"/>
        <w:spacing w:before="48" w:line="222" w:lineRule="auto"/>
        <w:rPr>
          <w:sz w:val="24"/>
          <w:szCs w:val="24"/>
        </w:rPr>
      </w:pPr>
      <w:r>
        <w:rPr>
          <w:sz w:val="24"/>
          <w:szCs w:val="24"/>
        </w:rPr>
        <w:t>四、采纳、人工修改和核验情况</w:t>
      </w:r>
    </w:p>
    <w:p>
      <w:pPr>
        <w:spacing w:before="34"/>
        <w:rPr/>
      </w:pPr>
      <w:r/>
    </w:p>
    <w:tbl>
      <w:tblPr>
        <w:tblStyle w:val="TableNormal"/>
        <w:tblW w:w="7575" w:type="dxa"/>
        <w:tblInd w:w="8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6"/>
        <w:gridCol w:w="1515"/>
        <w:gridCol w:w="5454"/>
      </w:tblGrid>
      <w:tr>
        <w:trPr>
          <w:trHeight w:val="422" w:hRule="atLeast"/>
        </w:trPr>
        <w:tc>
          <w:tcPr>
            <w:tcW w:w="6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6"/>
              <w:spacing w:before="52" w:line="222" w:lineRule="auto"/>
              <w:rPr/>
            </w:pPr>
            <w:r>
              <w:rPr/>
              <w:t>序号</w:t>
            </w:r>
          </w:p>
        </w:tc>
        <w:tc>
          <w:tcPr>
            <w:tcW w:w="15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7"/>
              <w:spacing w:before="50" w:line="221" w:lineRule="auto"/>
              <w:rPr/>
            </w:pPr>
            <w:r>
              <w:rPr>
                <w:spacing w:val="2"/>
              </w:rPr>
              <w:t>所用工具</w:t>
            </w:r>
          </w:p>
        </w:tc>
        <w:tc>
          <w:tcPr>
            <w:tcW w:w="545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48"/>
              <w:spacing w:before="50" w:line="220" w:lineRule="auto"/>
              <w:rPr/>
            </w:pPr>
            <w:r>
              <w:rPr>
                <w:spacing w:val="6"/>
              </w:rPr>
              <w:t>采纳、人工修改和核验情况</w:t>
            </w:r>
          </w:p>
        </w:tc>
      </w:tr>
      <w:tr>
        <w:trPr>
          <w:trHeight w:val="1293" w:hRule="atLeast"/>
        </w:trPr>
        <w:tc>
          <w:tcPr>
            <w:tcW w:w="606" w:type="dxa"/>
            <w:vAlign w:val="top"/>
            <w:tcBorders>
              <w:top w:val="single" w:color="000000" w:sz="2" w:space="0"/>
            </w:tcBorders>
          </w:tcPr>
          <w:p>
            <w:pPr>
              <w:ind w:left="155"/>
              <w:spacing w:before="70" w:line="179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1</w:t>
            </w:r>
          </w:p>
        </w:tc>
        <w:tc>
          <w:tcPr>
            <w:tcW w:w="1515" w:type="dxa"/>
            <w:vAlign w:val="top"/>
            <w:tcBorders>
              <w:top w:val="single" w:color="000000" w:sz="2" w:space="0"/>
            </w:tcBorders>
          </w:tcPr>
          <w:p>
            <w:pPr>
              <w:ind w:left="158"/>
              <w:spacing w:line="220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1"/>
              </w:rPr>
              <w:t>DeepSeek</w:t>
            </w:r>
          </w:p>
        </w:tc>
        <w:tc>
          <w:tcPr>
            <w:tcW w:w="54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9" w:right="142"/>
              <w:spacing w:before="40" w:line="255" w:lineRule="auto"/>
              <w:jc w:val="both"/>
              <w:rPr/>
            </w:pPr>
            <w:r>
              <w:rPr>
                <w:spacing w:val="12"/>
              </w:rPr>
              <w:t>返回建议均与原稿逐项对照后取舍，采纳范围限于措辞和标点；“摘要”“6.4 结果分析”“8.3 生成质量与结果分析”等小节的专业表述以原稿和已有计算结果为准。每项版式建议均在随后导出的成品页上核对效果后才保留，凡影响文字内容或数值的一律放弃。</w:t>
            </w:r>
          </w:p>
        </w:tc>
      </w:tr>
      <w:tr>
        <w:trPr>
          <w:trHeight w:val="1208" w:hRule="atLeast"/>
        </w:trPr>
        <w:tc>
          <w:tcPr>
            <w:tcW w:w="606" w:type="dxa"/>
            <w:vAlign w:val="top"/>
          </w:tcPr>
          <w:p>
            <w:pPr>
              <w:ind w:left="131"/>
              <w:spacing w:before="262" w:line="178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2</w:t>
            </w:r>
          </w:p>
        </w:tc>
        <w:tc>
          <w:tcPr>
            <w:tcW w:w="1515" w:type="dxa"/>
            <w:vAlign w:val="top"/>
          </w:tcPr>
          <w:p>
            <w:pPr>
              <w:ind w:left="158"/>
              <w:spacing w:before="169" w:line="219" w:lineRule="exact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1"/>
                <w:position w:val="3"/>
              </w:rPr>
              <w:t>DeepSeek</w:t>
            </w:r>
          </w:p>
        </w:tc>
        <w:tc>
          <w:tcPr>
            <w:tcW w:w="5454" w:type="dxa"/>
            <w:vAlign w:val="top"/>
          </w:tcPr>
          <w:p>
            <w:pPr>
              <w:pStyle w:val="TableText"/>
              <w:ind w:left="655"/>
              <w:spacing w:before="226" w:line="220" w:lineRule="auto"/>
              <w:rPr/>
            </w:pPr>
            <w:r>
              <w:rPr>
                <w:spacing w:val="7"/>
              </w:rPr>
              <w:t>按各章节首次定义逐项核对采纳结果，确认改后写法在摘</w:t>
            </w:r>
          </w:p>
          <w:p>
            <w:pPr>
              <w:pStyle w:val="TableText"/>
              <w:ind w:left="649" w:right="262"/>
              <w:spacing w:before="37" w:line="256" w:lineRule="auto"/>
              <w:rPr/>
            </w:pPr>
            <w:r>
              <w:rPr>
                <w:spacing w:val="8"/>
              </w:rPr>
              <w:t>要、关键词及正文中全篇统一，且未改变任何符号含义与数值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。按附录前参考文献区的条目顺序逐条复核，确认与正文引用</w:t>
            </w:r>
            <w:r>
              <w:rPr>
                <w:spacing w:val="7"/>
              </w:rPr>
              <w:t>编号一一对应；采纳范围限于排列与标点层面的调整。</w:t>
            </w:r>
          </w:p>
        </w:tc>
      </w:tr>
      <w:tr>
        <w:trPr>
          <w:trHeight w:val="1060" w:hRule="atLeast"/>
        </w:trPr>
        <w:tc>
          <w:tcPr>
            <w:tcW w:w="606" w:type="dxa"/>
            <w:vAlign w:val="top"/>
            <w:tcBorders>
              <w:bottom w:val="single" w:color="000000" w:sz="2" w:space="0"/>
            </w:tcBorders>
          </w:tcPr>
          <w:p>
            <w:pPr>
              <w:ind w:left="131"/>
              <w:spacing w:before="206" w:line="178" w:lineRule="auto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3</w:t>
            </w:r>
          </w:p>
        </w:tc>
        <w:tc>
          <w:tcPr>
            <w:tcW w:w="1515" w:type="dxa"/>
            <w:vAlign w:val="top"/>
            <w:tcBorders>
              <w:bottom w:val="single" w:color="000000" w:sz="2" w:space="0"/>
            </w:tcBorders>
          </w:tcPr>
          <w:p>
            <w:pPr>
              <w:ind w:left="158"/>
              <w:spacing w:before="113" w:line="219" w:lineRule="exact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  <w:spacing w:val="1"/>
                <w:position w:val="3"/>
              </w:rPr>
              <w:t>DeepSeek</w:t>
            </w:r>
          </w:p>
        </w:tc>
        <w:tc>
          <w:tcPr>
            <w:tcW w:w="54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56" w:right="426" w:hanging="8"/>
              <w:spacing w:before="177" w:line="259" w:lineRule="auto"/>
              <w:rPr/>
            </w:pPr>
            <w:r>
              <w:rPr>
                <w:spacing w:val="8"/>
              </w:rPr>
              <w:t>采纳范围限于能够单独复现的最小修改，核验条件为重新运行后与已有的结果文件（problem_1~3_results.json、</w:t>
            </w:r>
          </w:p>
          <w:p>
            <w:pPr>
              <w:pStyle w:val="TableText"/>
              <w:ind w:left="660" w:right="495" w:hanging="8"/>
              <w:spacing w:line="244" w:lineRule="auto"/>
              <w:rPr/>
            </w:pPr>
            <w:r>
              <w:rPr/>
              <w:t>all_results.json、q1_sensory_scores.csv、q2_top3_compounds.csv、q3_generated_profiles.csv）保持一致。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以上情况均经参赛队逐项核对。凡采用的修改都回到原文确认过，未改变任何数据、符号和结论。</w:t>
      </w:r>
    </w:p>
    <w:sectPr>
      <w:footerReference w:type="default" r:id="rId5"/>
      <w:pgSz w:w="11906" w:h="16838"/>
      <w:pgMar w:top="854" w:right="1785" w:bottom="364" w:left="1073" w:header="0" w:footer="17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2000019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8"/>
      <w:spacing w:line="202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5"/>
      </w:rPr>
      <w:t>第</w:t>
    </w:r>
    <w:r>
      <w:rPr>
        <w:rFonts w:ascii="SimSun" w:hAnsi="SimSun" w:eastAsia="SimSun" w:cs="SimSun"/>
        <w:sz w:val="16"/>
        <w:szCs w:val="16"/>
        <w:spacing w:val="13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spacing w:val="-5"/>
      </w:rPr>
      <w:t>1</w:t>
    </w:r>
    <w:r>
      <w:rPr>
        <w:rFonts w:ascii="Palatino Linotype" w:hAnsi="Palatino Linotype" w:eastAsia="Palatino Linotype" w:cs="Palatino Linotype"/>
        <w:sz w:val="16"/>
        <w:szCs w:val="16"/>
        <w:spacing w:val="4"/>
      </w:rPr>
      <w:t xml:space="preserve">  </w:t>
    </w:r>
    <w:r>
      <w:rPr>
        <w:rFonts w:ascii="SimSun" w:hAnsi="SimSun" w:eastAsia="SimSun" w:cs="SimSun"/>
        <w:sz w:val="16"/>
        <w:szCs w:val="16"/>
        <w:spacing w:val="-5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5"/>
      <w:spacing w:line="202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3"/>
      </w:rPr>
      <w:t>第 </w:t>
    </w:r>
    <w:r>
      <w:rPr>
        <w:rFonts w:ascii="Palatino Linotype" w:hAnsi="Palatino Linotype" w:eastAsia="Palatino Linotype" w:cs="Palatino Linotype"/>
        <w:sz w:val="16"/>
        <w:szCs w:val="16"/>
        <w:spacing w:val="-3"/>
      </w:rPr>
      <w:t>2</w:t>
    </w:r>
    <w:r>
      <w:rPr>
        <w:rFonts w:ascii="Palatino Linotype" w:hAnsi="Palatino Linotype" w:eastAsia="Palatino Linotype" w:cs="Palatino Linotype"/>
        <w:sz w:val="16"/>
        <w:szCs w:val="16"/>
        <w:spacing w:val="7"/>
      </w:rPr>
      <w:t xml:space="preserve">  </w:t>
    </w:r>
    <w:r>
      <w:rPr>
        <w:rFonts w:ascii="SimSun" w:hAnsi="SimSun" w:eastAsia="SimSun" w:cs="SimSun"/>
        <w:sz w:val="16"/>
        <w:szCs w:val="16"/>
        <w:spacing w:val="-3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2.xml"/><Relationship Id="rId4" Type="http://schemas.openxmlformats.org/officeDocument/2006/relationships/hyperlink" Target="ies.py" TargetMode="External"/><Relationship Id="rId3" Type="http://schemas.openxmlformats.org/officeDocument/2006/relationships/hyperlink" Target="constraint_audit.py" TargetMode="External"/><Relationship Id="rId2" Type="http://schemas.openxmlformats.org/officeDocument/2006/relationships/hyperlink" Target="boundaries.py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2026-09-13T17:50:53Z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2026-10-26T09:49:21</vt:filetime>
  </property>
</Properties>
</file>