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Generate-then-Select: Experiment Plan (Direction 2)</w:t>
      </w:r>
    </w:p>
    <w:p>
      <w:pPr>
        <w:pStyle w:val="Heading1"/>
      </w:pPr>
      <w:r>
        <w:t xml:space="preserve">Idea</w:t>
      </w:r>
    </w:p>
    <w:p>
      <w:pPr>
        <w:spacing w:after="120" w:line="276"/>
      </w:pPr>
      <w:r>
        <w:t xml:space="preserve">Recall = generate candidates + recognize the right one. A wrong direct answer is either a </w:t>
      </w:r>
      <w:r>
        <w:rPr>
          <w:b/>
          <w:bCs/>
        </w:rPr>
        <w:t xml:space="preserve">generation failure</w:t>
      </w:r>
      <w:r>
        <w:t xml:space="preserve"> (the correct answer is never produced) or a </w:t>
      </w:r>
      <w:r>
        <w:rPr>
          <w:b/>
          <w:bCs/>
        </w:rPr>
        <w:t xml:space="preserve">selection failure</w:t>
      </w:r>
      <w:r>
        <w:t xml:space="preserve"> (it is produced but not chosen). Plan: measure both across citation bins, then build generate-then-select methods that beat direct answering and CoT at matched compute.</w:t>
      </w:r>
    </w:p>
    <w:p>
      <w:pPr>
        <w:keepNext/>
        <w:spacing w:after="80" w:before="60" w:line="276"/>
      </w:pPr>
      <w:r>
        <w:t xml:space="preserve">Keep the two uses of multiple choice (MC) separate: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MC as measurement:</w:t>
      </w:r>
      <w:r>
        <w:t xml:space="preserve"> insert the true answer among distractors to see how much the model recognizes (the ceiling). Distractors must not depend on the model or on the method being tested.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MC as method:</w:t>
      </w:r>
      <w:r>
        <w:t xml:space="preserve"> the options are the model’s own samples, so the true answer may be missing; performance is capped by coverage.</w:t>
      </w:r>
    </w:p>
    <w:p>
      <w:pPr>
        <w:pStyle w:val="Heading1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Data: the 9,108 papers from the previous paper (8 fields × 13 citation bins). Hold out ~20% as a dev set for tuning prompts, temperatures and thresholds; report results on the rest.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Target: first author first; full author lists once the pipeline works.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Models: 2–3 candidates chosen in the pilot. Anything that needs log-probs (likelihood, PMI) runs on open-weight models; plain MC also works on API models.</w:t>
      </w:r>
    </w:p>
    <w:p>
      <w:pPr>
        <w:pStyle w:val="Heading1"/>
      </w:pPr>
      <w:r>
        <w:t xml:space="preserve">Step 0: Pilot (1–2 weeks)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Take a 500-paper stratified subset; measure greedy first-author accuracy and coverage@50 for each candidate model; keep the models that are not at floor.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Build the pipeline: name normalization, author matching, sampling, scoring.</w:t>
      </w:r>
    </w:p>
    <w:p>
      <w:pPr>
        <w:pStyle w:val="Heading1"/>
      </w:pPr>
      <w:r>
        <w:t xml:space="preserve">Step 1: A trustworthy MC test (3–4 weeks)</w:t>
      </w:r>
    </w:p>
    <w:p>
      <w:pPr>
        <w:keepNext/>
        <w:spacing w:after="80" w:before="60" w:line="276"/>
      </w:pPr>
      <w:r>
        <w:t xml:space="preserve">Distractor levels, each removing one more shortcut: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Distractors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Shortcut removed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L0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Random same-field names grouped into teams (old design)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None (reference)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Real team from another same-field paper, same number of authors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Team coherence (same lab, same language background)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L1 + similar year (±2)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Era and name-format cues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L2 + most similar title, matched on team prominence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Topic and “famous name” cues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L4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True team with one author swapped for a real collaborator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Knowing the group but not this paper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L5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The model’s own wrong answers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sz w:val="20"/>
                <w:szCs w:val="20"/>
              </w:rPr>
              <w:t xml:space="preserve">Hardest; matches the method setting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 L1–L3, drop distractor teams that share an author with the true team. Normalize every option to one name format (e.g., “F. Lastname”) so formatting is not a cue.</w:t>
      </w:r>
    </w:p>
    <w:p>
      <w:pPr>
        <w:keepNext/>
        <w:spacing w:after="80" w:before="60" w:line="276"/>
      </w:pPr>
      <w:r>
        <w:t xml:space="preserve">Controls (all should be near chance):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title: options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Title swap: the same options with another paper’s title.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Catch trials: true answer removed, “none of the above” is correct. Gives the false-recognition rate.</w:t>
      </w:r>
    </w:p>
    <w:p>
      <w:pPr>
        <w:keepNext/>
        <w:spacing w:after="80" w:before="60" w:line="276"/>
      </w:pPr>
      <w:r>
        <w:t xml:space="preserve">Other details: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Position bias: ask each item in all 4 cyclic option orders; count it as recognized only if it is correct in most of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Formats: joint MC (A–D); yes/no per candidate (separates real discrimination, d′, from a yes-bias); likelihood scoring with no options shown.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Main metric: pairwise AUC, i.e., the share of correct–incorrect pairs where the correct answer scores higher. Works for all three formats.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Sanity check: 2×2 table of recalled × recognized. “Recalled but not recognized” should be close to zero; otherwise the test is noisy.</w:t>
      </w:r>
    </w:p>
    <w:p>
      <w:pPr>
        <w:keepNext/>
        <w:spacing w:after="80" w:before="60" w:line="276"/>
      </w:pPr>
      <w:r>
        <w:t xml:space="preserve">Outputs: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Recognition by citation bin, one line per level, plus the controls. Replicate L0 on GPT-4o first to match the old 79%, then see how much it drops at L3/L4.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Per-paper label: recognized under hard distractors (yes/no).</w:t>
      </w:r>
    </w:p>
    <w:p>
      <w:pPr>
        <w:pStyle w:val="Heading1"/>
      </w:pPr>
      <w:r>
        <w:t xml:space="preserve">Step 2: Decompose recall failures (2–3 weeks)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Per paper: the greedy answer plus k samples at a few temperatures (k up to 50–100).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Coverage@k: the correct first author appears in at least one of k samples (use the unbiased pass@k estimator).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Chance baseline: match paper A’s sample pool against the true authors of paper B (same field and period). Report coverage net of this, since common surnames (e.g., “J. Wang”) match by luck as k grows.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Assign each paper a profile: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b/>
          <w:bCs/>
        </w:rPr>
        <w:t xml:space="preserve">Direct recall:</w:t>
      </w:r>
      <w:r>
        <w:t xml:space="preserve"> the greedy answer is correct.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b/>
          <w:bCs/>
        </w:rPr>
        <w:t xml:space="preserve">Reachable:</w:t>
      </w:r>
      <w:r>
        <w:t xml:space="preserve"> greedy is wrong, but the correct answer shows up in the samples → fixable by selection.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b/>
          <w:bCs/>
        </w:rPr>
        <w:t xml:space="preserve">Recognized but unreachable:</w:t>
      </w:r>
      <w:r>
        <w:t xml:space="preserve"> never sampled, but recognized in Step 1 → needs better generation (e.g., cues).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b/>
          <w:bCs/>
        </w:rPr>
        <w:t xml:space="preserve">Not recognized:</w:t>
      </w:r>
      <w:r>
        <w:t xml:space="preserve"> probably not stored.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Key figure: stacked share of each profile by citation bin, for several values of k.</w:t>
      </w:r>
    </w:p>
    <w:p>
      <w:pPr>
        <w:pStyle w:val="Heading1"/>
      </w:pPr>
      <w:r>
        <w:t xml:space="preserve">Step 3: Methods (4–5 weeks)</w:t>
      </w:r>
    </w:p>
    <w:p>
      <w:pPr>
        <w:keepNext/>
        <w:spacing w:after="80" w:before="60" w:line="276"/>
      </w:pPr>
      <w:r>
        <w:t xml:space="preserve">Generation (raise coverage), compared at equal compute: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Temperature and top-p sweeps.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Different prompt formats: QA, “Title: … Authors: …”, reference-list style.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Exclusion prompting: “give an author not in this list”.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Decomposed generation: first author alone; given one author, ask for the co-authors.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First-letter cues: giving the true letter is a diagnostic only (it leaks information); trying all 26 letters, or the top-k first tokens, and then selecting is a legitimate method.</w:t>
      </w:r>
    </w:p>
    <w:p>
      <w:pPr>
        <w:keepNext/>
        <w:spacing w:after="80" w:before="60" w:line="276"/>
      </w:pPr>
      <w:r>
        <w:t xml:space="preserve">Selection (pick the right candidate from the pool):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Joint MC over the unique candidates, with “none of the above”.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P(True) for each candidate.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PMI-corrected likelihood: log P(name | title) − log P(name | blank title), which cancels the “common names are likely” prior.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Authors → title scoring: log P(title | candidate authors in citation format) − log P(title | no authors). Comparing it with the title → authors score tests whether asking for authors behaves like a reverse question.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Majority vote as the baseline.</w:t>
      </w:r>
    </w:p>
    <w:p>
      <w:pPr>
        <w:keepNext/>
        <w:spacing w:after="80" w:before="60" w:line="276"/>
      </w:pPr>
      <w:r>
        <w:t xml:space="preserve">Must-check ablation: does selection beat majority vote? If not, recognition adds nothing beyond frequency.</w:t>
      </w:r>
    </w:p>
    <w:p>
      <w:pPr>
        <w:keepNext/>
        <w:spacing w:after="80" w:before="60" w:line="276"/>
      </w:pPr>
      <w:r>
        <w:t xml:space="preserve">Evaluation: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Selection accuracy on papers whose pool contains the answer.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Selection efficiency = (selected acc − greedy acc) / (coverage − greedy acc).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End-to-end comparison with greedy, few-shot, CoT/thinking and self-consistency at matched token budgets (accuracy–compute plot).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Accuracy vs. answer rate when the model may abstain.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Full author lists later: pool names across samples, score each, apply a threshold, evaluate with HR</w:t>
      </w:r>
      <w:r>
        <w:rPr>
          <w:vertAlign w:val="subscript"/>
        </w:rPr>
        <w:t xml:space="preserve">2</w:t>
      </w:r>
      <w:r>
        <w:t xml:space="preserve">/HR</w:t>
      </w:r>
      <w:r>
        <w:rPr>
          <w:vertAlign w:val="subscript"/>
        </w:rPr>
        <w:t xml:space="preserve">4</w:t>
      </w:r>
      <w:r>
        <w:t xml:space="preserve">/HR</w:t>
      </w:r>
      <w:r>
        <w:rPr>
          <w:vertAlign w:val="subscript"/>
        </w:rPr>
        <w:t xml:space="preserve">5</w:t>
      </w:r>
      <w:r>
        <w:t xml:space="preserve">.</w:t>
      </w:r>
    </w:p>
    <w:p>
      <w:pPr>
        <w:pStyle w:val="Heading1"/>
      </w:pPr>
      <w:r>
        <w:t xml:space="preserve">Analysis notes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Compare methods on the same papers with paired tests (McNemar or paired bootstrap); for regressions, use mixed-effects logistic models with paper and field random effects.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Covariates: author fame, surname commonness, year, title specificity, number of authors.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Fix the analysis on the dev set before touching the test set.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Share the per-paper profiles (especially reachable and recognized-but-unreachable) with the steering side so both use the same samples and metrics.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10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Generate-then-Select Experiment Plan</dc:title>
  <dc:creator>Un-named</dc:creator>
  <cp:lastModifiedBy>Un-named</cp:lastModifiedBy>
  <cp:revision>1</cp:revision>
  <dcterms:created xsi:type="dcterms:W3CDTF">2026-10-02T18:39:49.972Z</dcterms:created>
  <dcterms:modified xsi:type="dcterms:W3CDTF">2026-10-02T18:39:49.978Z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