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Generate-then-Select: Eliciting Latent Factual Knowledge Across the Long Tail</w:t>
      </w:r>
    </w:p>
    <w:p>
      <w:pPr>
        <w:spacing w:after="80"/>
      </w:pPr>
      <w:r>
        <w:rPr>
          <w:color w:val="2E5597"/>
          <w:sz w:val="26"/>
          <w:szCs w:val="26"/>
        </w:rPr>
        <w:t xml:space="preserve">Research plan for Direction 2 of the project “Enhancing Memory of LLMs”</w:t>
      </w:r>
    </w:p>
    <w:p>
      <w:pPr>
        <w:pBdr>
          <w:bottom w:val="single" w:color="1F3864" w:sz="6" w:space="6"/>
        </w:pBdr>
        <w:spacing w:after="240"/>
      </w:pPr>
      <w:r>
        <w:rPr>
          <w:color w:val="595959"/>
          <w:sz w:val="20"/>
          <w:szCs w:val="20"/>
        </w:rPr>
        <w:t xml:space="preserve">Draft v0.1 · October 2026</w:t>
      </w:r>
    </w:p>
    <w:p>
      <w:pPr>
        <w:pStyle w:val="Heading1"/>
      </w:pPr>
      <w:r>
        <w:t xml:space="preserve">1. Summary</w:t>
      </w:r>
    </w:p>
    <w:p>
      <w:pPr>
        <w:spacing w:after="140" w:line="276"/>
      </w:pPr>
      <w:r>
        <w:t xml:space="preserve">This document sets out a research plan for the second direction of the project: converting free recall into selection, i.e., generating candidate answers and having the model choose among them (“generate-then-select”). The plan is organized around a single idea from cognitive psychology: recall consists of generation followed by recognition. When a model fails to name the authors of a paper, it can fail in two distinct ways. Either the correct answer is never generated (a </w:t>
      </w:r>
      <w:r>
        <w:rPr>
          <w:b/>
          <w:bCs/>
        </w:rPr>
        <w:t xml:space="preserve">generation failure</w:t>
      </w:r>
      <w:r>
        <w:t xml:space="preserve">), or it is generated but not chosen as the final answer (a </w:t>
      </w:r>
      <w:r>
        <w:rPr>
          <w:b/>
          <w:bCs/>
        </w:rPr>
        <w:t xml:space="preserve">selection failure</w:t>
      </w:r>
      <w:r>
        <w:t xml:space="preserve">). Generate-then-select targets the first with sampling and the second with recognition. The aim is to measure the two failure modes separately across the citation-count (prevalence) spectrum, and to use this decomposition to design methods that outperform direct answering and chain-of-thought (CoT) prompting at matched compute.</w:t>
      </w:r>
    </w:p>
    <w:p>
      <w:pPr>
        <w:spacing w:after="140" w:line="276"/>
      </w:pPr>
      <w:r>
        <w:rPr>
          <w:b/>
          <w:bCs/>
        </w:rPr>
        <w:t xml:space="preserve">Working thesis.</w:t>
      </w:r>
      <w:r>
        <w:t xml:space="preserve"> On long-tail academic authorship attribution, we decompose LLM recall failures into generation failures and selection failures, measure how each varies with factual prevalence, and use the decomposition to build generate-then-select methods that beat CoT at equal compute.</w:t>
      </w:r>
    </w:p>
    <w:p>
      <w:pPr>
        <w:spacing w:after="140" w:line="276"/>
      </w:pPr>
      <w:r>
        <w:rPr>
          <w:b/>
          <w:bCs/>
        </w:rPr>
        <w:t xml:space="preserve">Scope.</w:t>
      </w:r>
      <w:r>
        <w:t xml:space="preserve"> The evaluation set is the 9,108-paper stratified sample from [1] (8 fields × 13 citation bins). The primary target is the first author, a single entity that keeps measurement, sampling, and scoring clean; full author lists follow once the methods are established.</w:t>
      </w:r>
    </w:p>
    <w:p>
      <w:pPr>
        <w:pStyle w:val="Heading1"/>
      </w:pPr>
      <w:r>
        <w:t xml:space="preserve">2. Background and Motivation</w:t>
      </w:r>
    </w:p>
    <w:p>
      <w:pPr>
        <w:spacing w:after="140" w:line="276"/>
      </w:pPr>
      <w:r>
        <w:t xml:space="preserve">Our previous study [1] found that hallucination in authorship attribution falls sharply as citation count rises, and that recognition far exceeds recall: on a four-option multiple-choice (MC) test, GPT-4o reached 79% chance-corrected accuracy even for papers with 0–2 citations, where free recall is close to zero. The distractors in that experiment, however, were random combinations of same-field author names. Real author teams are internally coherent—members tend to share institutions and linguistic backgrounds, and name formatting is consistent within an era—so part of that accuracy may reflect heuristics rather than memory of the specific paper. Establishing how large the recall–recognition gap really is, under properly controlled measurement, is therefore the first task of this plan.</w:t>
      </w:r>
    </w:p>
    <w:p>
      <w:pPr>
        <w:spacing w:after="140" w:line="276"/>
      </w:pPr>
      <w:r>
        <w:t xml:space="preserve">In memory research, this is the classic distinction between the availability and the accessibility of stored information [5]. Two recent lines of work frame it for LLMs. Calderon et al. [2] separate encoding from recall at the level of individual facts: frontier models encode nearly all of the Wikipedia-derived facts in their benchmark, yet still fail to recall a substantial share of them directly; these failures concentrate on long-tail facts and reverse questions, and thinking recovers part of them. Gekhman et al. [6] show that models’ internal knowledge exceeds what they express, and that some answers are practically never sampled even though they would be ranked first if they appeared among the candidates. A competing capacity view [3, 4] holds that factual storage is bounded by parameter count, which predicts genuine absence for sufficiently rare facts. Our dataset extends far beyond Wikipedia’s long tail, down to papers that barely appear in open pretraining corpora, so it can locate where the “lost keys” picture gives way to “empty shelves.”</w:t>
      </w:r>
    </w:p>
    <w:p>
      <w:pPr>
        <w:spacing w:after="140" w:line="276"/>
      </w:pPr>
      <w:r>
        <w:t xml:space="preserve">Generate-then-select is not new as a technique. Models have been asked to evaluate their own sampled answers via P(True) [7]; verifiers trained on hidden states have been used to choose among samples [8]; and [6] identifies a ceiling on repeated sampling. To our knowledge, however, no prior work decomposes recall failures into generation and selection components along a prevalence axis this wide, and the validity of MC measurement itself has received little attention. These are the gaps this plan targets.</w:t>
      </w:r>
    </w:p>
    <w:p>
      <w:pPr>
        <w:pStyle w:val="Heading1"/>
      </w:pPr>
      <w:r>
        <w:t xml:space="preserve">3. Conceptual Framework</w:t>
      </w:r>
    </w:p>
    <w:p>
      <w:pPr>
        <w:pStyle w:val="Heading2"/>
      </w:pPr>
      <w:r>
        <w:t xml:space="preserve">3.1 Recall as generation plus recognition</w:t>
      </w:r>
    </w:p>
    <w:p>
      <w:pPr>
        <w:spacing w:after="140" w:line="276"/>
      </w:pPr>
      <w:r>
        <w:t xml:space="preserve">The generate–recognize (two-stage) theory of recall [9, 10] holds that recall first generates candidate items through associative search and then judges whether each candidate is recognized; recall fails if either stage fails. Recognition tests are easier because the candidates are supplied, which bypasses the generation stage. Generate-then-select is an engineering version of this theory: sampling stands in for generation, and model-based selection stands in for recognition.</w:t>
      </w:r>
    </w:p>
    <w:p>
      <w:pPr>
        <w:pStyle w:val="Heading2"/>
      </w:pPr>
      <w:r>
        <w:t xml:space="preserve">3.2 Two roles of multiple choice</w:t>
      </w:r>
    </w:p>
    <w:p>
      <w:pPr>
        <w:keepNext/>
        <w:spacing w:after="100" w:line="276"/>
      </w:pPr>
      <w:r>
        <w:t xml:space="preserve">Multiple choice plays two roles in this project, and they must be kept apart.</w:t>
      </w:r>
    </w:p>
    <w:p>
      <w:pPr>
        <w:pStyle w:val="ListParagraph"/>
        <w:numPr>
          <w:ilvl w:val="0"/>
          <w:numId w:val="2"/>
        </w:numPr>
        <w:spacing w:after="80" w:line="276"/>
      </w:pPr>
      <w:r>
        <w:rPr>
          <w:b/>
          <w:bCs/>
        </w:rPr>
        <w:t xml:space="preserve">As a measurement instrument,</w:t>
      </w:r>
      <w:r>
        <w:t xml:space="preserve"> MC places the correct answer among the options and tests whether the model recognizes it. It estimates how much is encoded, which is the ceiling for any selection-based method. Options must be constructed independently of the model and of the method under evaluation.</w:t>
      </w:r>
    </w:p>
    <w:p>
      <w:pPr>
        <w:pStyle w:val="ListParagraph"/>
        <w:numPr>
          <w:ilvl w:val="0"/>
          <w:numId w:val="2"/>
        </w:numPr>
        <w:spacing w:after="80" w:line="276"/>
      </w:pPr>
      <w:r>
        <w:rPr>
          <w:b/>
          <w:bCs/>
        </w:rPr>
        <w:t xml:space="preserve">As an elicitation method,</w:t>
      </w:r>
      <w:r>
        <w:t xml:space="preserve"> MC presents the model’s own sampled candidates, which may or may not contain the correct answer. Its performance is bounded by coverage, i.e., whether the correct answer enters the candidate pool at all.</w:t>
      </w:r>
    </w:p>
    <w:p>
      <w:pPr>
        <w:spacing w:after="140" w:before="80" w:line="276"/>
      </w:pPr>
      <w:r>
        <w:t xml:space="preserve">Conflating the two leads to circular reasoning: using recognition accuracy as the ceiling and then approaching it with a recognition-based method will look impressive while demonstrating nothing.</w:t>
      </w:r>
    </w:p>
    <w:p>
      <w:pPr>
        <w:pStyle w:val="Heading1"/>
      </w:pPr>
      <w:r>
        <w:t xml:space="preserve">4. Research Questions</w:t>
      </w:r>
    </w:p>
    <w:p>
      <w:pPr>
        <w:pStyle w:val="ListParagraph"/>
        <w:numPr>
          <w:ilvl w:val="0"/>
          <w:numId w:val="2"/>
        </w:numPr>
        <w:spacing w:after="80" w:line="276"/>
      </w:pPr>
      <w:r>
        <w:rPr>
          <w:b/>
          <w:bCs/>
        </w:rPr>
        <w:t xml:space="preserve">RQ1 (Measurement).</w:t>
      </w:r>
      <w:r>
        <w:t xml:space="preserve"> Once heuristic cues are ruled out, how large is the gap between recognition and recall, and how does it vary with citation count?</w:t>
      </w:r>
    </w:p>
    <w:p>
      <w:pPr>
        <w:pStyle w:val="ListParagraph"/>
        <w:numPr>
          <w:ilvl w:val="0"/>
          <w:numId w:val="2"/>
        </w:numPr>
        <w:spacing w:after="80" w:line="276"/>
      </w:pPr>
      <w:r>
        <w:rPr>
          <w:b/>
          <w:bCs/>
        </w:rPr>
        <w:t xml:space="preserve">RQ2 (Decomposition).</w:t>
      </w:r>
      <w:r>
        <w:t xml:space="preserve"> Among direct-answer failures, what share are generation failures (the correct answer is never produced) and what share are selection failures (it is produced but not chosen)? How does each vary with citation count?</w:t>
      </w:r>
    </w:p>
    <w:p>
      <w:pPr>
        <w:pStyle w:val="ListParagraph"/>
        <w:numPr>
          <w:ilvl w:val="0"/>
          <w:numId w:val="2"/>
        </w:numPr>
        <w:spacing w:after="80" w:line="276"/>
      </w:pPr>
      <w:r>
        <w:rPr>
          <w:b/>
          <w:bCs/>
        </w:rPr>
        <w:t xml:space="preserve">RQ3 (Methods).</w:t>
      </w:r>
      <w:r>
        <w:t xml:space="preserve"> Which candidate-generation and selection strategies outperform direct answering, self-consistency voting, and CoT at matched compute?</w:t>
      </w:r>
    </w:p>
    <w:p>
      <w:pPr>
        <w:pStyle w:val="ListParagraph"/>
        <w:numPr>
          <w:ilvl w:val="0"/>
          <w:numId w:val="2"/>
        </w:numPr>
        <w:spacing w:after="80" w:line="276"/>
      </w:pPr>
      <w:r>
        <w:rPr>
          <w:b/>
          <w:bCs/>
        </w:rPr>
        <w:t xml:space="preserve">RQ4 (Mechanism, optional).</w:t>
      </w:r>
      <w:r>
        <w:t xml:space="preserve"> Is asking for the authors of a given title effectively a reverse question [11], and how much of the gap is attributable to query direction?</w:t>
      </w:r>
    </w:p>
    <w:p>
      <w:pPr>
        <w:pStyle w:val="Heading1"/>
      </w:pPr>
      <w:r>
        <w:t xml:space="preserve">5. Phase 1: A Valid Multiple-Choice Measurement Instrument</w:t>
      </w:r>
    </w:p>
    <w:p>
      <w:pPr>
        <w:spacing w:after="140" w:line="276"/>
      </w:pPr>
      <w:r>
        <w:t xml:space="preserve">This phase is the foundation of the direction and directly revisits the 79% figure from [1].</w:t>
      </w:r>
    </w:p>
    <w:p>
      <w:pPr>
        <w:pStyle w:val="Heading2"/>
      </w:pPr>
      <w:r>
        <w:t xml:space="preserve">5.1 Distractor ladder</w:t>
      </w:r>
    </w:p>
    <w:p>
      <w:pPr>
        <w:spacing w:after="140" w:line="276"/>
      </w:pPr>
      <w:r>
        <w:t xml:space="preserve">Distractors are organized into levels. Each level removes one more class of cues that would allow a correct choice without memory of the paper.</w:t>
      </w:r>
    </w:p>
    <w:p>
      <w:pPr>
        <w:keepNext/>
        <w:spacing w:after="80" w:before="120"/>
      </w:pPr>
      <w:r>
        <w:rPr>
          <w:b/>
          <w:bCs/>
          <w:color w:val="595959"/>
          <w:sz w:val="19"/>
          <w:szCs w:val="19"/>
        </w:rPr>
        <w:t xml:space="preserve">Table 1. Distractor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3600"/>
      </w:tblGrid>
      <w:tr>
        <w:trPr>
          <w:cantSplit/>
          <w:tblHeader/>
        </w:trPr>
        <w:tc>
          <w:tcPr>
            <w:tcW w:type="dxa" w:w="900"/>
            <w:tcBorders>
              <w:top w:val="single" w:color="BFBFBF" w:sz="4"/>
              <w:left w:val="single" w:color="BFBFBF" w:sz="4"/>
              <w:bottom w:val="single" w:color="BFBFBF" w:sz="4"/>
              <w:right w:val="single" w:color="BFBFBF" w:sz="4"/>
            </w:tcBorders>
            <w:shd w:fill="E8EEF7" w:color="auto" w:val="clear"/>
            <w:tcMar>
              <w:top w:type="dxa" w:w="80"/>
              <w:left w:type="dxa" w:w="110"/>
              <w:bottom w:type="dxa" w:w="80"/>
              <w:right w:type="dxa" w:w="110"/>
            </w:tcMar>
          </w:tcPr>
          <w:p>
            <w:pPr>
              <w:spacing w:after="0" w:line="250"/>
            </w:pPr>
            <w:r>
              <w:rPr>
                <w:b/>
                <w:bCs/>
                <w:color w:val="1F3864"/>
                <w:sz w:val="19"/>
                <w:szCs w:val="19"/>
              </w:rPr>
              <w:t xml:space="preserve">Level</w:t>
            </w:r>
          </w:p>
        </w:tc>
        <w:tc>
          <w:tcPr>
            <w:tcW w:type="dxa" w:w="4860"/>
            <w:tcBorders>
              <w:top w:val="single" w:color="BFBFBF" w:sz="4"/>
              <w:left w:val="single" w:color="BFBFBF" w:sz="4"/>
              <w:bottom w:val="single" w:color="BFBFBF" w:sz="4"/>
              <w:right w:val="single" w:color="BFBFBF" w:sz="4"/>
            </w:tcBorders>
            <w:shd w:fill="E8EEF7" w:color="auto" w:val="clear"/>
            <w:tcMar>
              <w:top w:type="dxa" w:w="80"/>
              <w:left w:type="dxa" w:w="110"/>
              <w:bottom w:type="dxa" w:w="80"/>
              <w:right w:type="dxa" w:w="110"/>
            </w:tcMar>
          </w:tcPr>
          <w:p>
            <w:pPr>
              <w:spacing w:after="0" w:line="250"/>
            </w:pPr>
            <w:r>
              <w:rPr>
                <w:b/>
                <w:bCs/>
                <w:color w:val="1F3864"/>
                <w:sz w:val="19"/>
                <w:szCs w:val="19"/>
              </w:rPr>
              <w:t xml:space="preserve">Distractor construction</w:t>
            </w:r>
          </w:p>
        </w:tc>
        <w:tc>
          <w:tcPr>
            <w:tcW w:type="dxa" w:w="3600"/>
            <w:tcBorders>
              <w:top w:val="single" w:color="BFBFBF" w:sz="4"/>
              <w:left w:val="single" w:color="BFBFBF" w:sz="4"/>
              <w:bottom w:val="single" w:color="BFBFBF" w:sz="4"/>
              <w:right w:val="single" w:color="BFBFBF" w:sz="4"/>
            </w:tcBorders>
            <w:shd w:fill="E8EEF7" w:color="auto" w:val="clear"/>
            <w:tcMar>
              <w:top w:type="dxa" w:w="80"/>
              <w:left w:type="dxa" w:w="110"/>
              <w:bottom w:type="dxa" w:w="80"/>
              <w:right w:type="dxa" w:w="110"/>
            </w:tcMar>
          </w:tcPr>
          <w:p>
            <w:pPr>
              <w:spacing w:after="0" w:line="250"/>
            </w:pPr>
            <w:r>
              <w:rPr>
                <w:b/>
                <w:bCs/>
                <w:color w:val="1F3864"/>
                <w:sz w:val="19"/>
                <w:szCs w:val="19"/>
              </w:rPr>
              <w:t xml:space="preserve">Cue removed</w:t>
            </w:r>
          </w:p>
        </w:tc>
      </w:tr>
      <w:tr>
        <w:trPr>
          <w:cantSplit/>
        </w:trPr>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L0</w:t>
            </w:r>
          </w:p>
        </w:tc>
        <w:tc>
          <w:tcPr>
            <w:tcW w:type="dxa" w:w="4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Random same-field names grouped into teams (the design used in [1])</w:t>
            </w:r>
          </w:p>
        </w:tc>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None; reference level</w:t>
            </w:r>
          </w:p>
        </w:tc>
      </w:tr>
      <w:tr>
        <w:trPr>
          <w:cantSplit/>
        </w:trPr>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L1</w:t>
            </w:r>
          </w:p>
        </w:tc>
        <w:tc>
          <w:tcPr>
            <w:tcW w:type="dxa" w:w="4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Real author team of another same-field paper with the same number of authors</w:t>
            </w:r>
          </w:p>
        </w:tc>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Internal team coherence (shared institution, shared linguistic background)</w:t>
            </w:r>
          </w:p>
        </w:tc>
      </w:tr>
      <w:tr>
        <w:trPr>
          <w:cantSplit/>
        </w:trPr>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L2</w:t>
            </w:r>
          </w:p>
        </w:tc>
        <w:tc>
          <w:tcPr>
            <w:tcW w:type="dxa" w:w="4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L1, restricted to similar publication years (e.g., ±2 years)</w:t>
            </w:r>
          </w:p>
        </w:tc>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Era and name-formatting conventions</w:t>
            </w:r>
          </w:p>
        </w:tc>
      </w:tr>
      <w:tr>
        <w:trPr>
          <w:cantSplit/>
        </w:trPr>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L3</w:t>
            </w:r>
          </w:p>
        </w:tc>
        <w:tc>
          <w:tcPr>
            <w:tcW w:type="dxa" w:w="4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L2, using the real team of the most semantically similar title, matched on team prominence</w:t>
            </w:r>
          </w:p>
        </w:tc>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Topic–community association; “famous name” effects</w:t>
            </w:r>
          </w:p>
        </w:tc>
      </w:tr>
      <w:tr>
        <w:trPr>
          <w:cantSplit/>
        </w:trPr>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L4</w:t>
            </w:r>
          </w:p>
        </w:tc>
        <w:tc>
          <w:tcPr>
            <w:tcW w:type="dxa" w:w="4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The true team with exactly one author replaced by a real collaborator of the remaining authors from another paper</w:t>
            </w:r>
          </w:p>
        </w:tc>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Knowing that “these people collaborate” without knowing who wrote this paper</w:t>
            </w:r>
          </w:p>
        </w:tc>
      </w:tr>
      <w:tr>
        <w:trPr>
          <w:cantSplit/>
        </w:trPr>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L5</w:t>
            </w:r>
          </w:p>
        </w:tc>
        <w:tc>
          <w:tcPr>
            <w:tcW w:type="dxa" w:w="4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The model’s own incorrect answers for this paper</w:t>
            </w:r>
          </w:p>
        </w:tc>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The most seductive distractors; mirrors the method setting</w:t>
            </w:r>
          </w:p>
        </w:tc>
      </w:tr>
    </w:tbl>
    <w:p>
      <w:pPr>
        <w:spacing w:after="80"/>
      </w:pPr>
    </w:p>
    <w:p>
      <w:pPr>
        <w:spacing w:after="140" w:line="276"/>
      </w:pPr>
      <w:r>
        <w:t xml:space="preserve">For L1–L3, exclude any candidate team that shares an author with the true team. L5 answers differ in format from the Semantic Scholar ground truth, so all options must first be normalized to a single format (e.g., “F. Lastname”); otherwise formatting differences become a cue in themselves.</w:t>
      </w:r>
    </w:p>
    <w:p>
      <w:pPr>
        <w:pStyle w:val="Heading2"/>
      </w:pPr>
      <w:r>
        <w:t xml:space="preserve">5.2 Controls and bias handling</w:t>
      </w:r>
    </w:p>
    <w:p>
      <w:pPr>
        <w:keepNext/>
        <w:spacing w:after="100" w:line="276"/>
      </w:pPr>
      <w:r>
        <w:t xml:space="preserve">At least three controls are needed:</w:t>
      </w:r>
    </w:p>
    <w:p>
      <w:pPr>
        <w:pStyle w:val="ListParagraph"/>
        <w:numPr>
          <w:ilvl w:val="0"/>
          <w:numId w:val="2"/>
        </w:numPr>
        <w:spacing w:after="80" w:line="276"/>
      </w:pPr>
      <w:r>
        <w:rPr>
          <w:b/>
          <w:bCs/>
        </w:rPr>
        <w:t xml:space="preserve">Choices only (no title).</w:t>
      </w:r>
      <w:r>
        <w:t xml:space="preserve"> Balepur et al. [12] found that many MC benchmarks can be answered well above chance from the options alone. Accuracy in this condition should be near chance.</w:t>
      </w:r>
    </w:p>
    <w:p>
      <w:pPr>
        <w:pStyle w:val="ListParagraph"/>
        <w:numPr>
          <w:ilvl w:val="0"/>
          <w:numId w:val="2"/>
        </w:numPr>
        <w:spacing w:after="80" w:line="276"/>
      </w:pPr>
      <w:r>
        <w:rPr>
          <w:b/>
          <w:bCs/>
        </w:rPr>
        <w:t xml:space="preserve">Title swap.</w:t>
      </w:r>
      <w:r>
        <w:t xml:space="preserve"> Pair the option set with the title of another paper from the same field and period. If the model still prefers the original “correct” team, it is answering from team-level features.</w:t>
      </w:r>
    </w:p>
    <w:p>
      <w:pPr>
        <w:pStyle w:val="ListParagraph"/>
        <w:numPr>
          <w:ilvl w:val="0"/>
          <w:numId w:val="2"/>
        </w:numPr>
        <w:spacing w:after="80" w:line="276"/>
      </w:pPr>
      <w:r>
        <w:rPr>
          <w:b/>
          <w:bCs/>
        </w:rPr>
        <w:t xml:space="preserve">Catch trials.</w:t>
      </w:r>
      <w:r>
        <w:t xml:space="preserve"> Remove the correct answer, leaving only distractors plus “none of the above,” which becomes the correct response. This measures the false-recognition rate: whether the model can reject a pool that contains no correct answer, which is the normal situation in the method setting.</w:t>
      </w:r>
    </w:p>
    <w:p>
      <w:pPr>
        <w:spacing w:after="140" w:before="80" w:line="276"/>
      </w:pPr>
      <w:r>
        <w:t xml:space="preserve">LLMs also show systematic preferences for particular option positions or letters [13]. Each item should be asked under all four cyclic permutations of the options and counted as recognized only when the correct option is chosen in a majority (or all) of them. This also produces a more robust per-item label.</w:t>
      </w:r>
    </w:p>
    <w:p>
      <w:pPr>
        <w:pStyle w:val="Heading2"/>
      </w:pPr>
      <w:r>
        <w:t xml:space="preserve">5.3 Question formats and primary metric</w:t>
      </w:r>
    </w:p>
    <w:p>
      <w:pPr>
        <w:keepNext/>
        <w:spacing w:after="100" w:line="276"/>
      </w:pPr>
      <w:r>
        <w:t xml:space="preserve">Three formats should be run in parallel and compared:</w:t>
      </w:r>
    </w:p>
    <w:p>
      <w:pPr>
        <w:pStyle w:val="ListParagraph"/>
        <w:numPr>
          <w:ilvl w:val="0"/>
          <w:numId w:val="2"/>
        </w:numPr>
        <w:spacing w:after="80" w:line="276"/>
      </w:pPr>
      <w:r>
        <w:rPr>
          <w:b/>
          <w:bCs/>
        </w:rPr>
        <w:t xml:space="preserve">Joint MC:</w:t>
      </w:r>
      <w:r>
        <w:t xml:space="preserve"> all options are presented together (A–D).</w:t>
      </w:r>
    </w:p>
    <w:p>
      <w:pPr>
        <w:pStyle w:val="ListParagraph"/>
        <w:numPr>
          <w:ilvl w:val="0"/>
          <w:numId w:val="2"/>
        </w:numPr>
        <w:spacing w:after="80" w:line="276"/>
      </w:pPr>
      <w:r>
        <w:rPr>
          <w:b/>
          <w:bCs/>
        </w:rPr>
        <w:t xml:space="preserve">Yes/no verification:</w:t>
      </w:r>
      <w:r>
        <w:t xml:space="preserve"> for each candidate, the model judges whether it is the author list of the paper. Signal detection theory [14] separates genuine discrimination (d′) from response bias (a tendency to answer “yes”).</w:t>
      </w:r>
    </w:p>
    <w:p>
      <w:pPr>
        <w:pStyle w:val="ListParagraph"/>
        <w:numPr>
          <w:ilvl w:val="0"/>
          <w:numId w:val="2"/>
        </w:numPr>
        <w:spacing w:after="80" w:line="276"/>
      </w:pPr>
      <w:r>
        <w:rPr>
          <w:b/>
          <w:bCs/>
        </w:rPr>
        <w:t xml:space="preserve">Likelihood scoring:</w:t>
      </w:r>
      <w:r>
        <w:t xml:space="preserve"> no options are shown; the model’s conditional probabilities for the candidates are compared directly.</w:t>
      </w:r>
    </w:p>
    <w:p>
      <w:pPr>
        <w:spacing w:after="140" w:before="80" w:line="276"/>
      </w:pPr>
      <w:r>
        <w:rPr>
          <w:b/>
          <w:bCs/>
        </w:rPr>
        <w:t xml:space="preserve">Primary metric.</w:t>
      </w:r>
      <w:r>
        <w:t xml:space="preserve"> Following [6], knowledge is measured as the fraction of (correct, incorrect) answer pairs in which the correct answer is ranked higher. This is the AUC, which also equals expected accuracy in two-alternative forced choice [14]. It depends on neither a threshold nor response bias, and it applies to any scoring function (verbalized judgments, likelihoods, or probes), so all three formats can be compared on the same scale.</w:t>
      </w:r>
    </w:p>
    <w:p>
      <w:pPr>
        <w:pStyle w:val="Heading2"/>
      </w:pPr>
      <w:r>
        <w:t xml:space="preserve">5.4 Reliability check</w:t>
      </w:r>
    </w:p>
    <w:p>
      <w:pPr>
        <w:spacing w:after="140" w:line="276"/>
      </w:pPr>
      <w:r>
        <w:t xml:space="preserve">Cross-tabulate papers by whether they are recalled directly and whether they are recognized (a 2×2 table). The “recalled but not recognized” cell should be close to zero. In human memory this cell is real, and Tulving and Thomson [15] used it to challenge the two-stage theory; in LLMs, however, a large value is more likely to signal measurement noise, such as position bias or flawed distractors, and should be investigated first.</w:t>
      </w:r>
    </w:p>
    <w:p>
      <w:pPr>
        <w:pStyle w:val="Heading2"/>
      </w:pPr>
      <w:r>
        <w:t xml:space="preserve">5.5 Outputs</w:t>
      </w:r>
    </w:p>
    <w:p>
      <w:pPr>
        <w:pStyle w:val="ListParagraph"/>
        <w:numPr>
          <w:ilvl w:val="0"/>
          <w:numId w:val="2"/>
        </w:numPr>
        <w:spacing w:after="80" w:line="276"/>
      </w:pPr>
      <w:r>
        <w:t xml:space="preserve">A figure of recognition accuracy by citation bin, with one line per distractor level and the control conditions overlaid. The gap between L0 and L3/L4 in the low-citation bins quantifies heuristic inflation.</w:t>
      </w:r>
    </w:p>
    <w:p>
      <w:pPr>
        <w:pStyle w:val="ListParagraph"/>
        <w:numPr>
          <w:ilvl w:val="0"/>
          <w:numId w:val="2"/>
        </w:numPr>
        <w:spacing w:after="80" w:line="276"/>
      </w:pPr>
      <w:r>
        <w:t xml:space="preserve">A robust per-paper label: recognized or not under hard distractors.</w:t>
      </w:r>
    </w:p>
    <w:p>
      <w:pPr>
        <w:pStyle w:val="ListParagraph"/>
        <w:numPr>
          <w:ilvl w:val="0"/>
          <w:numId w:val="2"/>
        </w:numPr>
        <w:spacing w:after="80" w:line="276"/>
      </w:pPr>
      <w:r>
        <w:t xml:space="preserve">A replication of L0 on GPT-4o (if it is still available through the API) to match [1], followed by a measurement of how much accuracy falls at higher levels, so that new and old results connect directly.</w:t>
      </w:r>
    </w:p>
    <w:p>
      <w:pPr>
        <w:pStyle w:val="ListParagraph"/>
        <w:numPr>
          <w:ilvl w:val="0"/>
          <w:numId w:val="2"/>
        </w:numPr>
        <w:spacing w:after="80" w:line="276"/>
      </w:pPr>
      <w:r>
        <w:t xml:space="preserve">Both a full-author-list version and a first-author-only version. The latter offers fewer cues and yields cleaner conclusions.</w:t>
      </w:r>
    </w:p>
    <w:p>
      <w:pPr>
        <w:pStyle w:val="Heading1"/>
      </w:pPr>
      <w:r>
        <w:t xml:space="preserve">6. Phase 2: Decomposing Recall Failures</w:t>
      </w:r>
    </w:p>
    <w:p>
      <w:pPr>
        <w:pStyle w:val="Heading2"/>
      </w:pPr>
      <w:r>
        <w:t xml:space="preserve">6.1 Sampling and coverage@k</w:t>
      </w:r>
    </w:p>
    <w:p>
      <w:pPr>
        <w:spacing w:after="140" w:line="276"/>
      </w:pPr>
      <w:r>
        <w:t xml:space="preserve">For each paper, in addition to greedy decoding, sample k answers at several temperatures (k up to 50–100). Coverage@k is the probability that the correct first author appears in at least one of k samples. Estimate it for each k from n samples with the unbiased estimator of Chen et al. [16], and plot the curves by citation bin.</w:t>
      </w:r>
    </w:p>
    <w:p>
      <w:pPr>
        <w:pStyle w:val="Heading2"/>
      </w:pPr>
      <w:r>
        <w:t xml:space="preserve">6.2 Permutation baseline for chance matches</w:t>
      </w:r>
    </w:p>
    <w:p>
      <w:pPr>
        <w:spacing w:after="140" w:line="276"/>
      </w:pPr>
      <w:r>
        <w:t xml:space="preserve">As k grows, common surnames are almost certain to appear in the pool. Under the matching rule (last name plus first initial), one “J. Wang” among fifty samples says little about whether the model remembers a paper whose first author is J. Wang. A permutation baseline is therefore required: match paper A’s candidate pool against the true authors of a different paper B from the same field and period. Observed coverage is meaningful only net of this chance coverage, and the correction matters more as k increases.</w:t>
      </w:r>
    </w:p>
    <w:p>
      <w:pPr>
        <w:pStyle w:val="Heading2"/>
      </w:pPr>
      <w:r>
        <w:t xml:space="preserve">6.3 Four knowledge profiles</w:t>
      </w:r>
    </w:p>
    <w:p>
      <w:pPr>
        <w:keepNext/>
        <w:spacing w:after="100" w:line="276"/>
      </w:pPr>
      <w:r>
        <w:t xml:space="preserve">Combining the Phase 1 labels with sampling, each paper is assigned to one of four profiles:</w:t>
      </w:r>
    </w:p>
    <w:p>
      <w:pPr>
        <w:keepNext/>
        <w:spacing w:after="80" w:before="120"/>
      </w:pPr>
      <w:r>
        <w:rPr>
          <w:b/>
          <w:bCs/>
          <w:color w:val="595959"/>
          <w:sz w:val="19"/>
          <w:szCs w:val="19"/>
        </w:rPr>
        <w:t xml:space="preserve">Table 2. Knowledge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cantSplit/>
          <w:tblHeader/>
        </w:trPr>
        <w:tc>
          <w:tcPr>
            <w:tcW w:type="dxa" w:w="2200"/>
            <w:tcBorders>
              <w:top w:val="single" w:color="BFBFBF" w:sz="4"/>
              <w:left w:val="single" w:color="BFBFBF" w:sz="4"/>
              <w:bottom w:val="single" w:color="BFBFBF" w:sz="4"/>
              <w:right w:val="single" w:color="BFBFBF" w:sz="4"/>
            </w:tcBorders>
            <w:shd w:fill="E8EEF7" w:color="auto" w:val="clear"/>
            <w:tcMar>
              <w:top w:type="dxa" w:w="80"/>
              <w:left w:type="dxa" w:w="110"/>
              <w:bottom w:type="dxa" w:w="80"/>
              <w:right w:type="dxa" w:w="110"/>
            </w:tcMar>
          </w:tcPr>
          <w:p>
            <w:pPr>
              <w:spacing w:after="0" w:line="250"/>
            </w:pPr>
            <w:r>
              <w:rPr>
                <w:b/>
                <w:bCs/>
                <w:color w:val="1F3864"/>
                <w:sz w:val="19"/>
                <w:szCs w:val="19"/>
              </w:rPr>
              <w:t xml:space="preserve">Profile</w:t>
            </w:r>
          </w:p>
        </w:tc>
        <w:tc>
          <w:tcPr>
            <w:tcW w:type="dxa" w:w="4160"/>
            <w:tcBorders>
              <w:top w:val="single" w:color="BFBFBF" w:sz="4"/>
              <w:left w:val="single" w:color="BFBFBF" w:sz="4"/>
              <w:bottom w:val="single" w:color="BFBFBF" w:sz="4"/>
              <w:right w:val="single" w:color="BFBFBF" w:sz="4"/>
            </w:tcBorders>
            <w:shd w:fill="E8EEF7" w:color="auto" w:val="clear"/>
            <w:tcMar>
              <w:top w:type="dxa" w:w="80"/>
              <w:left w:type="dxa" w:w="110"/>
              <w:bottom w:type="dxa" w:w="80"/>
              <w:right w:type="dxa" w:w="110"/>
            </w:tcMar>
          </w:tcPr>
          <w:p>
            <w:pPr>
              <w:spacing w:after="0" w:line="250"/>
            </w:pPr>
            <w:r>
              <w:rPr>
                <w:b/>
                <w:bCs/>
                <w:color w:val="1F3864"/>
                <w:sz w:val="19"/>
                <w:szCs w:val="19"/>
              </w:rPr>
              <w:t xml:space="preserve">Definition</w:t>
            </w:r>
          </w:p>
        </w:tc>
        <w:tc>
          <w:tcPr>
            <w:tcW w:type="dxa" w:w="3000"/>
            <w:tcBorders>
              <w:top w:val="single" w:color="BFBFBF" w:sz="4"/>
              <w:left w:val="single" w:color="BFBFBF" w:sz="4"/>
              <w:bottom w:val="single" w:color="BFBFBF" w:sz="4"/>
              <w:right w:val="single" w:color="BFBFBF" w:sz="4"/>
            </w:tcBorders>
            <w:shd w:fill="E8EEF7" w:color="auto" w:val="clear"/>
            <w:tcMar>
              <w:top w:type="dxa" w:w="80"/>
              <w:left w:type="dxa" w:w="110"/>
              <w:bottom w:type="dxa" w:w="80"/>
              <w:right w:type="dxa" w:w="110"/>
            </w:tcMar>
          </w:tcPr>
          <w:p>
            <w:pPr>
              <w:spacing w:after="0" w:line="250"/>
            </w:pPr>
            <w:r>
              <w:rPr>
                <w:b/>
                <w:bCs/>
                <w:color w:val="1F3864"/>
                <w:sz w:val="19"/>
                <w:szCs w:val="19"/>
              </w:rPr>
              <w:t xml:space="preserve">Implication</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Direct recall</w:t>
            </w:r>
          </w:p>
        </w:tc>
        <w:tc>
          <w:tcPr>
            <w:tcW w:type="dxa" w:w="4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The greedy answer is correct</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No intervention needed</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Reachable</w:t>
            </w:r>
          </w:p>
        </w:tc>
        <w:tc>
          <w:tcPr>
            <w:tcW w:type="dxa" w:w="4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The greedy answer is wrong, but the correct answer appears among the k samples</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Recoverable by selection</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Recognized but unreachable</w:t>
            </w:r>
          </w:p>
        </w:tc>
        <w:tc>
          <w:tcPr>
            <w:tcW w:type="dxa" w:w="4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The correct answer is absent from all k samples but is recognized under hard distractors</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Requires new generation strategies such as cues; the phenomenon described in [6]</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Not recognized</w:t>
            </w:r>
          </w:p>
        </w:tc>
        <w:tc>
          <w:tcPr>
            <w:tcW w:type="dxa" w:w="4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Recognition fails even under hard distractors</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Most likely not encoded</w:t>
            </w:r>
          </w:p>
        </w:tc>
      </w:tr>
    </w:tbl>
    <w:p>
      <w:pPr>
        <w:spacing w:after="80"/>
      </w:pPr>
    </w:p>
    <w:p>
      <w:pPr>
        <w:pStyle w:val="Heading2"/>
      </w:pPr>
      <w:r>
        <w:t xml:space="preserve">6.4 The core figure</w:t>
      </w:r>
    </w:p>
    <w:p>
      <w:pPr>
        <w:spacing w:after="140" w:line="276"/>
      </w:pPr>
      <w:r>
        <w:t xml:space="preserve">A stacked-proportion plot of the four profiles by citation bin is the central figure of the project. It answers three questions at once: in which prevalence range the recoverable space is concentrated (i.e., whether the hypothesized inverted U holds); whether recovery requires better selection or better generation; and where the “empty shelves” begin. Because the boundary between the two middle profiles depends on k, the figure should be shown for several values of k. Mass that moves from “unreachable” to “reachable” as k grows is low-probability but reachable; whatever remains at large k is effectively unreachable.</w:t>
      </w:r>
    </w:p>
    <w:p>
      <w:pPr>
        <w:pStyle w:val="Heading1"/>
      </w:pPr>
      <w:r>
        <w:t xml:space="preserve">7. Phase 3: Generate-then-Select Methods</w:t>
      </w:r>
    </w:p>
    <w:p>
      <w:pPr>
        <w:pStyle w:val="Heading2"/>
      </w:pPr>
      <w:r>
        <w:t xml:space="preserve">7.1 Candidate generation: raising coverage</w:t>
      </w:r>
    </w:p>
    <w:p>
      <w:pPr>
        <w:keepNext/>
        <w:spacing w:after="100" w:line="276"/>
      </w:pPr>
      <w:r>
        <w:t xml:space="preserve">Strategies to compare:</w:t>
      </w:r>
    </w:p>
    <w:p>
      <w:pPr>
        <w:pStyle w:val="ListParagraph"/>
        <w:numPr>
          <w:ilvl w:val="0"/>
          <w:numId w:val="2"/>
        </w:numPr>
        <w:spacing w:after="80" w:line="276"/>
      </w:pPr>
      <w:r>
        <w:t xml:space="preserve">Temperature and top-p sweeps.</w:t>
      </w:r>
    </w:p>
    <w:p>
      <w:pPr>
        <w:pStyle w:val="ListParagraph"/>
        <w:numPr>
          <w:ilvl w:val="0"/>
          <w:numId w:val="2"/>
        </w:numPr>
        <w:spacing w:after="80" w:line="276"/>
      </w:pPr>
      <w:r>
        <w:t xml:space="preserve">Diverse prompt contexts: question–answer format, database-listing format (“Title: … Authors: …”), and reference-list format.</w:t>
      </w:r>
    </w:p>
    <w:p>
      <w:pPr>
        <w:pStyle w:val="ListParagraph"/>
        <w:numPr>
          <w:ilvl w:val="0"/>
          <w:numId w:val="2"/>
        </w:numPr>
        <w:spacing w:after="80" w:line="276"/>
      </w:pPr>
      <w:r>
        <w:t xml:space="preserve">Exclusion prompting: asking for an author different from those already produced, to avoid resampling the same error.</w:t>
      </w:r>
    </w:p>
    <w:p>
      <w:pPr>
        <w:pStyle w:val="ListParagraph"/>
        <w:numPr>
          <w:ilvl w:val="0"/>
          <w:numId w:val="2"/>
        </w:numPr>
        <w:spacing w:after="80" w:line="276"/>
      </w:pPr>
      <w:r>
        <w:t xml:space="preserve">Decomposed generation: generating the first author on its own, or conditioning on one author and asking for the co-authors.</w:t>
      </w:r>
    </w:p>
    <w:p>
      <w:pPr>
        <w:pStyle w:val="ListParagraph"/>
        <w:numPr>
          <w:ilvl w:val="0"/>
          <w:numId w:val="2"/>
        </w:numPr>
        <w:spacing w:after="80" w:line="276"/>
      </w:pPr>
      <w:r>
        <w:t xml:space="preserve">Cues, used in one of two distinct ways. Giving the model the true first letter is an </w:t>
      </w:r>
      <w:r>
        <w:rPr>
          <w:i/>
          <w:iCs/>
        </w:rPr>
        <w:t xml:space="preserve">oracle cue</w:t>
      </w:r>
      <w:r>
        <w:t xml:space="preserve">: it leaks information, so it serves only as a diagnostic of how much of the gap a single cue explains, net of a baseline that guesses the most common surname with that initial. Enumerating all 26 letters, or the few most likely first tokens of the surname, and then selecting among the results leaks no ground truth and is a legitimate method.</w:t>
      </w:r>
    </w:p>
    <w:p>
      <w:pPr>
        <w:spacing w:after="140" w:before="80" w:line="276"/>
      </w:pPr>
      <w:r>
        <w:t xml:space="preserve">All generation strategies are compared at equal compute, with generated tokens or forward passes on the x-axis.</w:t>
      </w:r>
    </w:p>
    <w:p>
      <w:pPr>
        <w:pStyle w:val="Heading2"/>
      </w:pPr>
      <w:r>
        <w:t xml:space="preserve">7.2 Selection: picking the correct candidate from the pool</w:t>
      </w:r>
    </w:p>
    <w:p>
      <w:pPr>
        <w:keepNext/>
        <w:spacing w:after="100" w:line="276"/>
      </w:pPr>
      <w:r>
        <w:t xml:space="preserve">Scoring functions to compare:</w:t>
      </w:r>
    </w:p>
    <w:p>
      <w:pPr>
        <w:pStyle w:val="ListParagraph"/>
        <w:numPr>
          <w:ilvl w:val="0"/>
          <w:numId w:val="2"/>
        </w:numPr>
        <w:spacing w:after="80" w:line="276"/>
      </w:pPr>
      <w:r>
        <w:rPr>
          <w:b/>
          <w:bCs/>
        </w:rPr>
        <w:t xml:space="preserve">Joint MC</w:t>
      </w:r>
      <w:r>
        <w:t xml:space="preserve"> over the deduplicated candidates, with a “none of the above” option that allows the model to abstain.</w:t>
      </w:r>
    </w:p>
    <w:p>
      <w:pPr>
        <w:pStyle w:val="ListParagraph"/>
        <w:numPr>
          <w:ilvl w:val="0"/>
          <w:numId w:val="2"/>
        </w:numPr>
        <w:spacing w:after="80" w:line="276"/>
      </w:pPr>
      <w:r>
        <w:rPr>
          <w:b/>
          <w:bCs/>
        </w:rPr>
        <w:t xml:space="preserve">P(True)</w:t>
      </w:r>
      <w:r>
        <w:t xml:space="preserve"> for each candidate [7]. Kadavath et al. found that showing the model several of its own samples before it judges one improves self-evaluation.</w:t>
      </w:r>
    </w:p>
    <w:p>
      <w:pPr>
        <w:pStyle w:val="ListParagraph"/>
        <w:numPr>
          <w:ilvl w:val="0"/>
          <w:numId w:val="2"/>
        </w:numPr>
        <w:spacing w:after="80" w:line="276"/>
      </w:pPr>
      <w:r>
        <w:rPr>
          <w:b/>
          <w:bCs/>
        </w:rPr>
        <w:t xml:space="preserve">PMI-corrected likelihood:</w:t>
      </w:r>
      <w:r>
        <w:t xml:space="preserve"> log P(candidate | title) − log P(candidate | blank or unrelated title), following the domain-conditional PMI correction of [17]. This removes the prior that common names are more probable and also addresses the name-commonness confound listed in the project notes.</w:t>
      </w:r>
    </w:p>
    <w:p>
      <w:pPr>
        <w:pStyle w:val="ListParagraph"/>
        <w:numPr>
          <w:ilvl w:val="0"/>
          <w:numId w:val="2"/>
        </w:numPr>
        <w:spacing w:after="80" w:line="276"/>
      </w:pPr>
      <w:r>
        <w:rPr>
          <w:b/>
          <w:bCs/>
        </w:rPr>
        <w:t xml:space="preserve">Forward-direction scoring:</w:t>
      </w:r>
      <w:r>
        <w:t xml:space="preserve"> place the candidate authors in a reference-list format and compute log P(title | authors), minus the same quantity with no authors. In theory PMI is symmetric, so both directions should yield the same value; because language models learn each conditional separately, the difference between the two estimates is itself a measure of directional asymmetry and addresses RQ4.</w:t>
      </w:r>
    </w:p>
    <w:p>
      <w:pPr>
        <w:pStyle w:val="ListParagraph"/>
        <w:numPr>
          <w:ilvl w:val="0"/>
          <w:numId w:val="2"/>
        </w:numPr>
        <w:spacing w:after="80" w:line="276"/>
      </w:pPr>
      <w:r>
        <w:rPr>
          <w:b/>
          <w:bCs/>
        </w:rPr>
        <w:t xml:space="preserve">Self-consistency</w:t>
      </w:r>
      <w:r>
        <w:t xml:space="preserve"> (majority vote) [18] as a baseline.</w:t>
      </w:r>
    </w:p>
    <w:p>
      <w:pPr>
        <w:pStyle w:val="Heading2"/>
      </w:pPr>
      <w:r>
        <w:t xml:space="preserve">7.3 Key ablation: information beyond frequency</w:t>
      </w:r>
    </w:p>
    <w:p>
      <w:pPr>
        <w:spacing w:after="140" w:line="276"/>
      </w:pPr>
      <w:r>
        <w:t xml:space="preserve">Does selection add information beyond how often each candidate was sampled? If the model’s choices essentially reproduce the majority vote, the recognition stage contributes nothing new, and the narrative should shift toward generation and measurement.</w:t>
      </w:r>
    </w:p>
    <w:p>
      <w:pPr>
        <w:pStyle w:val="Heading2"/>
      </w:pPr>
      <w:r>
        <w:t xml:space="preserve">7.4 Evaluation</w:t>
      </w:r>
    </w:p>
    <w:p>
      <w:pPr>
        <w:pStyle w:val="ListParagraph"/>
        <w:numPr>
          <w:ilvl w:val="0"/>
          <w:numId w:val="2"/>
        </w:numPr>
        <w:spacing w:after="80" w:line="276"/>
      </w:pPr>
      <w:r>
        <w:rPr>
          <w:b/>
          <w:bCs/>
        </w:rPr>
        <w:t xml:space="preserve">Selection accuracy given coverage,</w:t>
      </w:r>
      <w:r>
        <w:t xml:space="preserve"> computed only on papers whose pool contains the correct answer, isolates the recognition stage.</w:t>
      </w:r>
    </w:p>
    <w:p>
      <w:pPr>
        <w:pStyle w:val="ListParagraph"/>
        <w:numPr>
          <w:ilvl w:val="0"/>
          <w:numId w:val="2"/>
        </w:numPr>
        <w:spacing w:after="80" w:line="276"/>
      </w:pPr>
      <w:r>
        <w:rPr>
          <w:b/>
          <w:bCs/>
        </w:rPr>
        <w:t xml:space="preserve">Selection efficiency</w:t>
      </w:r>
      <w:r>
        <w:t xml:space="preserve"> = (accuracy after selection − greedy accuracy) / (coverage − greedy accuracy): the share of the recoverable gap actually recovered.</w:t>
      </w:r>
    </w:p>
    <w:p>
      <w:pPr>
        <w:pStyle w:val="ListParagraph"/>
        <w:numPr>
          <w:ilvl w:val="0"/>
          <w:numId w:val="2"/>
        </w:numPr>
        <w:spacing w:after="80" w:line="276"/>
      </w:pPr>
      <w:r>
        <w:rPr>
          <w:b/>
          <w:bCs/>
        </w:rPr>
        <w:t xml:space="preserve">End-to-end baselines:</w:t>
      </w:r>
      <w:r>
        <w:t xml:space="preserve"> greedy direct answering, few-shot prompting, CoT, thinking models, and k-sample self-consistency. Compare against the CoT/thinking baseline of [2] at matched token budgets and plot an accuracy–compute Pareto frontier.</w:t>
      </w:r>
    </w:p>
    <w:p>
      <w:pPr>
        <w:pStyle w:val="ListParagraph"/>
        <w:numPr>
          <w:ilvl w:val="0"/>
          <w:numId w:val="2"/>
        </w:numPr>
        <w:spacing w:after="80" w:line="276"/>
      </w:pPr>
      <w:r>
        <w:rPr>
          <w:b/>
          <w:bCs/>
        </w:rPr>
        <w:t xml:space="preserve">Accuracy versus answer rate:</w:t>
      </w:r>
      <w:r>
        <w:t xml:space="preserve"> answer only when confident and plot accuracy against the fraction of questions answered. From a hallucination standpoint, the ability to abstain is itself a result.</w:t>
      </w:r>
    </w:p>
    <w:p>
      <w:pPr>
        <w:pStyle w:val="ListParagraph"/>
        <w:numPr>
          <w:ilvl w:val="0"/>
          <w:numId w:val="2"/>
        </w:numPr>
        <w:spacing w:after="80" w:line="276"/>
      </w:pPr>
      <w:r>
        <w:rPr>
          <w:b/>
          <w:bCs/>
        </w:rPr>
        <w:t xml:space="preserve">Full author lists:</w:t>
      </w:r>
      <w:r>
        <w:t xml:space="preserve"> work at the author level. Pool all names across samples, score each name, assemble the list with a threshold, and evaluate with HR</w:t>
      </w:r>
      <w:r>
        <w:rPr>
          <w:vertAlign w:val="subscript"/>
        </w:rPr>
        <w:t xml:space="preserve">2</w:t>
      </w:r>
      <w:r>
        <w:t xml:space="preserve">, HR</w:t>
      </w:r>
      <w:r>
        <w:rPr>
          <w:vertAlign w:val="subscript"/>
        </w:rPr>
        <w:t xml:space="preserve">4</w:t>
      </w:r>
      <w:r>
        <w:t xml:space="preserve">, and HR</w:t>
      </w:r>
      <w:r>
        <w:rPr>
          <w:vertAlign w:val="subscript"/>
        </w:rPr>
        <w:t xml:space="preserve">5</w:t>
      </w:r>
      <w:r>
        <w:t xml:space="preserve"> from [1]. Because [1] found that models systematically over-produce names, the thresholding step can correct this tendency.</w:t>
      </w:r>
    </w:p>
    <w:p>
      <w:pPr>
        <w:pStyle w:val="Heading1"/>
      </w:pPr>
      <w:r>
        <w:t xml:space="preserve">8. Analysis Plan and Statistical Practice</w:t>
      </w:r>
    </w:p>
    <w:p>
      <w:pPr>
        <w:pStyle w:val="Heading2"/>
      </w:pPr>
      <w:r>
        <w:t xml:space="preserve">8.1 Core figures</w:t>
      </w:r>
    </w:p>
    <w:p>
      <w:pPr>
        <w:pStyle w:val="ListParagraph"/>
        <w:numPr>
          <w:ilvl w:val="0"/>
          <w:numId w:val="3"/>
        </w:numPr>
        <w:spacing w:after="80" w:line="276"/>
      </w:pPr>
      <w:r>
        <w:t xml:space="preserve">Recognition accuracy by distractor level and citation bin, with controls.</w:t>
      </w:r>
    </w:p>
    <w:p>
      <w:pPr>
        <w:pStyle w:val="ListParagraph"/>
        <w:numPr>
          <w:ilvl w:val="0"/>
          <w:numId w:val="3"/>
        </w:numPr>
        <w:spacing w:after="80" w:line="276"/>
      </w:pPr>
      <w:r>
        <w:t xml:space="preserve">Recall × recognition 2×2 tables by citation bin.</w:t>
      </w:r>
    </w:p>
    <w:p>
      <w:pPr>
        <w:pStyle w:val="ListParagraph"/>
        <w:numPr>
          <w:ilvl w:val="0"/>
          <w:numId w:val="3"/>
        </w:numPr>
        <w:spacing w:after="80" w:line="276"/>
      </w:pPr>
      <w:r>
        <w:t xml:space="preserve">Coverage@k curves by citation bin, net of the permutation baseline.</w:t>
      </w:r>
    </w:p>
    <w:p>
      <w:pPr>
        <w:pStyle w:val="ListParagraph"/>
        <w:numPr>
          <w:ilvl w:val="0"/>
          <w:numId w:val="3"/>
        </w:numPr>
        <w:spacing w:after="80" w:line="276"/>
      </w:pPr>
      <w:r>
        <w:t xml:space="preserve">Stacked four-profile plot by citation bin, for several values of k.</w:t>
      </w:r>
    </w:p>
    <w:p>
      <w:pPr>
        <w:pStyle w:val="ListParagraph"/>
        <w:numPr>
          <w:ilvl w:val="0"/>
          <w:numId w:val="3"/>
        </w:numPr>
        <w:spacing w:after="80" w:line="276"/>
      </w:pPr>
      <w:r>
        <w:t xml:space="preserve">Selection accuracy given coverage, by selection method.</w:t>
      </w:r>
    </w:p>
    <w:p>
      <w:pPr>
        <w:pStyle w:val="ListParagraph"/>
        <w:numPr>
          <w:ilvl w:val="0"/>
          <w:numId w:val="3"/>
        </w:numPr>
        <w:spacing w:after="80" w:line="276"/>
      </w:pPr>
      <w:r>
        <w:t xml:space="preserve">Accuracy–compute Pareto frontier including the CoT/thinking baselines, plus accuracy-versus-answer-rate curves.</w:t>
      </w:r>
    </w:p>
    <w:p>
      <w:pPr>
        <w:pStyle w:val="Heading2"/>
      </w:pPr>
      <w:r>
        <w:t xml:space="preserve">8.2 Data splits and pre-specification</w:t>
      </w:r>
    </w:p>
    <w:p>
      <w:pPr>
        <w:spacing w:after="140" w:line="276"/>
      </w:pPr>
      <w:r>
        <w:t xml:space="preserve">Stratify by citation bin and field, and hold out about 20% as a development set for tuning prompts, temperatures, and thresholds; the remainder is the test set. The analysis plan should be fixed before the test set is touched, so that thresholds are never chosen after seeing results.</w:t>
      </w:r>
    </w:p>
    <w:p>
      <w:pPr>
        <w:pStyle w:val="Heading2"/>
      </w:pPr>
      <w:r>
        <w:t xml:space="preserve">8.3 Statistical models</w:t>
      </w:r>
    </w:p>
    <w:p>
      <w:pPr>
        <w:pStyle w:val="ListParagraph"/>
        <w:numPr>
          <w:ilvl w:val="0"/>
          <w:numId w:val="2"/>
        </w:numPr>
        <w:spacing w:after="80" w:line="276"/>
      </w:pPr>
      <w:r>
        <w:t xml:space="preserve">Compare methods on the same papers with paired tests (McNemar or paired bootstrap).</w:t>
      </w:r>
    </w:p>
    <w:p>
      <w:pPr>
        <w:pStyle w:val="ListParagraph"/>
        <w:numPr>
          <w:ilvl w:val="0"/>
          <w:numId w:val="2"/>
        </w:numPr>
        <w:spacing w:after="80" w:line="276"/>
      </w:pPr>
      <w:r>
        <w:t xml:space="preserve">Each paper contributes multiple samples, so regressions should be mixed-effects logistic models with random effects for paper and field.</w:t>
      </w:r>
    </w:p>
    <w:p>
      <w:pPr>
        <w:pStyle w:val="ListParagraph"/>
        <w:numPr>
          <w:ilvl w:val="0"/>
          <w:numId w:val="2"/>
        </w:numPr>
        <w:spacing w:after="80" w:line="276"/>
      </w:pPr>
      <w:r>
        <w:t xml:space="preserve">Covariates should include at least author prominence, surname commonness, publication year, title specificity, and number of authors.</w:t>
      </w:r>
    </w:p>
    <w:p>
      <w:pPr>
        <w:pStyle w:val="ListParagraph"/>
        <w:numPr>
          <w:ilvl w:val="0"/>
          <w:numId w:val="2"/>
        </w:numPr>
        <w:spacing w:after="80" w:line="276"/>
      </w:pPr>
      <w:r>
        <w:t xml:space="preserve">Each citation bin contains roughly 700 papers, so a proportion near 5% is estimated with a standard error below one percentage point. The top two or three bins are small and may be merged when necessary.</w:t>
      </w:r>
    </w:p>
    <w:p>
      <w:pPr>
        <w:pStyle w:val="Heading2"/>
      </w:pPr>
      <w:r>
        <w:t xml:space="preserve">8.4 Engineering and model choice</w:t>
      </w:r>
    </w:p>
    <w:p>
      <w:pPr>
        <w:pStyle w:val="ListParagraph"/>
        <w:numPr>
          <w:ilvl w:val="0"/>
          <w:numId w:val="2"/>
        </w:numPr>
        <w:spacing w:after="80" w:line="276"/>
      </w:pPr>
      <w:r>
        <w:t xml:space="preserve">With the first author as target and 50 samples per paper, parallel sampling from a single prompt (e.g., n = 50 in vLLM) processes each prompt only once; total generation is on the order of millions of tokens, which is easily handled for open-weight models.</w:t>
      </w:r>
    </w:p>
    <w:p>
      <w:pPr>
        <w:pStyle w:val="ListParagraph"/>
        <w:numPr>
          <w:ilvl w:val="0"/>
          <w:numId w:val="2"/>
        </w:numPr>
        <w:spacing w:after="80" w:line="276"/>
      </w:pPr>
      <w:r>
        <w:t xml:space="preserve">Methods that need log-probabilities (likelihood, PMI, and direction-based scoring) require open-weight models; joint MC can also run on API models.</w:t>
      </w:r>
    </w:p>
    <w:p>
      <w:pPr>
        <w:pStyle w:val="ListParagraph"/>
        <w:numPr>
          <w:ilvl w:val="0"/>
          <w:numId w:val="2"/>
        </w:numPr>
        <w:spacing w:after="80" w:line="276"/>
      </w:pPr>
      <w:r>
        <w:t xml:space="preserve">Base models may provide better-calibrated likelihoods for scoring, while instruct models may handle MC prompts better; both should be compared.</w:t>
      </w:r>
    </w:p>
    <w:p>
      <w:pPr>
        <w:pStyle w:val="ListParagraph"/>
        <w:numPr>
          <w:ilvl w:val="0"/>
          <w:numId w:val="2"/>
        </w:numPr>
        <w:spacing w:after="80" w:line="276"/>
      </w:pPr>
      <w:r>
        <w:t xml:space="preserve">Including OLMo 2, whose training data is public and indexed in Infini-gram, would allow prevalence to be measured directly as title–author co-occurrence counts rather than through citations.</w:t>
      </w:r>
    </w:p>
    <w:p>
      <w:pPr>
        <w:pStyle w:val="Heading1"/>
      </w:pPr>
      <w:r>
        <w:t xml:space="preserve">9. Expected Outcomes and Decision Points</w:t>
      </w:r>
    </w:p>
    <w:p>
      <w:pPr>
        <w:keepNext/>
        <w:spacing w:after="80" w:before="120"/>
      </w:pPr>
      <w:r>
        <w:rPr>
          <w:b/>
          <w:bCs/>
          <w:color w:val="595959"/>
          <w:sz w:val="19"/>
          <w:szCs w:val="19"/>
        </w:rPr>
        <w:t xml:space="preserve">Table 3. Possible outcomes and their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60"/>
        <w:gridCol w:w="2800"/>
      </w:tblGrid>
      <w:tr>
        <w:trPr>
          <w:cantSplit/>
          <w:tblHeader/>
        </w:trPr>
        <w:tc>
          <w:tcPr>
            <w:tcW w:type="dxa" w:w="3000"/>
            <w:tcBorders>
              <w:top w:val="single" w:color="BFBFBF" w:sz="4"/>
              <w:left w:val="single" w:color="BFBFBF" w:sz="4"/>
              <w:bottom w:val="single" w:color="BFBFBF" w:sz="4"/>
              <w:right w:val="single" w:color="BFBFBF" w:sz="4"/>
            </w:tcBorders>
            <w:shd w:fill="E8EEF7" w:color="auto" w:val="clear"/>
            <w:tcMar>
              <w:top w:type="dxa" w:w="80"/>
              <w:left w:type="dxa" w:w="110"/>
              <w:bottom w:type="dxa" w:w="80"/>
              <w:right w:type="dxa" w:w="110"/>
            </w:tcMar>
          </w:tcPr>
          <w:p>
            <w:pPr>
              <w:spacing w:after="0" w:line="250"/>
            </w:pPr>
            <w:r>
              <w:rPr>
                <w:b/>
                <w:bCs/>
                <w:color w:val="1F3864"/>
                <w:sz w:val="19"/>
                <w:szCs w:val="19"/>
              </w:rPr>
              <w:t xml:space="preserve">Observation</w:t>
            </w:r>
          </w:p>
        </w:tc>
        <w:tc>
          <w:tcPr>
            <w:tcW w:type="dxa" w:w="3560"/>
            <w:tcBorders>
              <w:top w:val="single" w:color="BFBFBF" w:sz="4"/>
              <w:left w:val="single" w:color="BFBFBF" w:sz="4"/>
              <w:bottom w:val="single" w:color="BFBFBF" w:sz="4"/>
              <w:right w:val="single" w:color="BFBFBF" w:sz="4"/>
            </w:tcBorders>
            <w:shd w:fill="E8EEF7" w:color="auto" w:val="clear"/>
            <w:tcMar>
              <w:top w:type="dxa" w:w="80"/>
              <w:left w:type="dxa" w:w="110"/>
              <w:bottom w:type="dxa" w:w="80"/>
              <w:right w:type="dxa" w:w="110"/>
            </w:tcMar>
          </w:tcPr>
          <w:p>
            <w:pPr>
              <w:spacing w:after="0" w:line="250"/>
            </w:pPr>
            <w:r>
              <w:rPr>
                <w:b/>
                <w:bCs/>
                <w:color w:val="1F3864"/>
                <w:sz w:val="19"/>
                <w:szCs w:val="19"/>
              </w:rPr>
              <w:t xml:space="preserve">Interpretation</w:t>
            </w:r>
          </w:p>
        </w:tc>
        <w:tc>
          <w:tcPr>
            <w:tcW w:type="dxa" w:w="2800"/>
            <w:tcBorders>
              <w:top w:val="single" w:color="BFBFBF" w:sz="4"/>
              <w:left w:val="single" w:color="BFBFBF" w:sz="4"/>
              <w:bottom w:val="single" w:color="BFBFBF" w:sz="4"/>
              <w:right w:val="single" w:color="BFBFBF" w:sz="4"/>
            </w:tcBorders>
            <w:shd w:fill="E8EEF7" w:color="auto" w:val="clear"/>
            <w:tcMar>
              <w:top w:type="dxa" w:w="80"/>
              <w:left w:type="dxa" w:w="110"/>
              <w:bottom w:type="dxa" w:w="80"/>
              <w:right w:type="dxa" w:w="110"/>
            </w:tcMar>
          </w:tcPr>
          <w:p>
            <w:pPr>
              <w:spacing w:after="0" w:line="250"/>
            </w:pPr>
            <w:r>
              <w:rPr>
                <w:b/>
                <w:bCs/>
                <w:color w:val="1F3864"/>
                <w:sz w:val="19"/>
                <w:szCs w:val="19"/>
              </w:rPr>
              <w:t xml:space="preserve">Next step</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Low-citation recognition falls to near chance under hard distractors</w:t>
            </w:r>
          </w:p>
        </w:tc>
        <w:tc>
          <w:tcPr>
            <w:tcW w:type="dxa" w:w="3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The inverted U holds; the low-citation figures in [1] were inflated by heuristics; the onset of “empty shelves” is located</w:t>
            </w:r>
          </w:p>
        </w:tc>
        <w:tc>
          <w:tcPr>
            <w:tcW w:type="dxa" w:w="2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Concentrate methods on the middle bins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Low-citation recognition remains high while all controls are near chance</w:t>
            </w:r>
          </w:p>
        </w:tc>
        <w:tc>
          <w:tcPr>
            <w:tcW w:type="dxa" w:w="3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Substantial latent knowledge exists deep in the tail; coverage is the main bottleneck</w:t>
            </w:r>
          </w:p>
        </w:tc>
        <w:tc>
          <w:tcPr>
            <w:tcW w:type="dxa" w:w="2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Make cue-based generation the core contribution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“Reachable” dominates the middle bins</w:t>
            </w:r>
          </w:p>
        </w:tc>
        <w:tc>
          <w:tcPr>
            <w:tcW w:type="dxa" w:w="3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Selection is cheap and effective</w:t>
            </w:r>
          </w:p>
        </w:tc>
        <w:tc>
          <w:tcPr>
            <w:tcW w:type="dxa" w:w="2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Strong prospects of beating CoT at matched compute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“Recognized but unreachable” is large</w:t>
            </w:r>
          </w:p>
        </w:tc>
        <w:tc>
          <w:tcPr>
            <w:tcW w:type="dxa" w:w="3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Pure sampling hits a ceiling</w:t>
            </w:r>
          </w:p>
        </w:tc>
        <w:tc>
          <w:tcPr>
            <w:tcW w:type="dxa" w:w="2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Share this set with the steering workstream as its primary target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Selection ≈ majority vote</w:t>
            </w:r>
          </w:p>
        </w:tc>
        <w:tc>
          <w:tcPr>
            <w:tcW w:type="dxa" w:w="3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Recognition adds no new information</w:t>
            </w:r>
          </w:p>
        </w:tc>
        <w:tc>
          <w:tcPr>
            <w:tcW w:type="dxa" w:w="2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Shift emphasis to generation and to measurement itself</w:t>
            </w:r>
          </w:p>
        </w:tc>
      </w:tr>
    </w:tbl>
    <w:p>
      <w:pPr>
        <w:spacing w:after="80"/>
      </w:pPr>
    </w:p>
    <w:p>
      <w:pPr>
        <w:pStyle w:val="Heading1"/>
      </w:pPr>
      <w:r>
        <w:t xml:space="preserve">10. Timeline and Milestones</w:t>
      </w:r>
    </w:p>
    <w:p>
      <w:pPr>
        <w:spacing w:after="140" w:line="276"/>
      </w:pPr>
      <w:r>
        <w:t xml:space="preserve">Durations beyond the pilot are indicative and should be adjusted to the team’s schedule.</w:t>
      </w:r>
    </w:p>
    <w:p>
      <w:pPr>
        <w:keepNext/>
        <w:spacing w:after="80" w:before="120"/>
      </w:pPr>
      <w:r>
        <w:rPr>
          <w:b/>
          <w:bCs/>
          <w:color w:val="595959"/>
          <w:sz w:val="19"/>
          <w:szCs w:val="19"/>
        </w:rPr>
        <w:t xml:space="preserve">Table 4.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4060"/>
        <w:gridCol w:w="2500"/>
      </w:tblGrid>
      <w:tr>
        <w:trPr>
          <w:cantSplit/>
          <w:tblHeader/>
        </w:trPr>
        <w:tc>
          <w:tcPr>
            <w:tcW w:type="dxa" w:w="1300"/>
            <w:tcBorders>
              <w:top w:val="single" w:color="BFBFBF" w:sz="4"/>
              <w:left w:val="single" w:color="BFBFBF" w:sz="4"/>
              <w:bottom w:val="single" w:color="BFBFBF" w:sz="4"/>
              <w:right w:val="single" w:color="BFBFBF" w:sz="4"/>
            </w:tcBorders>
            <w:shd w:fill="E8EEF7" w:color="auto" w:val="clear"/>
            <w:tcMar>
              <w:top w:type="dxa" w:w="80"/>
              <w:left w:type="dxa" w:w="110"/>
              <w:bottom w:type="dxa" w:w="80"/>
              <w:right w:type="dxa" w:w="110"/>
            </w:tcMar>
          </w:tcPr>
          <w:p>
            <w:pPr>
              <w:spacing w:after="0" w:line="250"/>
            </w:pPr>
            <w:r>
              <w:rPr>
                <w:b/>
                <w:bCs/>
                <w:color w:val="1F3864"/>
                <w:sz w:val="19"/>
                <w:szCs w:val="19"/>
              </w:rPr>
              <w:t xml:space="preserve">Stage</w:t>
            </w:r>
          </w:p>
        </w:tc>
        <w:tc>
          <w:tcPr>
            <w:tcW w:type="dxa" w:w="1500"/>
            <w:tcBorders>
              <w:top w:val="single" w:color="BFBFBF" w:sz="4"/>
              <w:left w:val="single" w:color="BFBFBF" w:sz="4"/>
              <w:bottom w:val="single" w:color="BFBFBF" w:sz="4"/>
              <w:right w:val="single" w:color="BFBFBF" w:sz="4"/>
            </w:tcBorders>
            <w:shd w:fill="E8EEF7" w:color="auto" w:val="clear"/>
            <w:tcMar>
              <w:top w:type="dxa" w:w="80"/>
              <w:left w:type="dxa" w:w="110"/>
              <w:bottom w:type="dxa" w:w="80"/>
              <w:right w:type="dxa" w:w="110"/>
            </w:tcMar>
          </w:tcPr>
          <w:p>
            <w:pPr>
              <w:spacing w:after="0" w:line="250"/>
            </w:pPr>
            <w:r>
              <w:rPr>
                <w:b/>
                <w:bCs/>
                <w:color w:val="1F3864"/>
                <w:sz w:val="19"/>
                <w:szCs w:val="19"/>
              </w:rPr>
              <w:t xml:space="preserve">Indicative duration</w:t>
            </w:r>
          </w:p>
        </w:tc>
        <w:tc>
          <w:tcPr>
            <w:tcW w:type="dxa" w:w="4060"/>
            <w:tcBorders>
              <w:top w:val="single" w:color="BFBFBF" w:sz="4"/>
              <w:left w:val="single" w:color="BFBFBF" w:sz="4"/>
              <w:bottom w:val="single" w:color="BFBFBF" w:sz="4"/>
              <w:right w:val="single" w:color="BFBFBF" w:sz="4"/>
            </w:tcBorders>
            <w:shd w:fill="E8EEF7" w:color="auto" w:val="clear"/>
            <w:tcMar>
              <w:top w:type="dxa" w:w="80"/>
              <w:left w:type="dxa" w:w="110"/>
              <w:bottom w:type="dxa" w:w="80"/>
              <w:right w:type="dxa" w:w="110"/>
            </w:tcMar>
          </w:tcPr>
          <w:p>
            <w:pPr>
              <w:spacing w:after="0" w:line="250"/>
            </w:pPr>
            <w:r>
              <w:rPr>
                <w:b/>
                <w:bCs/>
                <w:color w:val="1F3864"/>
                <w:sz w:val="19"/>
                <w:szCs w:val="19"/>
              </w:rPr>
              <w:t xml:space="preserve">Main activities</w:t>
            </w:r>
          </w:p>
        </w:tc>
        <w:tc>
          <w:tcPr>
            <w:tcW w:type="dxa" w:w="2500"/>
            <w:tcBorders>
              <w:top w:val="single" w:color="BFBFBF" w:sz="4"/>
              <w:left w:val="single" w:color="BFBFBF" w:sz="4"/>
              <w:bottom w:val="single" w:color="BFBFBF" w:sz="4"/>
              <w:right w:val="single" w:color="BFBFBF" w:sz="4"/>
            </w:tcBorders>
            <w:shd w:fill="E8EEF7" w:color="auto" w:val="clear"/>
            <w:tcMar>
              <w:top w:type="dxa" w:w="80"/>
              <w:left w:type="dxa" w:w="110"/>
              <w:bottom w:type="dxa" w:w="80"/>
              <w:right w:type="dxa" w:w="110"/>
            </w:tcMar>
          </w:tcPr>
          <w:p>
            <w:pPr>
              <w:spacing w:after="0" w:line="250"/>
            </w:pPr>
            <w:r>
              <w:rPr>
                <w:b/>
                <w:bCs/>
                <w:color w:val="1F3864"/>
                <w:sz w:val="19"/>
                <w:szCs w:val="19"/>
              </w:rPr>
              <w:t xml:space="preserve">Deliverable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Pilot</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1–2 weeks</w:t>
            </w:r>
          </w:p>
        </w:tc>
        <w:tc>
          <w:tcPr>
            <w:tcW w:type="dxa" w:w="4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500-paper stratified subset; greedy first-author accuracy and coverage@50 for two or three candidate models; pipeline for name normalization, matching, sampling, and scoring</w:t>
            </w:r>
          </w:p>
        </w:tc>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Model selection; working pipeline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Phase 1</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3–4 weeks</w:t>
            </w:r>
          </w:p>
        </w:tc>
        <w:tc>
          <w:tcPr>
            <w:tcW w:type="dxa" w:w="4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Distractor ladder, three controls, three formats, permutation protocol</w:t>
            </w:r>
          </w:p>
        </w:tc>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Recognition curves; per-paper recognition labels</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Phase 2</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2–3 weeks</w:t>
            </w:r>
          </w:p>
        </w:tc>
        <w:tc>
          <w:tcPr>
            <w:tcW w:type="dxa" w:w="4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Sampling, coverage@k, permutation baseline, four-profile assignment</w:t>
            </w:r>
          </w:p>
        </w:tc>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Four-profile figure (the skeleton of a diagnostic paper)</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Phase 3</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4–5 weeks</w:t>
            </w:r>
          </w:p>
        </w:tc>
        <w:tc>
          <w:tcPr>
            <w:tcW w:type="dxa" w:w="4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Generation and selection strategies; baselines; compute-matched comparison</w:t>
            </w:r>
          </w:p>
        </w:tc>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Method comparison; Pareto and answer-rate curves</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Writing</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2–3 weeks</w:t>
            </w:r>
          </w:p>
        </w:tc>
        <w:tc>
          <w:tcPr>
            <w:tcW w:type="dxa" w:w="4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Integration of results; paper drafting</w:t>
            </w:r>
          </w:p>
        </w:tc>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50"/>
            </w:pPr>
            <w:r>
              <w:rPr>
                <w:sz w:val="19"/>
                <w:szCs w:val="19"/>
              </w:rPr>
              <w:t xml:space="preserve">Paper draft</w:t>
            </w:r>
          </w:p>
        </w:tc>
      </w:tr>
    </w:tbl>
    <w:p>
      <w:pPr>
        <w:spacing w:after="80"/>
      </w:pPr>
    </w:p>
    <w:p>
      <w:pPr>
        <w:pStyle w:val="Heading1"/>
      </w:pPr>
      <w:r>
        <w:t xml:space="preserve">11. Interface with the Steering Workstream</w:t>
      </w:r>
    </w:p>
    <w:p>
      <w:pPr>
        <w:spacing w:after="140" w:line="276"/>
      </w:pPr>
      <w:r>
        <w:t xml:space="preserve">The per-paper labels from Phases 1 and 2, especially the “reachable” and “recognized but unreachable” profiles, should be shared early with the colleague working on activation steering. Using the same samples and metrics in both workstreams keeps results comparable and makes it natural to combine them into a single paper.</w:t>
      </w:r>
    </w:p>
    <w:p>
      <w:pPr>
        <w:pStyle w:val="Heading1"/>
      </w:pPr>
      <w:r>
        <w:t xml:space="preserve">References</w:t>
      </w:r>
    </w:p>
    <w:p>
      <w:pPr>
        <w:spacing w:after="80" w:line="260"/>
        <w:ind w:left="540" w:hanging="540"/>
      </w:pPr>
      <w:r>
        <w:rPr>
          <w:sz w:val="19"/>
          <w:szCs w:val="19"/>
        </w:rPr>
        <w:t xml:space="preserve">[1] Zhong, S., Yirga, T., Ma, Y., Le, T., &amp; Hu, Y. (2026). Dreaming Up Authors: Factual Prevalence and LLM Hallucinations in Academic Authorship Attribution. </w:t>
      </w:r>
      <w:r>
        <w:rPr>
          <w:i/>
          <w:iCs/>
          <w:sz w:val="19"/>
          <w:szCs w:val="19"/>
        </w:rPr>
        <w:t xml:space="preserve">EMNLP 2026</w:t>
      </w:r>
      <w:r>
        <w:rPr>
          <w:sz w:val="19"/>
          <w:szCs w:val="19"/>
        </w:rPr>
        <w:t xml:space="preserve"> (accepted).</w:t>
      </w:r>
    </w:p>
    <w:p>
      <w:pPr>
        <w:spacing w:after="80" w:line="260"/>
        <w:ind w:left="540" w:hanging="540"/>
      </w:pPr>
      <w:r>
        <w:rPr>
          <w:sz w:val="19"/>
          <w:szCs w:val="19"/>
        </w:rPr>
        <w:t xml:space="preserve">[2] Calderon, N., Ben-David, E., Gekhman, Z., Ofek, E., &amp; Yona, G. (2026). Empty Shelves or Lost Keys? Recall Is the Bottleneck for Parametric Factuality. </w:t>
      </w:r>
      <w:r>
        <w:rPr>
          <w:i/>
          <w:iCs/>
          <w:sz w:val="19"/>
          <w:szCs w:val="19"/>
        </w:rPr>
        <w:t xml:space="preserve">ICML 2026</w:t>
      </w:r>
      <w:r>
        <w:rPr>
          <w:sz w:val="19"/>
          <w:szCs w:val="19"/>
        </w:rPr>
        <w:t xml:space="preserve">. arXiv:2602.14080.</w:t>
      </w:r>
    </w:p>
    <w:p>
      <w:pPr>
        <w:spacing w:after="80" w:line="260"/>
        <w:ind w:left="540" w:hanging="540"/>
      </w:pPr>
      <w:r>
        <w:rPr>
          <w:sz w:val="19"/>
          <w:szCs w:val="19"/>
        </w:rPr>
        <w:t xml:space="preserve">[3] Li, B. (2026). Incompressible Knowledge Probes: Estimating Black-Box LLM Parameter Counts via Factual Capacity. arXiv:2604.24827.</w:t>
      </w:r>
    </w:p>
    <w:p>
      <w:pPr>
        <w:spacing w:after="80" w:line="260"/>
        <w:ind w:left="540" w:hanging="540"/>
      </w:pPr>
      <w:r>
        <w:rPr>
          <w:sz w:val="19"/>
          <w:szCs w:val="19"/>
        </w:rPr>
        <w:t xml:space="preserve">[4] Morris, J. X., et al. (2025). How Much Do Language Models Memorize? arXiv preprint.</w:t>
      </w:r>
    </w:p>
    <w:p>
      <w:pPr>
        <w:spacing w:after="80" w:line="260"/>
        <w:ind w:left="540" w:hanging="540"/>
      </w:pPr>
      <w:r>
        <w:rPr>
          <w:sz w:val="19"/>
          <w:szCs w:val="19"/>
        </w:rPr>
        <w:t xml:space="preserve">[5] Tulving, E., &amp; Pearlstone, Z. (1966). Availability versus accessibility of information in memory for words. </w:t>
      </w:r>
      <w:r>
        <w:rPr>
          <w:i/>
          <w:iCs/>
          <w:sz w:val="19"/>
          <w:szCs w:val="19"/>
        </w:rPr>
        <w:t xml:space="preserve">Journal of Verbal Learning and Verbal Behavior</w:t>
      </w:r>
      <w:r>
        <w:rPr>
          <w:sz w:val="19"/>
          <w:szCs w:val="19"/>
        </w:rPr>
        <w:t xml:space="preserve">, 5(4), 381–391.</w:t>
      </w:r>
    </w:p>
    <w:p>
      <w:pPr>
        <w:spacing w:after="80" w:line="260"/>
        <w:ind w:left="540" w:hanging="540"/>
      </w:pPr>
      <w:r>
        <w:rPr>
          <w:sz w:val="19"/>
          <w:szCs w:val="19"/>
        </w:rPr>
        <w:t xml:space="preserve">[6] Gekhman, Z., Ben David, E., Orgad, H., Ofek, E., Belinkov, Y., Szpektor, I., Herzig, J., &amp; Reichart, R. (2025). Inside-Out: Hidden Factual Knowledge in LLMs. </w:t>
      </w:r>
      <w:r>
        <w:rPr>
          <w:i/>
          <w:iCs/>
          <w:sz w:val="19"/>
          <w:szCs w:val="19"/>
        </w:rPr>
        <w:t xml:space="preserve">COLM 2025</w:t>
      </w:r>
      <w:r>
        <w:rPr>
          <w:sz w:val="19"/>
          <w:szCs w:val="19"/>
        </w:rPr>
        <w:t xml:space="preserve">. arXiv:2503.15299.</w:t>
      </w:r>
    </w:p>
    <w:p>
      <w:pPr>
        <w:spacing w:after="80" w:line="260"/>
        <w:ind w:left="540" w:hanging="540"/>
      </w:pPr>
      <w:r>
        <w:rPr>
          <w:sz w:val="19"/>
          <w:szCs w:val="19"/>
        </w:rPr>
        <w:t xml:space="preserve">[7] Kadavath, S., et al. (2022). Language Models (Mostly) Know What They Know. arXiv:2207.05221.</w:t>
      </w:r>
    </w:p>
    <w:p>
      <w:pPr>
        <w:spacing w:after="80" w:line="260"/>
        <w:ind w:left="540" w:hanging="540"/>
      </w:pPr>
      <w:r>
        <w:rPr>
          <w:sz w:val="19"/>
          <w:szCs w:val="19"/>
        </w:rPr>
        <w:t xml:space="preserve">[8] Orgad, H., et al. (2025). LLMs Know More Than They Show: On the Intrinsic Representation of LLM Hallucinations. </w:t>
      </w:r>
      <w:r>
        <w:rPr>
          <w:i/>
          <w:iCs/>
          <w:sz w:val="19"/>
          <w:szCs w:val="19"/>
        </w:rPr>
        <w:t xml:space="preserve">ICLR 2025</w:t>
      </w:r>
      <w:r>
        <w:rPr>
          <w:sz w:val="19"/>
          <w:szCs w:val="19"/>
        </w:rPr>
        <w:t xml:space="preserve">.</w:t>
      </w:r>
    </w:p>
    <w:p>
      <w:pPr>
        <w:spacing w:after="80" w:line="260"/>
        <w:ind w:left="540" w:hanging="540"/>
      </w:pPr>
      <w:r>
        <w:rPr>
          <w:sz w:val="19"/>
          <w:szCs w:val="19"/>
        </w:rPr>
        <w:t xml:space="preserve">[9] Kintsch, W. (1970). Models for free recall and recognition. In D. A. Norman (Ed.), </w:t>
      </w:r>
      <w:r>
        <w:rPr>
          <w:i/>
          <w:iCs/>
          <w:sz w:val="19"/>
          <w:szCs w:val="19"/>
        </w:rPr>
        <w:t xml:space="preserve">Models of Human Memory</w:t>
      </w:r>
      <w:r>
        <w:rPr>
          <w:sz w:val="19"/>
          <w:szCs w:val="19"/>
        </w:rPr>
        <w:t xml:space="preserve">. Academic Press.</w:t>
      </w:r>
    </w:p>
    <w:p>
      <w:pPr>
        <w:spacing w:after="80" w:line="260"/>
        <w:ind w:left="540" w:hanging="540"/>
      </w:pPr>
      <w:r>
        <w:rPr>
          <w:sz w:val="19"/>
          <w:szCs w:val="19"/>
        </w:rPr>
        <w:t xml:space="preserve">[10] Anderson, J. R., &amp; Bower, G. H. (1972). Recognition and retrieval processes in free recall. </w:t>
      </w:r>
      <w:r>
        <w:rPr>
          <w:i/>
          <w:iCs/>
          <w:sz w:val="19"/>
          <w:szCs w:val="19"/>
        </w:rPr>
        <w:t xml:space="preserve">Psychological Review</w:t>
      </w:r>
      <w:r>
        <w:rPr>
          <w:sz w:val="19"/>
          <w:szCs w:val="19"/>
        </w:rPr>
        <w:t xml:space="preserve">, 79(2), 97–123.</w:t>
      </w:r>
    </w:p>
    <w:p>
      <w:pPr>
        <w:spacing w:after="80" w:line="260"/>
        <w:ind w:left="540" w:hanging="540"/>
      </w:pPr>
      <w:r>
        <w:rPr>
          <w:sz w:val="19"/>
          <w:szCs w:val="19"/>
        </w:rPr>
        <w:t xml:space="preserve">[11] Berglund, L., et al. (2024). The Reversal Curse: LLMs Trained on “A is B” Fail to Learn “B is A”. </w:t>
      </w:r>
      <w:r>
        <w:rPr>
          <w:i/>
          <w:iCs/>
          <w:sz w:val="19"/>
          <w:szCs w:val="19"/>
        </w:rPr>
        <w:t xml:space="preserve">ICLR 2024</w:t>
      </w:r>
      <w:r>
        <w:rPr>
          <w:sz w:val="19"/>
          <w:szCs w:val="19"/>
        </w:rPr>
        <w:t xml:space="preserve">. arXiv:2309.12288.</w:t>
      </w:r>
    </w:p>
    <w:p>
      <w:pPr>
        <w:spacing w:after="80" w:line="260"/>
        <w:ind w:left="540" w:hanging="540"/>
      </w:pPr>
      <w:r>
        <w:rPr>
          <w:sz w:val="19"/>
          <w:szCs w:val="19"/>
        </w:rPr>
        <w:t xml:space="preserve">[12] Balepur, N., Ravichander, A., &amp; Rudinger, R. (2024). Artifacts or Abduction: How Do LLMs Answer Multiple-Choice Questions Without the Question? </w:t>
      </w:r>
      <w:r>
        <w:rPr>
          <w:i/>
          <w:iCs/>
          <w:sz w:val="19"/>
          <w:szCs w:val="19"/>
        </w:rPr>
        <w:t xml:space="preserve">ACL 2024</w:t>
      </w:r>
      <w:r>
        <w:rPr>
          <w:sz w:val="19"/>
          <w:szCs w:val="19"/>
        </w:rPr>
        <w:t xml:space="preserve">.</w:t>
      </w:r>
    </w:p>
    <w:p>
      <w:pPr>
        <w:spacing w:after="80" w:line="260"/>
        <w:ind w:left="540" w:hanging="540"/>
      </w:pPr>
      <w:r>
        <w:rPr>
          <w:sz w:val="19"/>
          <w:szCs w:val="19"/>
        </w:rPr>
        <w:t xml:space="preserve">[13] Zheng, C., Zhou, H., Meng, F., Zhou, J., &amp; Huang, M. (2024). Large Language Models Are Not Robust Multiple Choice Selectors. </w:t>
      </w:r>
      <w:r>
        <w:rPr>
          <w:i/>
          <w:iCs/>
          <w:sz w:val="19"/>
          <w:szCs w:val="19"/>
        </w:rPr>
        <w:t xml:space="preserve">ICLR 2024</w:t>
      </w:r>
      <w:r>
        <w:rPr>
          <w:sz w:val="19"/>
          <w:szCs w:val="19"/>
        </w:rPr>
        <w:t xml:space="preserve">.</w:t>
      </w:r>
    </w:p>
    <w:p>
      <w:pPr>
        <w:spacing w:after="80" w:line="260"/>
        <w:ind w:left="540" w:hanging="540"/>
      </w:pPr>
      <w:r>
        <w:rPr>
          <w:sz w:val="19"/>
          <w:szCs w:val="19"/>
        </w:rPr>
        <w:t xml:space="preserve">[14] Green, D. M., &amp; Swets, J. A. (1966). </w:t>
      </w:r>
      <w:r>
        <w:rPr>
          <w:i/>
          <w:iCs/>
          <w:sz w:val="19"/>
          <w:szCs w:val="19"/>
        </w:rPr>
        <w:t xml:space="preserve">Signal Detection Theory and Psychophysics</w:t>
      </w:r>
      <w:r>
        <w:rPr>
          <w:sz w:val="19"/>
          <w:szCs w:val="19"/>
        </w:rPr>
        <w:t xml:space="preserve">. Wiley.</w:t>
      </w:r>
    </w:p>
    <w:p>
      <w:pPr>
        <w:spacing w:after="80" w:line="260"/>
        <w:ind w:left="540" w:hanging="540"/>
      </w:pPr>
      <w:r>
        <w:rPr>
          <w:sz w:val="19"/>
          <w:szCs w:val="19"/>
        </w:rPr>
        <w:t xml:space="preserve">[15] Tulving, E., &amp; Thomson, D. M. (1973). Encoding specificity and retrieval processes in episodic memory. </w:t>
      </w:r>
      <w:r>
        <w:rPr>
          <w:i/>
          <w:iCs/>
          <w:sz w:val="19"/>
          <w:szCs w:val="19"/>
        </w:rPr>
        <w:t xml:space="preserve">Psychological Review</w:t>
      </w:r>
      <w:r>
        <w:rPr>
          <w:sz w:val="19"/>
          <w:szCs w:val="19"/>
        </w:rPr>
        <w:t xml:space="preserve">, 80(5), 352–373.</w:t>
      </w:r>
    </w:p>
    <w:p>
      <w:pPr>
        <w:spacing w:after="80" w:line="260"/>
        <w:ind w:left="540" w:hanging="540"/>
      </w:pPr>
      <w:r>
        <w:rPr>
          <w:sz w:val="19"/>
          <w:szCs w:val="19"/>
        </w:rPr>
        <w:t xml:space="preserve">[16] Chen, M., et al. (2021). Evaluating Large Language Models Trained on Code. arXiv:2107.03374.</w:t>
      </w:r>
    </w:p>
    <w:p>
      <w:pPr>
        <w:spacing w:after="80" w:line="260"/>
        <w:ind w:left="540" w:hanging="540"/>
      </w:pPr>
      <w:r>
        <w:rPr>
          <w:sz w:val="19"/>
          <w:szCs w:val="19"/>
        </w:rPr>
        <w:t xml:space="preserve">[17] Holtzman, A., West, P., Shwartz, V., Choi, Y., &amp; Zettlemoyer, L. (2021). Surface Form Competition: Why the Highest Probability Answer Isn’t Always Right. </w:t>
      </w:r>
      <w:r>
        <w:rPr>
          <w:i/>
          <w:iCs/>
          <w:sz w:val="19"/>
          <w:szCs w:val="19"/>
        </w:rPr>
        <w:t xml:space="preserve">EMNLP 2021</w:t>
      </w:r>
      <w:r>
        <w:rPr>
          <w:sz w:val="19"/>
          <w:szCs w:val="19"/>
        </w:rPr>
        <w:t xml:space="preserve">.</w:t>
      </w:r>
    </w:p>
    <w:p>
      <w:pPr>
        <w:spacing w:after="80" w:line="260"/>
        <w:ind w:left="540" w:hanging="540"/>
      </w:pPr>
      <w:r>
        <w:rPr>
          <w:sz w:val="19"/>
          <w:szCs w:val="19"/>
        </w:rPr>
        <w:t xml:space="preserve">[18] Wang, X., et al. (2023). Self-Consistency Improves Chain of Thought Reasoning in Language Models. </w:t>
      </w:r>
      <w:r>
        <w:rPr>
          <w:i/>
          <w:iCs/>
          <w:sz w:val="19"/>
          <w:szCs w:val="19"/>
        </w:rPr>
        <w:t xml:space="preserve">ICLR 2023</w:t>
      </w:r>
      <w:r>
        <w:rPr>
          <w:sz w:val="19"/>
          <w:szCs w:val="19"/>
        </w:rPr>
        <w:t xml:space="preser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F3864"/>
      <w:sz w:val="40"/>
      <w:szCs w:val="40"/>
    </w:rPr>
  </w:style>
  <w:style w:type="paragraph" w:styleId="Heading1">
    <w:name w:val="Heading 1"/>
    <w:basedOn w:val="Normal"/>
    <w:next w:val="Normal"/>
    <w:qFormat/>
    <w:pPr>
      <w:keepNext/>
      <w:spacing w:after="120" w:before="36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Generate-then-Select Research Plan</dc:title>
  <dc:creator>Research plan draft</dc:creator>
  <cp:lastModifiedBy>Un-named</cp:lastModifiedBy>
  <cp:revision>1</cp:revision>
  <dcterms:created xsi:type="dcterms:W3CDTF">2026-10-02T09:36:34.985Z</dcterms:created>
  <dcterms:modified xsi:type="dcterms:W3CDTF">2026-10-02T09:36:34.985Z</dcterms:modified>
</cp:coreProperties>
</file>

<file path=docProps/custom.xml><?xml version="1.0" encoding="utf-8"?>
<Properties xmlns="http://schemas.openxmlformats.org/officeDocument/2006/custom-properties" xmlns:vt="http://schemas.openxmlformats.org/officeDocument/2006/docPropsVTypes"/>
</file>