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</w:t>
      </w:r>
    </w:p>
    <w:p>
      <w:r>
        <w:t>Проектирование реляционной базы данных фотоцентра</w:t>
      </w:r>
    </w:p>
    <w:p>
      <w:r>
        <w:t>Тема проекта  АРМ фотоцентра и полиграфических услуг</w:t>
      </w:r>
    </w:p>
    <w:p>
      <w:r>
        <w:t>Выполнила  ____________________    Группа  __________</w:t>
      </w:r>
    </w:p>
    <w:p>
      <w:r>
        <w:t>Проверил  _____________________    Дата  ____________</w:t>
      </w:r>
    </w:p>
    <w:p>
      <w:pPr>
        <w:pStyle w:val="Heading1"/>
      </w:pPr>
      <w:r>
        <w:t>1 Цель и способ реализации</w:t>
      </w:r>
    </w:p>
    <w:p>
      <w:r>
        <w:t>Цель работы — перенести ER-схему фотоцентра в реляционную базу Microsoft SQL Server, определить ключи и связи и подготовить тестовые данные. В выбранном стеке вместо ORM-моделей Python используются определения CREATE TABLE и параметризованные запросы библиотеки mssql.</w:t>
      </w:r>
    </w:p>
    <w:p>
      <w:r>
        <w:t>Работа основана на существующей модели приложения. Подготовлены и выполнены три SQL-скрипта в labs/sql. На локальном SQL Server создана отдельная база PhotoCenterLab12; рабочая база и подключение приложения не изменялись. Фактическая проверка выполнена 30 октября 2026 года командой node scripts/labs-db.cjs --setup. Протокол сохранён в labs/verification.txt.</w:t>
      </w:r>
    </w:p>
    <w:p>
      <w:pPr>
        <w:pStyle w:val="Heading1"/>
      </w:pPr>
      <w:r>
        <w:t>2 Сущности и ключи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E7EEF4"/>
          </w:tcPr>
          <w:p>
            <w:pPr>
              <w:spacing w:after="80"/>
            </w:pPr>
            <w:r>
              <w:rPr>
                <w:sz w:val="20"/>
              </w:rPr>
              <w:t>Таблица</w:t>
            </w:r>
          </w:p>
        </w:tc>
        <w:tc>
          <w:tcPr>
            <w:tcW w:type="dxa" w:w="3213"/>
            <w:shd w:fill="E7EEF4"/>
          </w:tcPr>
          <w:p>
            <w:pPr>
              <w:spacing w:after="80"/>
            </w:pPr>
            <w:r>
              <w:rPr>
                <w:sz w:val="20"/>
              </w:rPr>
              <w:t>Первичный ключ</w:t>
            </w:r>
          </w:p>
        </w:tc>
        <w:tc>
          <w:tcPr>
            <w:tcW w:type="dxa" w:w="3213"/>
            <w:shd w:fill="E7EEF4"/>
          </w:tcPr>
          <w:p>
            <w:pPr>
              <w:spacing w:after="80"/>
            </w:pPr>
            <w:r>
              <w:rPr>
                <w:sz w:val="20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Заказчик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ID_Заказчика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ФИО и контакты клиента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Сотрудник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ID_Сотрудника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ФИО, роль, логин, пароль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Услуга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ID_Услуги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Название, тип и текущая цена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Материал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ID_Материала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Название, единица измерения, остаток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Заказ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ID_Заказа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Клиент, сотрудник, дата, статус, сумма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Позиция_заказа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ID_Позиции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Услуга в заказе, количество и стоимость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Расход_материала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ID_Расхода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Количество материала на позицию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Макет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ID_Макета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Заказ, дизайнер, имя файла и статус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Оплата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ID_Оплаты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0"/>
              </w:rPr>
              <w:t>Заказ, сумма, тип, способ и дата</w:t>
            </w:r>
          </w:p>
        </w:tc>
      </w:tr>
    </w:tbl>
    <w:p/>
    <w:p>
      <w:r>
        <w:t>Все первичные ключи имеют тип INT IDENTITY(1,1). Текст хранится в NVARCHAR, денежные значения — DECIMAL(10,2), даты — DATETIME. Телефон и email клиента допускают NULL. Логин сотрудника уникален. Столбец Пароль имеет длину 255; приложение использует его для хранения хеша после входа.</w:t>
      </w:r>
    </w:p>
    <w:p>
      <w:r>
        <w:br w:type="page"/>
      </w:r>
    </w:p>
    <w:p>
      <w:pPr>
        <w:pStyle w:val="Heading1"/>
      </w:pPr>
      <w:r>
        <w:t>3 Связи таблиц и целостность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7EEF4"/>
          </w:tcPr>
          <w:p>
            <w:pPr>
              <w:spacing w:after="80"/>
            </w:pPr>
            <w:r>
              <w:rPr>
                <w:sz w:val="20"/>
              </w:rPr>
              <w:t>Родитель</w:t>
            </w:r>
          </w:p>
        </w:tc>
        <w:tc>
          <w:tcPr>
            <w:tcW w:type="dxa" w:w="4819"/>
            <w:shd w:fill="E7EEF4"/>
          </w:tcPr>
          <w:p>
            <w:pPr>
              <w:spacing w:after="80"/>
            </w:pPr>
            <w:r>
              <w:rPr>
                <w:sz w:val="20"/>
              </w:rPr>
              <w:t>Дочерняя таблица и FK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Заказчик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Заказ.ID_Заказчика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Сотрудник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Заказ.ID_Сотрудника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Заказ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Позиция_заказа.ID_Заказа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Услуга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Позиция_заказа.ID_Услуги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Позиция_заказа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Расход_материала.ID_Позиции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Материал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Расход_материала.ID_Материала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Заказ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Макет.ID_Заказа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Сотрудник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Макет.ID_Дизайнера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Заказ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Оплата.ID_Заказа</w:t>
            </w:r>
          </w:p>
        </w:tc>
      </w:tr>
    </w:tbl>
    <w:p/>
    <w:p>
      <w:r>
        <w:t>В схеме девять внешних ключей. Все перечисленные связи имеют кратность 1:N. Внешний ключ запрещает ссылаться на несуществующего родителя. Связи многие ко многим представлены промежуточными таблицами: заказ–услуга через позиции и позиция–материал через расход.</w:t>
      </w:r>
    </w:p>
    <w:p>
      <w:r>
        <w:t>Каскадное удаление в DDL не задано. В routes/orders.js связанные записи удаляются явно в транзакции, а списанные материалы возвращаются на склад. Следовательно, удаление заказа требует выполнения бизнес-логики, а не одиночного DELETE из родительской таблицы.</w:t>
      </w:r>
    </w:p>
    <w:p>
      <w:pPr>
        <w:pStyle w:val="Heading1"/>
      </w:pPr>
      <w:r>
        <w:t>4 Нормализация и бизнес правила</w:t>
      </w:r>
    </w:p>
    <w:p>
      <w:r>
        <w:t>Данные клиентов и услуг вынесены в справочники, а повторяющиеся услуги заказа представлены отдельными строками. Это уменьшает дублирование. Стоимость позиции сохраняется отдельно от текущей цены услуги, чтобы изменение прайса не меняло историю заказа. В действующем коде Стоимость — сумма всей позиции, то есть цена услуги × количество.</w:t>
      </w:r>
    </w:p>
    <w:p>
      <w:r>
        <w:t>Заказ.Сумма — сохраняемый итог, который должен совпадать с суммой стоимостей позиций. Это контролируемая избыточность. Внешние ключи не проверяют согласованность итогов, положительность количеств и допустимость статусов. В исходном DDL CHECK-ограничений нет: такие проверки выполняются приложением; усиление ограничений БД возможно отдельной доработкой.</w:t>
      </w:r>
    </w:p>
    <w:p>
      <w:pPr>
        <w:pStyle w:val="Heading1"/>
      </w:pPr>
      <w:r>
        <w:t>5 Пример описания таблицы</w:t>
      </w:r>
    </w:p>
    <w:p>
      <w:pPr>
        <w:spacing w:after="0"/>
      </w:pPr>
      <w:r>
        <w:rPr>
          <w:rFonts w:ascii="Consolas" w:hAnsi="Consolas"/>
          <w:sz w:val="18"/>
        </w:rPr>
        <w:t>CREATE TABLE dbo.Позиция_заказа (</w:t>
      </w:r>
    </w:p>
    <w:p>
      <w:pPr>
        <w:spacing w:after="0"/>
      </w:pPr>
      <w:r>
        <w:rPr>
          <w:rFonts w:ascii="Consolas" w:hAnsi="Consolas"/>
          <w:sz w:val="18"/>
        </w:rPr>
        <w:t xml:space="preserve"> ID_Позиции INT IDENTITY(1,1) PRIMARY KEY,</w:t>
      </w:r>
    </w:p>
    <w:p>
      <w:pPr>
        <w:spacing w:after="0"/>
      </w:pPr>
      <w:r>
        <w:rPr>
          <w:rFonts w:ascii="Consolas" w:hAnsi="Consolas"/>
          <w:sz w:val="18"/>
        </w:rPr>
        <w:t xml:space="preserve"> ID_Заказа INT NOT NULL REFERENCES dbo.Заказ(ID_Заказа),</w:t>
      </w:r>
    </w:p>
    <w:p>
      <w:pPr>
        <w:spacing w:after="0"/>
      </w:pPr>
      <w:r>
        <w:rPr>
          <w:rFonts w:ascii="Consolas" w:hAnsi="Consolas"/>
          <w:sz w:val="18"/>
        </w:rPr>
        <w:t xml:space="preserve"> ID_Услуги INT NOT NULL REFERENCES dbo.Услуга(ID_Услуги),</w:t>
      </w:r>
    </w:p>
    <w:p>
      <w:pPr>
        <w:spacing w:after="0"/>
      </w:pPr>
      <w:r>
        <w:rPr>
          <w:rFonts w:ascii="Consolas" w:hAnsi="Consolas"/>
          <w:sz w:val="18"/>
        </w:rPr>
        <w:t xml:space="preserve"> Количество INT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Стоимость DECIMAL(10,2) NOT NULL</w:t>
      </w:r>
    </w:p>
    <w:p>
      <w:pPr>
        <w:spacing w:after="0"/>
      </w:pPr>
      <w:r>
        <w:rPr>
          <w:rFonts w:ascii="Consolas" w:hAnsi="Consolas"/>
          <w:sz w:val="18"/>
        </w:rPr>
        <w:t>);</w:t>
      </w:r>
    </w:p>
    <w:p>
      <w:r>
        <w:br w:type="page"/>
      </w:r>
    </w:p>
    <w:p>
      <w:pPr>
        <w:pStyle w:val="Heading1"/>
      </w:pPr>
      <w:r>
        <w:t>6 Доступ к данным из Node js</w:t>
      </w:r>
    </w:p>
    <w:p>
      <w:r>
        <w:t>Модуль db.js читает настройки через dotenv и открывает общий ConnectionPool. Обработчик ждёт poolPromise, создаёт request, передаёт параметры через input и выполняет query. Драйвер возвращает recordset — набор строк результата. Это прямой SQL-доступ; классов моделей, Relationship и автоматического отображения объектов в таблицы здесь нет.</w:t>
      </w:r>
    </w:p>
    <w:p>
      <w:pPr>
        <w:spacing w:after="0"/>
      </w:pPr>
      <w:r>
        <w:rPr>
          <w:rFonts w:ascii="Consolas" w:hAnsi="Consolas"/>
          <w:sz w:val="18"/>
        </w:rPr>
        <w:t>const { sql, poolPromise } = require('./db');</w:t>
      </w:r>
    </w:p>
    <w:p>
      <w:pPr>
        <w:spacing w:after="0"/>
      </w:pPr>
      <w:r>
        <w:rPr>
          <w:rFonts w:ascii="Consolas" w:hAnsi="Consolas"/>
          <w:sz w:val="18"/>
        </w:rPr>
        <w:t>const pool = await poolPromise;</w:t>
      </w:r>
    </w:p>
    <w:p>
      <w:pPr>
        <w:spacing w:after="0"/>
      </w:pPr>
      <w:r>
        <w:rPr>
          <w:rFonts w:ascii="Consolas" w:hAnsi="Consolas"/>
          <w:sz w:val="18"/>
        </w:rPr>
        <w:t>const result = await pool.request()</w:t>
      </w:r>
    </w:p>
    <w:p>
      <w:pPr>
        <w:spacing w:after="0"/>
      </w:pPr>
      <w:r>
        <w:rPr>
          <w:rFonts w:ascii="Consolas" w:hAnsi="Consolas"/>
          <w:sz w:val="18"/>
        </w:rPr>
        <w:t xml:space="preserve">  .input('id', sql.Int, orderId)</w:t>
      </w:r>
    </w:p>
    <w:p>
      <w:pPr>
        <w:spacing w:after="0"/>
      </w:pPr>
      <w:r>
        <w:rPr>
          <w:rFonts w:ascii="Consolas" w:hAnsi="Consolas"/>
          <w:sz w:val="18"/>
        </w:rPr>
        <w:t xml:space="preserve">  .query('SELECT * FROM dbo.Заказ WHERE ID_Заказа = @id');</w:t>
      </w:r>
    </w:p>
    <w:p>
      <w:r>
        <w:t>Фрагмент иллюстрирует код внутри асинхронной функции. Параметр @id передаётся отдельно от текста SQL, а не склеивается со строкой запроса. Полные обработчики находятся в routes/.</w:t>
      </w:r>
    </w:p>
    <w:p>
      <w:pPr>
        <w:pStyle w:val="Heading1"/>
      </w:pPr>
      <w:r>
        <w:t>7 Создание учебной базы и тестовых записей</w:t>
      </w:r>
    </w:p>
    <w:p>
      <w:r>
        <w:t>В SSMS открыть 01-create-lab.sql и выполнить целиком. Скрипт создаёт новую PhotoCenterLab12 и девять таблиц. Если база уже существует, создание останавливается, а существующие таблицы не удаляются. Затем выполнить 02-seed-lab.sql. Он заполняет пустую учебную БД одной транзакцией; при ошибке изменения откатываются. Повторное заполнение непустой базы отклоняется.</w:t>
      </w:r>
    </w:p>
    <w:p>
      <w:r>
        <w:t>Посев создаёт по три записи во всех девяти таблицах: всего 27 строк. Сначала добавляются справочники, затем заказы, позиции, расходы, макеты и оплаты. Идентификаторы заказов и позиций получают через SCOPE_IDENTITY, а не предполагают, что нумерация всегда начинается с единицы.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410"/>
            <w:shd w:fill="E7EEF4"/>
          </w:tcPr>
          <w:p>
            <w:pPr>
              <w:spacing w:after="80"/>
            </w:pPr>
            <w:r>
              <w:rPr>
                <w:sz w:val="20"/>
              </w:rPr>
              <w:t>Пример заказа</w:t>
            </w:r>
          </w:p>
        </w:tc>
        <w:tc>
          <w:tcPr>
            <w:tcW w:type="dxa" w:w="2410"/>
            <w:shd w:fill="E7EEF4"/>
          </w:tcPr>
          <w:p>
            <w:pPr>
              <w:spacing w:after="80"/>
            </w:pPr>
            <w:r>
              <w:rPr>
                <w:sz w:val="20"/>
              </w:rPr>
              <w:t>Позиция</w:t>
            </w:r>
          </w:p>
        </w:tc>
        <w:tc>
          <w:tcPr>
            <w:tcW w:type="dxa" w:w="2410"/>
            <w:shd w:fill="E7EEF4"/>
          </w:tcPr>
          <w:p>
            <w:pPr>
              <w:spacing w:after="80"/>
            </w:pPr>
            <w:r>
              <w:rPr>
                <w:sz w:val="20"/>
              </w:rPr>
              <w:t>Итог</w:t>
            </w:r>
          </w:p>
        </w:tc>
        <w:tc>
          <w:tcPr>
            <w:tcW w:type="dxa" w:w="2410"/>
            <w:shd w:fill="E7EEF4"/>
          </w:tcPr>
          <w:p>
            <w:pPr>
              <w:spacing w:after="80"/>
            </w:pPr>
            <w:r>
              <w:rPr>
                <w:sz w:val="20"/>
              </w:rPr>
              <w:t>Оплачено</w:t>
            </w:r>
          </w:p>
        </w:tc>
      </w:tr>
      <w:tr>
        <w:tc>
          <w:tcPr>
            <w:tcW w:type="dxa" w:w="2410"/>
          </w:tcPr>
          <w:p>
            <w:pPr>
              <w:spacing w:after="80"/>
            </w:pPr>
            <w:r>
              <w:rPr>
                <w:sz w:val="20"/>
              </w:rPr>
              <w:t>Анна Смирнова</w:t>
            </w:r>
          </w:p>
        </w:tc>
        <w:tc>
          <w:tcPr>
            <w:tcW w:type="dxa" w:w="2410"/>
          </w:tcPr>
          <w:p>
            <w:pPr>
              <w:spacing w:after="80"/>
            </w:pPr>
            <w:r>
              <w:rPr>
                <w:sz w:val="20"/>
              </w:rPr>
              <w:t>10 фото × 15</w:t>
            </w:r>
          </w:p>
        </w:tc>
        <w:tc>
          <w:tcPr>
            <w:tcW w:type="dxa" w:w="2410"/>
          </w:tcPr>
          <w:p>
            <w:pPr>
              <w:spacing w:after="80"/>
            </w:pPr>
            <w:r>
              <w:rPr>
                <w:sz w:val="20"/>
              </w:rPr>
              <w:t>150</w:t>
            </w:r>
          </w:p>
        </w:tc>
        <w:tc>
          <w:tcPr>
            <w:tcW w:type="dxa" w:w="2410"/>
          </w:tcPr>
          <w:p>
            <w:pPr>
              <w:spacing w:after="80"/>
            </w:pPr>
            <w:r>
              <w:rPr>
                <w:sz w:val="20"/>
              </w:rPr>
              <w:t>150</w:t>
            </w:r>
          </w:p>
        </w:tc>
      </w:tr>
      <w:tr>
        <w:tc>
          <w:tcPr>
            <w:tcW w:type="dxa" w:w="2410"/>
          </w:tcPr>
          <w:p>
            <w:pPr>
              <w:spacing w:after="80"/>
            </w:pPr>
            <w:r>
              <w:rPr>
                <w:sz w:val="20"/>
              </w:rPr>
              <w:t>Дмитрий Кузнецов</w:t>
            </w:r>
          </w:p>
        </w:tc>
        <w:tc>
          <w:tcPr>
            <w:tcW w:type="dxa" w:w="2410"/>
          </w:tcPr>
          <w:p>
            <w:pPr>
              <w:spacing w:after="80"/>
            </w:pPr>
            <w:r>
              <w:rPr>
                <w:sz w:val="20"/>
              </w:rPr>
              <w:t>1 дизайн × 800</w:t>
            </w:r>
          </w:p>
        </w:tc>
        <w:tc>
          <w:tcPr>
            <w:tcW w:type="dxa" w:w="2410"/>
          </w:tcPr>
          <w:p>
            <w:pPr>
              <w:spacing w:after="80"/>
            </w:pPr>
            <w:r>
              <w:rPr>
                <w:sz w:val="20"/>
              </w:rPr>
              <w:t>800</w:t>
            </w:r>
          </w:p>
        </w:tc>
        <w:tc>
          <w:tcPr>
            <w:tcW w:type="dxa" w:w="2410"/>
          </w:tcPr>
          <w:p>
            <w:pPr>
              <w:spacing w:after="80"/>
            </w:pPr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410"/>
          </w:tcPr>
          <w:p>
            <w:pPr>
              <w:spacing w:after="80"/>
            </w:pPr>
            <w:r>
              <w:rPr>
                <w:sz w:val="20"/>
              </w:rPr>
              <w:t>ТОО Учебный пример</w:t>
            </w:r>
          </w:p>
        </w:tc>
        <w:tc>
          <w:tcPr>
            <w:tcW w:type="dxa" w:w="2410"/>
          </w:tcPr>
          <w:p>
            <w:pPr>
              <w:spacing w:after="80"/>
            </w:pPr>
            <w:r>
              <w:rPr>
                <w:sz w:val="20"/>
              </w:rPr>
              <w:t>2 ламинации × 50</w:t>
            </w:r>
          </w:p>
        </w:tc>
        <w:tc>
          <w:tcPr>
            <w:tcW w:type="dxa" w:w="2410"/>
          </w:tcPr>
          <w:p>
            <w:pPr>
              <w:spacing w:after="80"/>
            </w:pPr>
            <w:r>
              <w:rPr>
                <w:sz w:val="20"/>
              </w:rPr>
              <w:t>100</w:t>
            </w:r>
          </w:p>
        </w:tc>
        <w:tc>
          <w:tcPr>
            <w:tcW w:type="dxa" w:w="2410"/>
          </w:tcPr>
          <w:p>
            <w:pPr>
              <w:spacing w:after="80"/>
            </w:pPr>
            <w:r>
              <w:rPr>
                <w:sz w:val="20"/>
              </w:rPr>
              <w:t>100</w:t>
            </w:r>
          </w:p>
        </w:tc>
      </w:tr>
    </w:tbl>
    <w:p/>
    <w:p>
      <w:r>
        <w:t>Значения цен условные и предназначены для проверки вычислений. Остатки материалов в посеве уже заданы после демонстрационного расхода. Макеты содержат только имена учебных файлов, сами файлы не создаются. Пароль demo используется только в отдельной учебной БД.</w:t>
      </w:r>
    </w:p>
    <w:p>
      <w:pPr>
        <w:pStyle w:val="Heading1"/>
      </w:pPr>
      <w:r>
        <w:t>8 Проверка результата</w:t>
      </w:r>
    </w:p>
    <w:p>
      <w:r>
        <w:t>Проверка фактически пройдена: девять таблиц содержат по три строки, всего 27 записей. Все девять внешних ключей включены и доверены. DBCC CHECKCONSTRAINTS не выявил нарушений; суммы трёх заказов совпадают с суммами позиций. Дополнительно прошли оба теста приложения командой node --test tests/auth.test.cjs. Проверку БД можно повторить без изменения данных командой node scripts/labs-db.cjs. Для отчёта рекомендуется добавить собственные скриншоты SSMS.</w:t>
      </w:r>
    </w:p>
    <w:p>
      <w:r>
        <w:br w:type="page"/>
      </w:r>
    </w:p>
    <w:p>
      <w:pPr>
        <w:pStyle w:val="Heading1"/>
      </w:pPr>
      <w:r>
        <w:t>9 Ответы на контрольные вопросы</w:t>
      </w:r>
    </w:p>
    <w:p>
      <w:r>
        <w:t>Что такое ORM? ORM — сопоставление объектов программы и реляционных таблиц. Оно позволяет работать с объектами и связями вместо написания каждого SQL-запроса вручную. В данном проекте ORM не используется: таблицы описаны DDL, а доступ выполняется через mssql.</w:t>
      </w:r>
    </w:p>
    <w:p>
      <w:r>
        <w:t>Чем отличается внешний ключ от Relationship? Внешний ключ — реальный столбец и ограничение базы данных, например ID_Заказчика в Заказ. Relationship в ORM — свойство для навигации к связанному объекту или коллекции; отдельного столбца с объектом в SQL нет. Здесь связанные данные извлекаются через JOIN и отдельные запросы.</w:t>
      </w:r>
    </w:p>
    <w:p>
      <w:r>
        <w:t>Зачем нужен посев данных? Тестовые данные позволяют проверять связи, списки, расчёты и частичную оплату. В пустой БД невозможно увидеть типичные рабочие сценарии. Для повторяемости посев должен либо корректно обрабатывать повторный запуск, либо явно отклонять его, как в подготовленном скрипте.</w:t>
      </w:r>
    </w:p>
    <w:p>
      <w:r>
        <w:t>Что делает echo True? В SQLAlchemy/SQLModel параметр echo=True включает журналирование SQL. В mssql такого параметра нет. Для выбранного стека можно просматривать выполняемые запросы через средства SQL Server или явное журналирование в приложении; секреты и персональные данные в журнал выводить не следует.</w:t>
      </w:r>
    </w:p>
    <w:p>
      <w:r>
        <w:t>Почему база не должна попадать в Git? В Git хранят исходный код, DDL, миграции и воспроизводимые тестовые данные. Рабочая база содержит изменяемые записи и может содержать секреты. SQL Server хранит данные в файлах MDF/LDF, а не database.db; публиковать эти файлы или резервные копии с реальными данными не нужно.</w:t>
      </w:r>
    </w:p>
    <w:p>
      <w:pPr>
        <w:pStyle w:val="Heading1"/>
      </w:pPr>
      <w:r>
        <w:t>10 Материалы для защиты</w:t>
      </w:r>
    </w:p>
    <w:p>
      <w:r>
        <w:t>Приложить ER-схему из лабораторной №1, скриншот девяти таблиц в SSMS, результаты COUNT и проверки ключей, а также пример заказа с его позициями. На защите объяснить: почему нужны позиции заказа, как работает внешний ключ, зачем применяется транзакция и чем драйвер mssql отличается от ORM.</w:t>
      </w:r>
    </w:p>
    <w:p>
      <w:r>
        <w:t>Рекомендуемый запрос к ИИ: «По схеме моего фотоцентра подготовь T-SQL для отдельной учебной базы с внешними ключами и тремя записями в каждой таблице. Объясни порядок вставок и проверь суммы заказов. Не выполняй скрипты в рабочей БД».</w:t>
      </w:r>
    </w:p>
    <w:p>
      <w:pPr>
        <w:pStyle w:val="Heading1"/>
      </w:pPr>
      <w:r>
        <w:t>11 Вывод</w:t>
      </w:r>
    </w:p>
    <w:p>
      <w:r>
        <w:t>Реализована и проверена реляционная модель фотоцентра с девятью сущностями и девятью внешними ключами. Создана учебная БД PhotoCenterLab12, добавлены 27 тестовых строк, проверены ограничения и суммы заказов. Материалы опубликованы в https://github.com/dd9272917/applied-is-project-2026. Требования методички к SQLModel адаптированы к прямому SQL-доступу через mssql.</w:t>
      </w:r>
    </w:p>
    <w:p>
      <w:r>
        <w:t>Основа работы: schema.sql, db.js, routes/orders.js и package.json существующего проекта. Названия таблиц, типы полей и связи сохранены по исходной схеме.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