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44"/>
        </w:rPr>
        <w:t>Smart Energy-Consumption Analytics Using Big Data Technologies</w:t>
      </w:r>
    </w:p>
    <w:p>
      <w:pPr>
        <w:spacing w:before="0" w:after="320"/>
        <w:jc w:val="center"/>
      </w:pPr>
      <w:r>
        <w:rPr>
          <w:rFonts w:ascii="Calibri" w:hAnsi="Calibri"/>
          <w:color w:val="2E75B6"/>
          <w:sz w:val="26"/>
        </w:rPr>
        <w:t>Comprehensive Hadoop Ecosystem Implementation Report</w:t>
        <w:br/>
        <w:t>Department of Computer Science and Engineering</w:t>
      </w:r>
    </w:p>
    <w:tbl>
      <w:tblPr>
        <w:tblW w:type="auto" w:w="0"/>
        <w:jc w:val="center"/>
        <w:tblLook w:firstColumn="1" w:firstRow="1" w:lastColumn="0" w:lastRow="0" w:noHBand="0" w:noVBand="1" w:val="04A0"/>
      </w:tblPr>
      <w:tblGrid>
        <w:gridCol w:w="4968"/>
        <w:gridCol w:w="4968"/>
      </w:tblGrid>
      <w:tr>
        <w:trPr>
          <w:cantSplit/>
          <w:tblHeader/>
        </w:trPr>
        <w:tc>
          <w:tcPr>
            <w:tcW w:type="dxa" w:w="3168"/>
            <w:shd w:fill="1F4E79"/>
            <w:tcMar>
              <w:top w:w="100" w:type="dxa"/>
              <w:bottom w:w="100" w:type="dxa"/>
              <w:left w:w="150" w:type="dxa"/>
              <w:right w:w="150" w:type="dxa"/>
            </w:tcMar>
          </w:tcPr>
          <w:p>
            <w:pPr>
              <w:jc w:val="center"/>
            </w:pPr>
            <w:r>
              <w:rPr>
                <w:rFonts w:ascii="Calibri" w:hAnsi="Calibri"/>
                <w:b/>
                <w:color w:val="FFFFFF"/>
                <w:sz w:val="20"/>
              </w:rPr>
              <w:t>Course Code &amp; Name</w:t>
            </w:r>
          </w:p>
        </w:tc>
        <w:tc>
          <w:tcPr>
            <w:tcW w:type="dxa" w:w="6624"/>
            <w:shd w:fill="1F4E79"/>
            <w:tcMar>
              <w:top w:w="100" w:type="dxa"/>
              <w:bottom w:w="100" w:type="dxa"/>
              <w:left w:w="150" w:type="dxa"/>
              <w:right w:w="150" w:type="dxa"/>
            </w:tcMar>
          </w:tcPr>
          <w:p>
            <w:pPr>
              <w:jc w:val="center"/>
            </w:pPr>
            <w:r>
              <w:rPr>
                <w:rFonts w:ascii="Calibri" w:hAnsi="Calibri"/>
                <w:b/>
                <w:color w:val="FFFFFF"/>
                <w:sz w:val="20"/>
              </w:rPr>
              <w:t>CSA15 – Cloud Computing and Big Data Analytics</w:t>
            </w:r>
          </w:p>
        </w:tc>
      </w:tr>
      <w:tr>
        <w:trPr>
          <w:cantSplit/>
        </w:trPr>
        <w:tc>
          <w:tcPr>
            <w:tcW w:type="dxa" w:w="3168"/>
            <w:shd w:fill="F9FAFB"/>
            <w:tcMar>
              <w:top w:w="100" w:type="dxa"/>
              <w:bottom w:w="100" w:type="dxa"/>
              <w:left w:w="150" w:type="dxa"/>
              <w:right w:w="150" w:type="dxa"/>
            </w:tcMar>
          </w:tcPr>
          <w:p>
            <w:r>
              <w:rPr>
                <w:rFonts w:ascii="Calibri" w:hAnsi="Calibri"/>
                <w:b/>
                <w:color w:val="333333"/>
                <w:sz w:val="19"/>
              </w:rPr>
              <w:t>Course Outcomes (COs)</w:t>
            </w:r>
          </w:p>
        </w:tc>
        <w:tc>
          <w:tcPr>
            <w:tcW w:type="dxa" w:w="6624"/>
            <w:shd w:fill="F9FAFB"/>
            <w:tcMar>
              <w:top w:w="100" w:type="dxa"/>
              <w:bottom w:w="100" w:type="dxa"/>
              <w:left w:w="150" w:type="dxa"/>
              <w:right w:w="150" w:type="dxa"/>
            </w:tcMar>
          </w:tcPr>
          <w:p>
            <w:r>
              <w:rPr>
                <w:rFonts w:ascii="Calibri" w:hAnsi="Calibri"/>
                <w:color w:val="333333"/>
                <w:sz w:val="19"/>
              </w:rPr>
              <w:t>CO1: Apply Big Data &amp; distributed processing to energy problems</w:t>
              <w:br/>
              <w:t>CO2: Design/implement Hadoop system (HDFS, MapReduce, YARN)</w:t>
              <w:br/>
              <w:t>CO3: Analyse energy consumption trends for sustainable management</w:t>
            </w:r>
          </w:p>
        </w:tc>
      </w:tr>
      <w:tr>
        <w:trPr>
          <w:cantSplit/>
        </w:trPr>
        <w:tc>
          <w:tcPr>
            <w:tcW w:type="dxa" w:w="3168"/>
            <w:shd w:fill="FFFFFF"/>
            <w:tcMar>
              <w:top w:w="100" w:type="dxa"/>
              <w:bottom w:w="100" w:type="dxa"/>
              <w:left w:w="150" w:type="dxa"/>
              <w:right w:w="150" w:type="dxa"/>
            </w:tcMar>
          </w:tcPr>
          <w:p>
            <w:r>
              <w:rPr>
                <w:rFonts w:ascii="Calibri" w:hAnsi="Calibri"/>
                <w:b/>
                <w:color w:val="333333"/>
                <w:sz w:val="19"/>
              </w:rPr>
              <w:t>Bloom's Taxonomy Level</w:t>
            </w:r>
          </w:p>
        </w:tc>
        <w:tc>
          <w:tcPr>
            <w:tcW w:type="dxa" w:w="6624"/>
            <w:shd w:fill="FFFFFF"/>
            <w:tcMar>
              <w:top w:w="100" w:type="dxa"/>
              <w:bottom w:w="100" w:type="dxa"/>
              <w:left w:w="150" w:type="dxa"/>
              <w:right w:w="150" w:type="dxa"/>
            </w:tcMar>
          </w:tcPr>
          <w:p>
            <w:r>
              <w:rPr>
                <w:rFonts w:ascii="Calibri" w:hAnsi="Calibri"/>
                <w:color w:val="333333"/>
                <w:sz w:val="19"/>
              </w:rPr>
              <w:t>L3 – Apply; L4 – Analyse</w:t>
            </w:r>
          </w:p>
        </w:tc>
      </w:tr>
      <w:tr>
        <w:trPr>
          <w:cantSplit/>
        </w:trPr>
        <w:tc>
          <w:tcPr>
            <w:tcW w:type="dxa" w:w="3168"/>
            <w:shd w:fill="F9FAFB"/>
            <w:tcMar>
              <w:top w:w="100" w:type="dxa"/>
              <w:bottom w:w="100" w:type="dxa"/>
              <w:left w:w="150" w:type="dxa"/>
              <w:right w:w="150" w:type="dxa"/>
            </w:tcMar>
          </w:tcPr>
          <w:p>
            <w:r>
              <w:rPr>
                <w:rFonts w:ascii="Calibri" w:hAnsi="Calibri"/>
                <w:b/>
                <w:color w:val="333333"/>
                <w:sz w:val="19"/>
              </w:rPr>
              <w:t>SDG Mapping</w:t>
            </w:r>
          </w:p>
        </w:tc>
        <w:tc>
          <w:tcPr>
            <w:tcW w:type="dxa" w:w="6624"/>
            <w:shd w:fill="F9FAFB"/>
            <w:tcMar>
              <w:top w:w="100" w:type="dxa"/>
              <w:bottom w:w="100" w:type="dxa"/>
              <w:left w:w="150" w:type="dxa"/>
              <w:right w:w="150" w:type="dxa"/>
            </w:tcMar>
          </w:tcPr>
          <w:p>
            <w:r>
              <w:rPr>
                <w:rFonts w:ascii="Calibri" w:hAnsi="Calibri"/>
                <w:color w:val="333333"/>
                <w:sz w:val="19"/>
              </w:rPr>
              <w:t>SDG 7 (Clean Energy), SDG 9 (Infrastructure), SDG 11 (Cities), SDG 12 (Consumption), SDG 13 (Climate)</w:t>
            </w:r>
          </w:p>
        </w:tc>
      </w:tr>
      <w:tr>
        <w:trPr>
          <w:cantSplit/>
        </w:trPr>
        <w:tc>
          <w:tcPr>
            <w:tcW w:type="dxa" w:w="3168"/>
            <w:shd w:fill="FFFFFF"/>
            <w:tcMar>
              <w:top w:w="100" w:type="dxa"/>
              <w:bottom w:w="100" w:type="dxa"/>
              <w:left w:w="150" w:type="dxa"/>
              <w:right w:w="150" w:type="dxa"/>
            </w:tcMar>
          </w:tcPr>
          <w:p>
            <w:r>
              <w:rPr>
                <w:rFonts w:ascii="Calibri" w:hAnsi="Calibri"/>
                <w:b/>
                <w:color w:val="333333"/>
                <w:sz w:val="19"/>
              </w:rPr>
              <w:t>Target Platform</w:t>
            </w:r>
          </w:p>
        </w:tc>
        <w:tc>
          <w:tcPr>
            <w:tcW w:type="dxa" w:w="6624"/>
            <w:shd w:fill="FFFFFF"/>
            <w:tcMar>
              <w:top w:w="100" w:type="dxa"/>
              <w:bottom w:w="100" w:type="dxa"/>
              <w:left w:w="150" w:type="dxa"/>
              <w:right w:w="150" w:type="dxa"/>
            </w:tcMar>
          </w:tcPr>
          <w:p>
            <w:r>
              <w:rPr>
                <w:rFonts w:ascii="Calibri" w:hAnsi="Calibri"/>
                <w:color w:val="333333"/>
                <w:sz w:val="19"/>
              </w:rPr>
              <w:t>Hadoop 3.3.6 (HDFS, MapReduce v2, YARN Cluster)</w:t>
            </w:r>
          </w:p>
        </w:tc>
      </w:tr>
    </w:tbl>
    <w:p/>
    <w:p>
      <w:pPr>
        <w:keepNext/>
        <w:spacing w:before="320" w:after="120"/>
      </w:pPr>
      <w:r>
        <w:rPr>
          <w:rFonts w:ascii="Calibri" w:hAnsi="Calibri"/>
          <w:b/>
          <w:color w:val="1F4E79"/>
          <w:sz w:val="32"/>
        </w:rPr>
        <w:t>1. Problem Definition</w:t>
      </w:r>
    </w:p>
    <w:p>
      <w:pPr>
        <w:spacing w:before="0" w:after="80" w:line="276" w:lineRule="auto"/>
      </w:pPr>
      <w:r>
        <w:rPr>
          <w:rFonts w:ascii="Calibri" w:hAnsi="Calibri"/>
          <w:color w:val="333333"/>
          <w:sz w:val="22"/>
        </w:rPr>
        <w:t>Modern electric power grids are undergoing a radical digital transformation fueled by the proliferation of Smart Meters, Internet of Things (IoT) telemetry sensors, commercial building automation systems, industrial SCADA networks, and distributed renewable energy sources. Modern utility providers receive continuous, high-frequency streams of energy telemetry containing critical parameters such as active energy consumption (kWh), instantaneous voltage (V), current (A), power factor (PF), appliance breakdown, and localized solar/wind generation. Analyzing these massive streams is paramount for grid stability, peak load management, fault detection, dynamic pricing, and sustainable energy distribution.</w:t>
      </w:r>
    </w:p>
    <w:p>
      <w:pPr>
        <w:keepNext/>
        <w:spacing w:before="240" w:after="80"/>
      </w:pPr>
      <w:r>
        <w:rPr>
          <w:rFonts w:ascii="Calibri" w:hAnsi="Calibri"/>
          <w:b/>
          <w:color w:val="2E75B6"/>
          <w:sz w:val="26"/>
        </w:rPr>
        <w:t>The 4 Vs of Big Data in Smart Energy Analytics</w:t>
      </w:r>
    </w:p>
    <w:p>
      <w:pPr>
        <w:pStyle w:val="ListBullet"/>
        <w:spacing w:before="0" w:after="60" w:line="276" w:lineRule="auto"/>
        <w:ind w:left="360"/>
      </w:pPr>
      <w:r>
        <w:rPr>
          <w:rFonts w:ascii="Calibri" w:hAnsi="Calibri"/>
          <w:b/>
          <w:color w:val="333333"/>
          <w:sz w:val="21"/>
        </w:rPr>
        <w:t xml:space="preserve">Volume: </w:t>
      </w:r>
      <w:r>
        <w:rPr>
          <w:rFonts w:ascii="Calibri" w:hAnsi="Calibri"/>
          <w:color w:val="333333"/>
          <w:sz w:val="21"/>
        </w:rPr>
        <w:t>Terabytes to Petabytes of telemetric logs generated by millions of smart meters deployed across residential, commercial, and industrial sectors recording data at 15-minute intervals.</w:t>
      </w:r>
    </w:p>
    <w:p>
      <w:pPr>
        <w:pStyle w:val="ListBullet"/>
        <w:spacing w:before="0" w:after="60" w:line="276" w:lineRule="auto"/>
        <w:ind w:left="360"/>
      </w:pPr>
      <w:r>
        <w:rPr>
          <w:rFonts w:ascii="Calibri" w:hAnsi="Calibri"/>
          <w:b/>
          <w:color w:val="333333"/>
          <w:sz w:val="21"/>
        </w:rPr>
        <w:t xml:space="preserve">Velocity: </w:t>
      </w:r>
      <w:r>
        <w:rPr>
          <w:rFonts w:ascii="Calibri" w:hAnsi="Calibri"/>
          <w:color w:val="333333"/>
          <w:sz w:val="21"/>
        </w:rPr>
        <w:t>Sub-minute and 15-minute interval streaming data ingress requires rapid ingestion, real-time partitioning, and high-throughput batch aggregation.</w:t>
      </w:r>
    </w:p>
    <w:p>
      <w:pPr>
        <w:pStyle w:val="ListBullet"/>
        <w:spacing w:before="0" w:after="60" w:line="276" w:lineRule="auto"/>
        <w:ind w:left="360"/>
      </w:pPr>
      <w:r>
        <w:rPr>
          <w:rFonts w:ascii="Calibri" w:hAnsi="Calibri"/>
          <w:b/>
          <w:color w:val="333333"/>
          <w:sz w:val="21"/>
        </w:rPr>
        <w:t xml:space="preserve">Variety: </w:t>
      </w:r>
      <w:r>
        <w:rPr>
          <w:rFonts w:ascii="Calibri" w:hAnsi="Calibri"/>
          <w:color w:val="333333"/>
          <w:sz w:val="21"/>
        </w:rPr>
        <w:t>Heterogeneous, multi-structured data formats encompassing structured CSV smart meter logs, semi-structured JSON sensor feeds, un-structured weather logs, and dynamic tariff schedules.</w:t>
      </w:r>
    </w:p>
    <w:p>
      <w:pPr>
        <w:pStyle w:val="ListBullet"/>
        <w:spacing w:before="0" w:after="60" w:line="276" w:lineRule="auto"/>
        <w:ind w:left="360"/>
      </w:pPr>
      <w:r>
        <w:rPr>
          <w:rFonts w:ascii="Calibri" w:hAnsi="Calibri"/>
          <w:b/>
          <w:color w:val="333333"/>
          <w:sz w:val="21"/>
        </w:rPr>
        <w:t xml:space="preserve">Veracity: </w:t>
      </w:r>
      <w:r>
        <w:rPr>
          <w:rFonts w:ascii="Calibri" w:hAnsi="Calibri"/>
          <w:color w:val="333333"/>
          <w:sz w:val="21"/>
        </w:rPr>
        <w:t>Noise in telemetric signals, missing timestamp readings, rogue voltage spikes, meter calibration drifts, and intermittent communication dropouts requiring data cleansing.</w:t>
      </w:r>
    </w:p>
    <w:p>
      <w:pPr>
        <w:keepNext/>
        <w:spacing w:before="240" w:after="80"/>
      </w:pPr>
      <w:r>
        <w:rPr>
          <w:rFonts w:ascii="Calibri" w:hAnsi="Calibri"/>
          <w:b/>
          <w:color w:val="2E75B6"/>
          <w:sz w:val="26"/>
        </w:rPr>
        <w:t>Limitations of Conventional Centralized Systems</w:t>
      </w:r>
    </w:p>
    <w:p>
      <w:pPr>
        <w:spacing w:before="0" w:after="80" w:line="276" w:lineRule="auto"/>
      </w:pPr>
      <w:r>
        <w:rPr>
          <w:rFonts w:ascii="Calibri" w:hAnsi="Calibri"/>
          <w:color w:val="333333"/>
          <w:sz w:val="22"/>
        </w:rPr>
        <w:t>Traditional centralized Relational Database Management Systems (RDBMS) and single-server data warehouses fail under smart grid data loads due to key architectural bottlenecks:</w:t>
      </w:r>
    </w:p>
    <w:p>
      <w:pPr>
        <w:pStyle w:val="ListBullet"/>
        <w:spacing w:before="0" w:after="60" w:line="276" w:lineRule="auto"/>
        <w:ind w:left="360"/>
      </w:pPr>
      <w:r>
        <w:rPr>
          <w:rFonts w:ascii="Calibri" w:hAnsi="Calibri"/>
          <w:b/>
          <w:color w:val="333333"/>
          <w:sz w:val="21"/>
        </w:rPr>
        <w:t xml:space="preserve">Storage Bottlenecks: </w:t>
      </w:r>
      <w:r>
        <w:rPr>
          <w:rFonts w:ascii="Calibri" w:hAnsi="Calibri"/>
          <w:color w:val="333333"/>
          <w:sz w:val="21"/>
        </w:rPr>
        <w:t>RDBMS systems suffer severe I/O degradation and lock contention when attempting concurrent write operations for millions of smart meter streams.</w:t>
      </w:r>
    </w:p>
    <w:p>
      <w:pPr>
        <w:pStyle w:val="ListBullet"/>
        <w:spacing w:before="0" w:after="60" w:line="276" w:lineRule="auto"/>
        <w:ind w:left="360"/>
      </w:pPr>
      <w:r>
        <w:rPr>
          <w:rFonts w:ascii="Calibri" w:hAnsi="Calibri"/>
          <w:b/>
          <w:color w:val="333333"/>
          <w:sz w:val="21"/>
        </w:rPr>
        <w:t xml:space="preserve">Compute Bottlenecks: </w:t>
      </w:r>
      <w:r>
        <w:rPr>
          <w:rFonts w:ascii="Calibri" w:hAnsi="Calibri"/>
          <w:color w:val="333333"/>
          <w:sz w:val="21"/>
        </w:rPr>
        <w:t>Single-server analytical nodes cannot execute complex multi-variable aggregations (e.g., peak-hour identification across millions of meters) within operational time windows.</w:t>
      </w:r>
    </w:p>
    <w:p>
      <w:pPr>
        <w:pStyle w:val="ListBullet"/>
        <w:spacing w:before="0" w:after="60" w:line="276" w:lineRule="auto"/>
        <w:ind w:left="360"/>
      </w:pPr>
      <w:r>
        <w:rPr>
          <w:rFonts w:ascii="Calibri" w:hAnsi="Calibri"/>
          <w:b/>
          <w:color w:val="333333"/>
          <w:sz w:val="21"/>
        </w:rPr>
        <w:t xml:space="preserve">Cost &amp; Scalability Ceilings: </w:t>
      </w:r>
      <w:r>
        <w:rPr>
          <w:rFonts w:ascii="Calibri" w:hAnsi="Calibri"/>
          <w:color w:val="333333"/>
          <w:sz w:val="21"/>
        </w:rPr>
        <w:t>Vertical scaling (upgrading CPU/RAM on a single machine) incurs exponential costs and reaches strict hardware ceilings.</w:t>
      </w:r>
    </w:p>
    <w:p>
      <w:pPr>
        <w:pStyle w:val="ListBullet"/>
        <w:spacing w:before="0" w:after="60" w:line="276" w:lineRule="auto"/>
        <w:ind w:left="360"/>
      </w:pPr>
      <w:r>
        <w:rPr>
          <w:rFonts w:ascii="Calibri" w:hAnsi="Calibri"/>
          <w:b/>
          <w:color w:val="333333"/>
          <w:sz w:val="21"/>
        </w:rPr>
        <w:t xml:space="preserve">Lack of Fault Tolerance: </w:t>
      </w:r>
      <w:r>
        <w:rPr>
          <w:rFonts w:ascii="Calibri" w:hAnsi="Calibri"/>
          <w:color w:val="333333"/>
          <w:sz w:val="21"/>
        </w:rPr>
        <w:t>Centralized databases represent a single point of failure (SPOF) without native multi-node replication.</w:t>
      </w:r>
    </w:p>
    <w:p>
      <w:pPr>
        <w:keepNext/>
        <w:spacing w:before="240" w:after="80"/>
      </w:pPr>
      <w:r>
        <w:rPr>
          <w:rFonts w:ascii="Calibri" w:hAnsi="Calibri"/>
          <w:b/>
          <w:color w:val="2E75B6"/>
          <w:sz w:val="26"/>
        </w:rPr>
        <w:t>Objectives of the Hadoop Ecosystem Solution</w:t>
      </w:r>
    </w:p>
    <w:p>
      <w:pPr>
        <w:spacing w:before="0" w:after="80" w:line="276" w:lineRule="auto"/>
      </w:pPr>
      <w:r>
        <w:rPr>
          <w:rFonts w:ascii="Calibri" w:hAnsi="Calibri"/>
          <w:color w:val="333333"/>
          <w:sz w:val="22"/>
        </w:rPr>
        <w:t>To overcome these limitations, this project implements a distributed Big Data analytics framework leveraging the Hadoop Ecosystem:</w:t>
      </w:r>
    </w:p>
    <w:p>
      <w:pPr>
        <w:pStyle w:val="ListBullet"/>
        <w:spacing w:before="0" w:after="60" w:line="276" w:lineRule="auto"/>
        <w:ind w:left="360"/>
      </w:pPr>
      <w:r>
        <w:rPr>
          <w:rFonts w:ascii="Calibri" w:hAnsi="Calibri"/>
          <w:b/>
          <w:color w:val="333333"/>
          <w:sz w:val="21"/>
        </w:rPr>
        <w:t xml:space="preserve">Hadoop Distributed File System (HDFS): </w:t>
      </w:r>
      <w:r>
        <w:rPr>
          <w:rFonts w:ascii="Calibri" w:hAnsi="Calibri"/>
          <w:color w:val="333333"/>
          <w:sz w:val="21"/>
        </w:rPr>
        <w:t>Stores raw energy telemetry across a cluster of commodity hardware with high fault tolerance (Replication Factor = 3).</w:t>
      </w:r>
    </w:p>
    <w:p>
      <w:pPr>
        <w:pStyle w:val="ListBullet"/>
        <w:spacing w:before="0" w:after="60" w:line="276" w:lineRule="auto"/>
        <w:ind w:left="360"/>
      </w:pPr>
      <w:r>
        <w:rPr>
          <w:rFonts w:ascii="Calibri" w:hAnsi="Calibri"/>
          <w:b/>
          <w:color w:val="333333"/>
          <w:sz w:val="21"/>
        </w:rPr>
        <w:t xml:space="preserve">MapReduce Processing Engine: </w:t>
      </w:r>
      <w:r>
        <w:rPr>
          <w:rFonts w:ascii="Calibri" w:hAnsi="Calibri"/>
          <w:color w:val="333333"/>
          <w:sz w:val="21"/>
        </w:rPr>
        <w:t>Executes high-throughput, parallelized analytical algorithms for location-wise, consumer-type, peak-hour, appliance-level, and tariff-period consumption profiling.</w:t>
      </w:r>
    </w:p>
    <w:p>
      <w:pPr>
        <w:pStyle w:val="ListBullet"/>
        <w:spacing w:before="0" w:after="60" w:line="276" w:lineRule="auto"/>
        <w:ind w:left="360"/>
      </w:pPr>
      <w:r>
        <w:rPr>
          <w:rFonts w:ascii="Calibri" w:hAnsi="Calibri"/>
          <w:b/>
          <w:color w:val="333333"/>
          <w:sz w:val="21"/>
        </w:rPr>
        <w:t xml:space="preserve">Yet Another Resource Negotiator (YARN): </w:t>
      </w:r>
      <w:r>
        <w:rPr>
          <w:rFonts w:ascii="Calibri" w:hAnsi="Calibri"/>
          <w:color w:val="333333"/>
          <w:sz w:val="21"/>
        </w:rPr>
        <w:t>Manages cluster hardware resources (CPU, Memory) and dynamically schedules MapReduce jobs for optimal throughput.</w:t>
      </w:r>
    </w:p>
    <w:p>
      <w:pPr>
        <w:keepNext/>
        <w:spacing w:before="320" w:after="120"/>
      </w:pPr>
      <w:r>
        <w:rPr>
          <w:rFonts w:ascii="Calibri" w:hAnsi="Calibri"/>
          <w:b/>
          <w:color w:val="1F4E79"/>
          <w:sz w:val="32"/>
        </w:rPr>
        <w:t>2. Dataset Description</w:t>
      </w:r>
    </w:p>
    <w:p>
      <w:pPr>
        <w:spacing w:before="0" w:after="80" w:line="276" w:lineRule="auto"/>
      </w:pPr>
      <w:r>
        <w:rPr>
          <w:rFonts w:ascii="Calibri" w:hAnsi="Calibri"/>
          <w:color w:val="333333"/>
          <w:sz w:val="22"/>
        </w:rPr>
        <w:t>The dataset engineered for this system models real-world smart grid telemetry collected across smart meters, building IoT sensors, and renewable energy monitoring units. The schema consists of 13 primary attributes captured at granular intervals.</w:t>
      </w:r>
    </w:p>
    <w:p>
      <w:pPr>
        <w:keepNext/>
        <w:spacing w:before="240" w:after="80"/>
      </w:pPr>
      <w:r>
        <w:rPr>
          <w:rFonts w:ascii="Calibri" w:hAnsi="Calibri"/>
          <w:b/>
          <w:color w:val="2E75B6"/>
          <w:sz w:val="26"/>
        </w:rPr>
        <w:t>Dataset Schema Specification</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160"/>
            <w:shd w:fill="1F4E79"/>
            <w:tcMar>
              <w:top w:w="100" w:type="dxa"/>
              <w:bottom w:w="100" w:type="dxa"/>
              <w:left w:w="150" w:type="dxa"/>
              <w:right w:w="150" w:type="dxa"/>
            </w:tcMar>
          </w:tcPr>
          <w:p>
            <w:pPr>
              <w:jc w:val="center"/>
            </w:pPr>
            <w:r>
              <w:rPr>
                <w:rFonts w:ascii="Calibri" w:hAnsi="Calibri"/>
                <w:b/>
                <w:color w:val="FFFFFF"/>
                <w:sz w:val="20"/>
              </w:rPr>
              <w:t>Field Name</w:t>
            </w:r>
          </w:p>
        </w:tc>
        <w:tc>
          <w:tcPr>
            <w:tcW w:type="dxa" w:w="1440"/>
            <w:shd w:fill="1F4E79"/>
            <w:tcMar>
              <w:top w:w="100" w:type="dxa"/>
              <w:bottom w:w="100" w:type="dxa"/>
              <w:left w:w="150" w:type="dxa"/>
              <w:right w:w="150" w:type="dxa"/>
            </w:tcMar>
          </w:tcPr>
          <w:p>
            <w:pPr>
              <w:jc w:val="center"/>
            </w:pPr>
            <w:r>
              <w:rPr>
                <w:rFonts w:ascii="Calibri" w:hAnsi="Calibri"/>
                <w:b/>
                <w:color w:val="FFFFFF"/>
                <w:sz w:val="20"/>
              </w:rPr>
              <w:t>Data Type</w:t>
            </w:r>
          </w:p>
        </w:tc>
        <w:tc>
          <w:tcPr>
            <w:tcW w:type="dxa" w:w="2160"/>
            <w:shd w:fill="1F4E79"/>
            <w:tcMar>
              <w:top w:w="100" w:type="dxa"/>
              <w:bottom w:w="100" w:type="dxa"/>
              <w:left w:w="150" w:type="dxa"/>
              <w:right w:w="150" w:type="dxa"/>
            </w:tcMar>
          </w:tcPr>
          <w:p>
            <w:pPr>
              <w:jc w:val="center"/>
            </w:pPr>
            <w:r>
              <w:rPr>
                <w:rFonts w:ascii="Calibri" w:hAnsi="Calibri"/>
                <w:b/>
                <w:color w:val="FFFFFF"/>
                <w:sz w:val="20"/>
              </w:rPr>
              <w:t>Unit / Format</w:t>
            </w:r>
          </w:p>
        </w:tc>
        <w:tc>
          <w:tcPr>
            <w:tcW w:type="dxa" w:w="4032"/>
            <w:shd w:fill="1F4E79"/>
            <w:tcMar>
              <w:top w:w="100" w:type="dxa"/>
              <w:bottom w:w="100" w:type="dxa"/>
              <w:left w:w="150" w:type="dxa"/>
              <w:right w:w="150" w:type="dxa"/>
            </w:tcMar>
          </w:tcPr>
          <w:p>
            <w:pPr>
              <w:jc w:val="center"/>
            </w:pPr>
            <w:r>
              <w:rPr>
                <w:rFonts w:ascii="Calibri" w:hAnsi="Calibri"/>
                <w:b/>
                <w:color w:val="FFFFFF"/>
                <w:sz w:val="20"/>
              </w:rPr>
              <w:t>Description</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Meter_ID</w:t>
            </w:r>
          </w:p>
        </w:tc>
        <w:tc>
          <w:tcPr>
            <w:tcW w:type="dxa" w:w="1440"/>
            <w:shd w:fill="F9FAFB"/>
            <w:tcMar>
              <w:top w:w="100" w:type="dxa"/>
              <w:bottom w:w="100" w:type="dxa"/>
              <w:left w:w="150" w:type="dxa"/>
              <w:right w:w="150" w:type="dxa"/>
            </w:tcMar>
          </w:tcPr>
          <w:p>
            <w:r>
              <w:rPr>
                <w:rFonts w:ascii="Calibri" w:hAnsi="Calibri"/>
                <w:color w:val="333333"/>
                <w:sz w:val="19"/>
              </w:rPr>
              <w:t>String</w:t>
            </w:r>
          </w:p>
        </w:tc>
        <w:tc>
          <w:tcPr>
            <w:tcW w:type="dxa" w:w="2160"/>
            <w:shd w:fill="F9FAFB"/>
            <w:tcMar>
              <w:top w:w="100" w:type="dxa"/>
              <w:bottom w:w="100" w:type="dxa"/>
              <w:left w:w="150" w:type="dxa"/>
              <w:right w:w="150" w:type="dxa"/>
            </w:tcMar>
          </w:tcPr>
          <w:p>
            <w:r>
              <w:rPr>
                <w:rFonts w:ascii="Calibri" w:hAnsi="Calibri"/>
                <w:color w:val="333333"/>
                <w:sz w:val="19"/>
              </w:rPr>
              <w:t>Alphanumeric (e.g., MTR_1001)</w:t>
            </w:r>
          </w:p>
        </w:tc>
        <w:tc>
          <w:tcPr>
            <w:tcW w:type="dxa" w:w="4032"/>
            <w:shd w:fill="F9FAFB"/>
            <w:tcMar>
              <w:top w:w="100" w:type="dxa"/>
              <w:bottom w:w="100" w:type="dxa"/>
              <w:left w:w="150" w:type="dxa"/>
              <w:right w:w="150" w:type="dxa"/>
            </w:tcMar>
          </w:tcPr>
          <w:p>
            <w:r>
              <w:rPr>
                <w:rFonts w:ascii="Calibri" w:hAnsi="Calibri"/>
                <w:color w:val="333333"/>
                <w:sz w:val="19"/>
              </w:rPr>
              <w:t>Unique identifier for the smart meter hardware unit</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Consumer_ID</w:t>
            </w:r>
          </w:p>
        </w:tc>
        <w:tc>
          <w:tcPr>
            <w:tcW w:type="dxa" w:w="1440"/>
            <w:shd w:fill="FFFFFF"/>
            <w:tcMar>
              <w:top w:w="100" w:type="dxa"/>
              <w:bottom w:w="100" w:type="dxa"/>
              <w:left w:w="150" w:type="dxa"/>
              <w:right w:w="150" w:type="dxa"/>
            </w:tcMar>
          </w:tcPr>
          <w:p>
            <w:r>
              <w:rPr>
                <w:rFonts w:ascii="Calibri" w:hAnsi="Calibri"/>
                <w:color w:val="333333"/>
                <w:sz w:val="19"/>
              </w:rPr>
              <w:t>String</w:t>
            </w:r>
          </w:p>
        </w:tc>
        <w:tc>
          <w:tcPr>
            <w:tcW w:type="dxa" w:w="2160"/>
            <w:shd w:fill="FFFFFF"/>
            <w:tcMar>
              <w:top w:w="100" w:type="dxa"/>
              <w:bottom w:w="100" w:type="dxa"/>
              <w:left w:w="150" w:type="dxa"/>
              <w:right w:w="150" w:type="dxa"/>
            </w:tcMar>
          </w:tcPr>
          <w:p>
            <w:r>
              <w:rPr>
                <w:rFonts w:ascii="Calibri" w:hAnsi="Calibri"/>
                <w:color w:val="333333"/>
                <w:sz w:val="19"/>
              </w:rPr>
              <w:t>Alphanumeric (e.g., CNS_4501)</w:t>
            </w:r>
          </w:p>
        </w:tc>
        <w:tc>
          <w:tcPr>
            <w:tcW w:type="dxa" w:w="4032"/>
            <w:shd w:fill="FFFFFF"/>
            <w:tcMar>
              <w:top w:w="100" w:type="dxa"/>
              <w:bottom w:w="100" w:type="dxa"/>
              <w:left w:w="150" w:type="dxa"/>
              <w:right w:w="150" w:type="dxa"/>
            </w:tcMar>
          </w:tcPr>
          <w:p>
            <w:r>
              <w:rPr>
                <w:rFonts w:ascii="Calibri" w:hAnsi="Calibri"/>
                <w:color w:val="333333"/>
                <w:sz w:val="19"/>
              </w:rPr>
              <w:t>Unique identifier for the consumer or building account</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Date</w:t>
            </w:r>
          </w:p>
        </w:tc>
        <w:tc>
          <w:tcPr>
            <w:tcW w:type="dxa" w:w="1440"/>
            <w:shd w:fill="F9FAFB"/>
            <w:tcMar>
              <w:top w:w="100" w:type="dxa"/>
              <w:bottom w:w="100" w:type="dxa"/>
              <w:left w:w="150" w:type="dxa"/>
              <w:right w:w="150" w:type="dxa"/>
            </w:tcMar>
          </w:tcPr>
          <w:p>
            <w:r>
              <w:rPr>
                <w:rFonts w:ascii="Calibri" w:hAnsi="Calibri"/>
                <w:color w:val="333333"/>
                <w:sz w:val="19"/>
              </w:rPr>
              <w:t>String</w:t>
            </w:r>
          </w:p>
        </w:tc>
        <w:tc>
          <w:tcPr>
            <w:tcW w:type="dxa" w:w="2160"/>
            <w:shd w:fill="F9FAFB"/>
            <w:tcMar>
              <w:top w:w="100" w:type="dxa"/>
              <w:bottom w:w="100" w:type="dxa"/>
              <w:left w:w="150" w:type="dxa"/>
              <w:right w:w="150" w:type="dxa"/>
            </w:tcMar>
          </w:tcPr>
          <w:p>
            <w:r>
              <w:rPr>
                <w:rFonts w:ascii="Calibri" w:hAnsi="Calibri"/>
                <w:color w:val="333333"/>
                <w:sz w:val="19"/>
              </w:rPr>
              <w:t>YYYY-MM-DD</w:t>
            </w:r>
          </w:p>
        </w:tc>
        <w:tc>
          <w:tcPr>
            <w:tcW w:type="dxa" w:w="4032"/>
            <w:shd w:fill="F9FAFB"/>
            <w:tcMar>
              <w:top w:w="100" w:type="dxa"/>
              <w:bottom w:w="100" w:type="dxa"/>
              <w:left w:w="150" w:type="dxa"/>
              <w:right w:w="150" w:type="dxa"/>
            </w:tcMar>
          </w:tcPr>
          <w:p>
            <w:r>
              <w:rPr>
                <w:rFonts w:ascii="Calibri" w:hAnsi="Calibri"/>
                <w:color w:val="333333"/>
                <w:sz w:val="19"/>
              </w:rPr>
              <w:t>Date of the recorded energy telemetry reading</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Time</w:t>
            </w:r>
          </w:p>
        </w:tc>
        <w:tc>
          <w:tcPr>
            <w:tcW w:type="dxa" w:w="1440"/>
            <w:shd w:fill="FFFFFF"/>
            <w:tcMar>
              <w:top w:w="100" w:type="dxa"/>
              <w:bottom w:w="100" w:type="dxa"/>
              <w:left w:w="150" w:type="dxa"/>
              <w:right w:w="150" w:type="dxa"/>
            </w:tcMar>
          </w:tcPr>
          <w:p>
            <w:r>
              <w:rPr>
                <w:rFonts w:ascii="Calibri" w:hAnsi="Calibri"/>
                <w:color w:val="333333"/>
                <w:sz w:val="19"/>
              </w:rPr>
              <w:t>String</w:t>
            </w:r>
          </w:p>
        </w:tc>
        <w:tc>
          <w:tcPr>
            <w:tcW w:type="dxa" w:w="2160"/>
            <w:shd w:fill="FFFFFF"/>
            <w:tcMar>
              <w:top w:w="100" w:type="dxa"/>
              <w:bottom w:w="100" w:type="dxa"/>
              <w:left w:w="150" w:type="dxa"/>
              <w:right w:w="150" w:type="dxa"/>
            </w:tcMar>
          </w:tcPr>
          <w:p>
            <w:r>
              <w:rPr>
                <w:rFonts w:ascii="Calibri" w:hAnsi="Calibri"/>
                <w:color w:val="333333"/>
                <w:sz w:val="19"/>
              </w:rPr>
              <w:t>HH:MM:SS</w:t>
            </w:r>
          </w:p>
        </w:tc>
        <w:tc>
          <w:tcPr>
            <w:tcW w:type="dxa" w:w="4032"/>
            <w:shd w:fill="FFFFFF"/>
            <w:tcMar>
              <w:top w:w="100" w:type="dxa"/>
              <w:bottom w:w="100" w:type="dxa"/>
              <w:left w:w="150" w:type="dxa"/>
              <w:right w:w="150" w:type="dxa"/>
            </w:tcMar>
          </w:tcPr>
          <w:p>
            <w:r>
              <w:rPr>
                <w:rFonts w:ascii="Calibri" w:hAnsi="Calibri"/>
                <w:color w:val="333333"/>
                <w:sz w:val="19"/>
              </w:rPr>
              <w:t>Timestamp of observation (24-hour format)</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Location_ID</w:t>
            </w:r>
          </w:p>
        </w:tc>
        <w:tc>
          <w:tcPr>
            <w:tcW w:type="dxa" w:w="1440"/>
            <w:shd w:fill="F9FAFB"/>
            <w:tcMar>
              <w:top w:w="100" w:type="dxa"/>
              <w:bottom w:w="100" w:type="dxa"/>
              <w:left w:w="150" w:type="dxa"/>
              <w:right w:w="150" w:type="dxa"/>
            </w:tcMar>
          </w:tcPr>
          <w:p>
            <w:r>
              <w:rPr>
                <w:rFonts w:ascii="Calibri" w:hAnsi="Calibri"/>
                <w:color w:val="333333"/>
                <w:sz w:val="19"/>
              </w:rPr>
              <w:t>String</w:t>
            </w:r>
          </w:p>
        </w:tc>
        <w:tc>
          <w:tcPr>
            <w:tcW w:type="dxa" w:w="2160"/>
            <w:shd w:fill="F9FAFB"/>
            <w:tcMar>
              <w:top w:w="100" w:type="dxa"/>
              <w:bottom w:w="100" w:type="dxa"/>
              <w:left w:w="150" w:type="dxa"/>
              <w:right w:w="150" w:type="dxa"/>
            </w:tcMar>
          </w:tcPr>
          <w:p>
            <w:r>
              <w:rPr>
                <w:rFonts w:ascii="Calibri" w:hAnsi="Calibri"/>
                <w:color w:val="333333"/>
                <w:sz w:val="19"/>
              </w:rPr>
              <w:t>Alphanumeric (e.g., LOC_RES_01)</w:t>
            </w:r>
          </w:p>
        </w:tc>
        <w:tc>
          <w:tcPr>
            <w:tcW w:type="dxa" w:w="4032"/>
            <w:shd w:fill="F9FAFB"/>
            <w:tcMar>
              <w:top w:w="100" w:type="dxa"/>
              <w:bottom w:w="100" w:type="dxa"/>
              <w:left w:w="150" w:type="dxa"/>
              <w:right w:w="150" w:type="dxa"/>
            </w:tcMar>
          </w:tcPr>
          <w:p>
            <w:r>
              <w:rPr>
                <w:rFonts w:ascii="Calibri" w:hAnsi="Calibri"/>
                <w:color w:val="333333"/>
                <w:sz w:val="19"/>
              </w:rPr>
              <w:t>Feeder, area, or substation location zone identifier</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Consumer_Type</w:t>
            </w:r>
          </w:p>
        </w:tc>
        <w:tc>
          <w:tcPr>
            <w:tcW w:type="dxa" w:w="1440"/>
            <w:shd w:fill="FFFFFF"/>
            <w:tcMar>
              <w:top w:w="100" w:type="dxa"/>
              <w:bottom w:w="100" w:type="dxa"/>
              <w:left w:w="150" w:type="dxa"/>
              <w:right w:w="150" w:type="dxa"/>
            </w:tcMar>
          </w:tcPr>
          <w:p>
            <w:r>
              <w:rPr>
                <w:rFonts w:ascii="Calibri" w:hAnsi="Calibri"/>
                <w:color w:val="333333"/>
                <w:sz w:val="19"/>
              </w:rPr>
              <w:t>String</w:t>
            </w:r>
          </w:p>
        </w:tc>
        <w:tc>
          <w:tcPr>
            <w:tcW w:type="dxa" w:w="2160"/>
            <w:shd w:fill="FFFFFF"/>
            <w:tcMar>
              <w:top w:w="100" w:type="dxa"/>
              <w:bottom w:w="100" w:type="dxa"/>
              <w:left w:w="150" w:type="dxa"/>
              <w:right w:w="150" w:type="dxa"/>
            </w:tcMar>
          </w:tcPr>
          <w:p>
            <w:r>
              <w:rPr>
                <w:rFonts w:ascii="Calibri" w:hAnsi="Calibri"/>
                <w:color w:val="333333"/>
                <w:sz w:val="19"/>
              </w:rPr>
              <w:t>Categorical</w:t>
            </w:r>
          </w:p>
        </w:tc>
        <w:tc>
          <w:tcPr>
            <w:tcW w:type="dxa" w:w="4032"/>
            <w:shd w:fill="FFFFFF"/>
            <w:tcMar>
              <w:top w:w="100" w:type="dxa"/>
              <w:bottom w:w="100" w:type="dxa"/>
              <w:left w:w="150" w:type="dxa"/>
              <w:right w:w="150" w:type="dxa"/>
            </w:tcMar>
          </w:tcPr>
          <w:p>
            <w:r>
              <w:rPr>
                <w:rFonts w:ascii="Calibri" w:hAnsi="Calibri"/>
                <w:color w:val="333333"/>
                <w:sz w:val="19"/>
              </w:rPr>
              <w:t>Consumer category: Residential, Commercial, or Industrial</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Appliance_Category</w:t>
            </w:r>
          </w:p>
        </w:tc>
        <w:tc>
          <w:tcPr>
            <w:tcW w:type="dxa" w:w="1440"/>
            <w:shd w:fill="F9FAFB"/>
            <w:tcMar>
              <w:top w:w="100" w:type="dxa"/>
              <w:bottom w:w="100" w:type="dxa"/>
              <w:left w:w="150" w:type="dxa"/>
              <w:right w:w="150" w:type="dxa"/>
            </w:tcMar>
          </w:tcPr>
          <w:p>
            <w:r>
              <w:rPr>
                <w:rFonts w:ascii="Calibri" w:hAnsi="Calibri"/>
                <w:color w:val="333333"/>
                <w:sz w:val="19"/>
              </w:rPr>
              <w:t>String</w:t>
            </w:r>
          </w:p>
        </w:tc>
        <w:tc>
          <w:tcPr>
            <w:tcW w:type="dxa" w:w="2160"/>
            <w:shd w:fill="F9FAFB"/>
            <w:tcMar>
              <w:top w:w="100" w:type="dxa"/>
              <w:bottom w:w="100" w:type="dxa"/>
              <w:left w:w="150" w:type="dxa"/>
              <w:right w:w="150" w:type="dxa"/>
            </w:tcMar>
          </w:tcPr>
          <w:p>
            <w:r>
              <w:rPr>
                <w:rFonts w:ascii="Calibri" w:hAnsi="Calibri"/>
                <w:color w:val="333333"/>
                <w:sz w:val="19"/>
              </w:rPr>
              <w:t>Categorical</w:t>
            </w:r>
          </w:p>
        </w:tc>
        <w:tc>
          <w:tcPr>
            <w:tcW w:type="dxa" w:w="4032"/>
            <w:shd w:fill="F9FAFB"/>
            <w:tcMar>
              <w:top w:w="100" w:type="dxa"/>
              <w:bottom w:w="100" w:type="dxa"/>
              <w:left w:w="150" w:type="dxa"/>
              <w:right w:w="150" w:type="dxa"/>
            </w:tcMar>
          </w:tcPr>
          <w:p>
            <w:r>
              <w:rPr>
                <w:rFonts w:ascii="Calibri" w:hAnsi="Calibri"/>
                <w:color w:val="333333"/>
                <w:sz w:val="19"/>
              </w:rPr>
              <w:t>Primary appliance load: HVAC, Lighting, Refrigeration, Industrial, Computing</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Energy_Consumption</w:t>
            </w:r>
          </w:p>
        </w:tc>
        <w:tc>
          <w:tcPr>
            <w:tcW w:type="dxa" w:w="1440"/>
            <w:shd w:fill="FFFFFF"/>
            <w:tcMar>
              <w:top w:w="100" w:type="dxa"/>
              <w:bottom w:w="100" w:type="dxa"/>
              <w:left w:w="150" w:type="dxa"/>
              <w:right w:w="150" w:type="dxa"/>
            </w:tcMar>
          </w:tcPr>
          <w:p>
            <w:r>
              <w:rPr>
                <w:rFonts w:ascii="Calibri" w:hAnsi="Calibri"/>
                <w:color w:val="333333"/>
                <w:sz w:val="19"/>
              </w:rPr>
              <w:t>Double</w:t>
            </w:r>
          </w:p>
        </w:tc>
        <w:tc>
          <w:tcPr>
            <w:tcW w:type="dxa" w:w="2160"/>
            <w:shd w:fill="FFFFFF"/>
            <w:tcMar>
              <w:top w:w="100" w:type="dxa"/>
              <w:bottom w:w="100" w:type="dxa"/>
              <w:left w:w="150" w:type="dxa"/>
              <w:right w:w="150" w:type="dxa"/>
            </w:tcMar>
          </w:tcPr>
          <w:p>
            <w:r>
              <w:rPr>
                <w:rFonts w:ascii="Calibri" w:hAnsi="Calibri"/>
                <w:color w:val="333333"/>
                <w:sz w:val="19"/>
              </w:rPr>
              <w:t>kWh</w:t>
            </w:r>
          </w:p>
        </w:tc>
        <w:tc>
          <w:tcPr>
            <w:tcW w:type="dxa" w:w="4032"/>
            <w:shd w:fill="FFFFFF"/>
            <w:tcMar>
              <w:top w:w="100" w:type="dxa"/>
              <w:bottom w:w="100" w:type="dxa"/>
              <w:left w:w="150" w:type="dxa"/>
              <w:right w:w="150" w:type="dxa"/>
            </w:tcMar>
          </w:tcPr>
          <w:p>
            <w:r>
              <w:rPr>
                <w:rFonts w:ascii="Calibri" w:hAnsi="Calibri"/>
                <w:color w:val="333333"/>
                <w:sz w:val="19"/>
              </w:rPr>
              <w:t>Active energy consumed during the reading interval</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Voltage</w:t>
            </w:r>
          </w:p>
        </w:tc>
        <w:tc>
          <w:tcPr>
            <w:tcW w:type="dxa" w:w="1440"/>
            <w:shd w:fill="F9FAFB"/>
            <w:tcMar>
              <w:top w:w="100" w:type="dxa"/>
              <w:bottom w:w="100" w:type="dxa"/>
              <w:left w:w="150" w:type="dxa"/>
              <w:right w:w="150" w:type="dxa"/>
            </w:tcMar>
          </w:tcPr>
          <w:p>
            <w:r>
              <w:rPr>
                <w:rFonts w:ascii="Calibri" w:hAnsi="Calibri"/>
                <w:color w:val="333333"/>
                <w:sz w:val="19"/>
              </w:rPr>
              <w:t>Double</w:t>
            </w:r>
          </w:p>
        </w:tc>
        <w:tc>
          <w:tcPr>
            <w:tcW w:type="dxa" w:w="2160"/>
            <w:shd w:fill="F9FAFB"/>
            <w:tcMar>
              <w:top w:w="100" w:type="dxa"/>
              <w:bottom w:w="100" w:type="dxa"/>
              <w:left w:w="150" w:type="dxa"/>
              <w:right w:w="150" w:type="dxa"/>
            </w:tcMar>
          </w:tcPr>
          <w:p>
            <w:r>
              <w:rPr>
                <w:rFonts w:ascii="Calibri" w:hAnsi="Calibri"/>
                <w:color w:val="333333"/>
                <w:sz w:val="19"/>
              </w:rPr>
              <w:t>Volts (V)</w:t>
            </w:r>
          </w:p>
        </w:tc>
        <w:tc>
          <w:tcPr>
            <w:tcW w:type="dxa" w:w="4032"/>
            <w:shd w:fill="F9FAFB"/>
            <w:tcMar>
              <w:top w:w="100" w:type="dxa"/>
              <w:bottom w:w="100" w:type="dxa"/>
              <w:left w:w="150" w:type="dxa"/>
              <w:right w:w="150" w:type="dxa"/>
            </w:tcMar>
          </w:tcPr>
          <w:p>
            <w:r>
              <w:rPr>
                <w:rFonts w:ascii="Calibri" w:hAnsi="Calibri"/>
                <w:color w:val="333333"/>
                <w:sz w:val="19"/>
              </w:rPr>
              <w:t>Measured grid line voltage (Nominal: 230V / 415V)</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Current</w:t>
            </w:r>
          </w:p>
        </w:tc>
        <w:tc>
          <w:tcPr>
            <w:tcW w:type="dxa" w:w="1440"/>
            <w:shd w:fill="FFFFFF"/>
            <w:tcMar>
              <w:top w:w="100" w:type="dxa"/>
              <w:bottom w:w="100" w:type="dxa"/>
              <w:left w:w="150" w:type="dxa"/>
              <w:right w:w="150" w:type="dxa"/>
            </w:tcMar>
          </w:tcPr>
          <w:p>
            <w:r>
              <w:rPr>
                <w:rFonts w:ascii="Calibri" w:hAnsi="Calibri"/>
                <w:color w:val="333333"/>
                <w:sz w:val="19"/>
              </w:rPr>
              <w:t>Double</w:t>
            </w:r>
          </w:p>
        </w:tc>
        <w:tc>
          <w:tcPr>
            <w:tcW w:type="dxa" w:w="2160"/>
            <w:shd w:fill="FFFFFF"/>
            <w:tcMar>
              <w:top w:w="100" w:type="dxa"/>
              <w:bottom w:w="100" w:type="dxa"/>
              <w:left w:w="150" w:type="dxa"/>
              <w:right w:w="150" w:type="dxa"/>
            </w:tcMar>
          </w:tcPr>
          <w:p>
            <w:r>
              <w:rPr>
                <w:rFonts w:ascii="Calibri" w:hAnsi="Calibri"/>
                <w:color w:val="333333"/>
                <w:sz w:val="19"/>
              </w:rPr>
              <w:t>Amperes (A)</w:t>
            </w:r>
          </w:p>
        </w:tc>
        <w:tc>
          <w:tcPr>
            <w:tcW w:type="dxa" w:w="4032"/>
            <w:shd w:fill="FFFFFF"/>
            <w:tcMar>
              <w:top w:w="100" w:type="dxa"/>
              <w:bottom w:w="100" w:type="dxa"/>
              <w:left w:w="150" w:type="dxa"/>
              <w:right w:w="150" w:type="dxa"/>
            </w:tcMar>
          </w:tcPr>
          <w:p>
            <w:r>
              <w:rPr>
                <w:rFonts w:ascii="Calibri" w:hAnsi="Calibri"/>
                <w:color w:val="333333"/>
                <w:sz w:val="19"/>
              </w:rPr>
              <w:t>Measured grid current draw</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Power_Factor</w:t>
            </w:r>
          </w:p>
        </w:tc>
        <w:tc>
          <w:tcPr>
            <w:tcW w:type="dxa" w:w="1440"/>
            <w:shd w:fill="F9FAFB"/>
            <w:tcMar>
              <w:top w:w="100" w:type="dxa"/>
              <w:bottom w:w="100" w:type="dxa"/>
              <w:left w:w="150" w:type="dxa"/>
              <w:right w:w="150" w:type="dxa"/>
            </w:tcMar>
          </w:tcPr>
          <w:p>
            <w:r>
              <w:rPr>
                <w:rFonts w:ascii="Calibri" w:hAnsi="Calibri"/>
                <w:color w:val="333333"/>
                <w:sz w:val="19"/>
              </w:rPr>
              <w:t>Double</w:t>
            </w:r>
          </w:p>
        </w:tc>
        <w:tc>
          <w:tcPr>
            <w:tcW w:type="dxa" w:w="2160"/>
            <w:shd w:fill="F9FAFB"/>
            <w:tcMar>
              <w:top w:w="100" w:type="dxa"/>
              <w:bottom w:w="100" w:type="dxa"/>
              <w:left w:w="150" w:type="dxa"/>
              <w:right w:w="150" w:type="dxa"/>
            </w:tcMar>
          </w:tcPr>
          <w:p>
            <w:r>
              <w:rPr>
                <w:rFonts w:ascii="Calibri" w:hAnsi="Calibri"/>
                <w:color w:val="333333"/>
                <w:sz w:val="19"/>
              </w:rPr>
              <w:t>Ratio (0.00 – 1.00)</w:t>
            </w:r>
          </w:p>
        </w:tc>
        <w:tc>
          <w:tcPr>
            <w:tcW w:type="dxa" w:w="4032"/>
            <w:shd w:fill="F9FAFB"/>
            <w:tcMar>
              <w:top w:w="100" w:type="dxa"/>
              <w:bottom w:w="100" w:type="dxa"/>
              <w:left w:w="150" w:type="dxa"/>
              <w:right w:w="150" w:type="dxa"/>
            </w:tcMar>
          </w:tcPr>
          <w:p>
            <w:r>
              <w:rPr>
                <w:rFonts w:ascii="Calibri" w:hAnsi="Calibri"/>
                <w:color w:val="333333"/>
                <w:sz w:val="19"/>
              </w:rPr>
              <w:t>Ratio of real power to apparent power (grid efficiency metric)</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Tariff_Period</w:t>
            </w:r>
          </w:p>
        </w:tc>
        <w:tc>
          <w:tcPr>
            <w:tcW w:type="dxa" w:w="1440"/>
            <w:shd w:fill="FFFFFF"/>
            <w:tcMar>
              <w:top w:w="100" w:type="dxa"/>
              <w:bottom w:w="100" w:type="dxa"/>
              <w:left w:w="150" w:type="dxa"/>
              <w:right w:w="150" w:type="dxa"/>
            </w:tcMar>
          </w:tcPr>
          <w:p>
            <w:r>
              <w:rPr>
                <w:rFonts w:ascii="Calibri" w:hAnsi="Calibri"/>
                <w:color w:val="333333"/>
                <w:sz w:val="19"/>
              </w:rPr>
              <w:t>String</w:t>
            </w:r>
          </w:p>
        </w:tc>
        <w:tc>
          <w:tcPr>
            <w:tcW w:type="dxa" w:w="2160"/>
            <w:shd w:fill="FFFFFF"/>
            <w:tcMar>
              <w:top w:w="100" w:type="dxa"/>
              <w:bottom w:w="100" w:type="dxa"/>
              <w:left w:w="150" w:type="dxa"/>
              <w:right w:w="150" w:type="dxa"/>
            </w:tcMar>
          </w:tcPr>
          <w:p>
            <w:r>
              <w:rPr>
                <w:rFonts w:ascii="Calibri" w:hAnsi="Calibri"/>
                <w:color w:val="333333"/>
                <w:sz w:val="19"/>
              </w:rPr>
              <w:t>Categorical</w:t>
            </w:r>
          </w:p>
        </w:tc>
        <w:tc>
          <w:tcPr>
            <w:tcW w:type="dxa" w:w="4032"/>
            <w:shd w:fill="FFFFFF"/>
            <w:tcMar>
              <w:top w:w="100" w:type="dxa"/>
              <w:bottom w:w="100" w:type="dxa"/>
              <w:left w:w="150" w:type="dxa"/>
              <w:right w:w="150" w:type="dxa"/>
            </w:tcMar>
          </w:tcPr>
          <w:p>
            <w:r>
              <w:rPr>
                <w:rFonts w:ascii="Calibri" w:hAnsi="Calibri"/>
                <w:color w:val="333333"/>
                <w:sz w:val="19"/>
              </w:rPr>
              <w:t>Billing tariff window: Peak, Off-Peak, or Normal</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Renewable_Generation</w:t>
            </w:r>
          </w:p>
        </w:tc>
        <w:tc>
          <w:tcPr>
            <w:tcW w:type="dxa" w:w="1440"/>
            <w:shd w:fill="F9FAFB"/>
            <w:tcMar>
              <w:top w:w="100" w:type="dxa"/>
              <w:bottom w:w="100" w:type="dxa"/>
              <w:left w:w="150" w:type="dxa"/>
              <w:right w:w="150" w:type="dxa"/>
            </w:tcMar>
          </w:tcPr>
          <w:p>
            <w:r>
              <w:rPr>
                <w:rFonts w:ascii="Calibri" w:hAnsi="Calibri"/>
                <w:color w:val="333333"/>
                <w:sz w:val="19"/>
              </w:rPr>
              <w:t>Double</w:t>
            </w:r>
          </w:p>
        </w:tc>
        <w:tc>
          <w:tcPr>
            <w:tcW w:type="dxa" w:w="2160"/>
            <w:shd w:fill="F9FAFB"/>
            <w:tcMar>
              <w:top w:w="100" w:type="dxa"/>
              <w:bottom w:w="100" w:type="dxa"/>
              <w:left w:w="150" w:type="dxa"/>
              <w:right w:w="150" w:type="dxa"/>
            </w:tcMar>
          </w:tcPr>
          <w:p>
            <w:r>
              <w:rPr>
                <w:rFonts w:ascii="Calibri" w:hAnsi="Calibri"/>
                <w:color w:val="333333"/>
                <w:sz w:val="19"/>
              </w:rPr>
              <w:t>kWh</w:t>
            </w:r>
          </w:p>
        </w:tc>
        <w:tc>
          <w:tcPr>
            <w:tcW w:type="dxa" w:w="4032"/>
            <w:shd w:fill="F9FAFB"/>
            <w:tcMar>
              <w:top w:w="100" w:type="dxa"/>
              <w:bottom w:w="100" w:type="dxa"/>
              <w:left w:w="150" w:type="dxa"/>
              <w:right w:w="150" w:type="dxa"/>
            </w:tcMar>
          </w:tcPr>
          <w:p>
            <w:r>
              <w:rPr>
                <w:rFonts w:ascii="Calibri" w:hAnsi="Calibri"/>
                <w:color w:val="333333"/>
                <w:sz w:val="19"/>
              </w:rPr>
              <w:t>Co-located solar/wind renewable energy generated</w:t>
            </w:r>
          </w:p>
        </w:tc>
      </w:tr>
    </w:tbl>
    <w:p/>
    <w:p>
      <w:pPr>
        <w:keepNext/>
        <w:spacing w:before="240" w:after="80"/>
      </w:pPr>
      <w:r>
        <w:rPr>
          <w:rFonts w:ascii="Calibri" w:hAnsi="Calibri"/>
          <w:b/>
          <w:color w:val="2E75B6"/>
          <w:sz w:val="26"/>
        </w:rPr>
        <w:t>Sample Dataset Representation</w:t>
      </w:r>
    </w:p>
    <w:p>
      <w:pPr>
        <w:spacing w:before="0" w:after="80" w:line="276" w:lineRule="auto"/>
      </w:pPr>
      <w:r>
        <w:rPr>
          <w:rFonts w:ascii="Calibri" w:hAnsi="Calibri"/>
          <w:color w:val="333333"/>
          <w:sz w:val="22"/>
        </w:rPr>
        <w:t>Below is a representative sample snippet of the synthetic dataset containing 5 records demonstrating diverse consumer types, tariff periods, and electrical parameters: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440"/>
            <w:shd w:fill="1F4E79"/>
            <w:tcMar>
              <w:top w:w="100" w:type="dxa"/>
              <w:bottom w:w="100" w:type="dxa"/>
              <w:left w:w="150" w:type="dxa"/>
              <w:right w:w="150" w:type="dxa"/>
            </w:tcMar>
          </w:tcPr>
          <w:p>
            <w:pPr>
              <w:jc w:val="center"/>
            </w:pPr>
            <w:r>
              <w:rPr>
                <w:rFonts w:ascii="Calibri" w:hAnsi="Calibri"/>
                <w:b/>
                <w:color w:val="FFFFFF"/>
                <w:sz w:val="20"/>
              </w:rPr>
              <w:t>Meter_ID</w:t>
            </w:r>
          </w:p>
        </w:tc>
        <w:tc>
          <w:tcPr>
            <w:tcW w:type="dxa" w:w="1440"/>
            <w:shd w:fill="1F4E79"/>
            <w:tcMar>
              <w:top w:w="100" w:type="dxa"/>
              <w:bottom w:w="100" w:type="dxa"/>
              <w:left w:w="150" w:type="dxa"/>
              <w:right w:w="150" w:type="dxa"/>
            </w:tcMar>
          </w:tcPr>
          <w:p>
            <w:pPr>
              <w:jc w:val="center"/>
            </w:pPr>
            <w:r>
              <w:rPr>
                <w:rFonts w:ascii="Calibri" w:hAnsi="Calibri"/>
                <w:b/>
                <w:color w:val="FFFFFF"/>
                <w:sz w:val="20"/>
              </w:rPr>
              <w:t>Consumer_ID</w:t>
            </w:r>
          </w:p>
        </w:tc>
        <w:tc>
          <w:tcPr>
            <w:tcW w:type="dxa" w:w="1728"/>
            <w:shd w:fill="1F4E79"/>
            <w:tcMar>
              <w:top w:w="100" w:type="dxa"/>
              <w:bottom w:w="100" w:type="dxa"/>
              <w:left w:w="150" w:type="dxa"/>
              <w:right w:w="150" w:type="dxa"/>
            </w:tcMar>
          </w:tcPr>
          <w:p>
            <w:pPr>
              <w:jc w:val="center"/>
            </w:pPr>
            <w:r>
              <w:rPr>
                <w:rFonts w:ascii="Calibri" w:hAnsi="Calibri"/>
                <w:b/>
                <w:color w:val="FFFFFF"/>
                <w:sz w:val="20"/>
              </w:rPr>
              <w:t>Location_ID</w:t>
            </w:r>
          </w:p>
        </w:tc>
        <w:tc>
          <w:tcPr>
            <w:tcW w:type="dxa" w:w="1584"/>
            <w:shd w:fill="1F4E79"/>
            <w:tcMar>
              <w:top w:w="100" w:type="dxa"/>
              <w:bottom w:w="100" w:type="dxa"/>
              <w:left w:w="150" w:type="dxa"/>
              <w:right w:w="150" w:type="dxa"/>
            </w:tcMar>
          </w:tcPr>
          <w:p>
            <w:pPr>
              <w:jc w:val="center"/>
            </w:pPr>
            <w:r>
              <w:rPr>
                <w:rFonts w:ascii="Calibri" w:hAnsi="Calibri"/>
                <w:b/>
                <w:color w:val="FFFFFF"/>
                <w:sz w:val="20"/>
              </w:rPr>
              <w:t>Type</w:t>
            </w:r>
          </w:p>
        </w:tc>
        <w:tc>
          <w:tcPr>
            <w:tcW w:type="dxa" w:w="1440"/>
            <w:shd w:fill="1F4E79"/>
            <w:tcMar>
              <w:top w:w="100" w:type="dxa"/>
              <w:bottom w:w="100" w:type="dxa"/>
              <w:left w:w="150" w:type="dxa"/>
              <w:right w:w="150" w:type="dxa"/>
            </w:tcMar>
          </w:tcPr>
          <w:p>
            <w:pPr>
              <w:jc w:val="center"/>
            </w:pPr>
            <w:r>
              <w:rPr>
                <w:rFonts w:ascii="Calibri" w:hAnsi="Calibri"/>
                <w:b/>
                <w:color w:val="FFFFFF"/>
                <w:sz w:val="20"/>
              </w:rPr>
              <w:t>Energy (kWh)</w:t>
            </w:r>
          </w:p>
        </w:tc>
        <w:tc>
          <w:tcPr>
            <w:tcW w:type="dxa" w:w="864"/>
            <w:shd w:fill="1F4E79"/>
            <w:tcMar>
              <w:top w:w="100" w:type="dxa"/>
              <w:bottom w:w="100" w:type="dxa"/>
              <w:left w:w="150" w:type="dxa"/>
              <w:right w:w="150" w:type="dxa"/>
            </w:tcMar>
          </w:tcPr>
          <w:p>
            <w:pPr>
              <w:jc w:val="center"/>
            </w:pPr>
            <w:r>
              <w:rPr>
                <w:rFonts w:ascii="Calibri" w:hAnsi="Calibri"/>
                <w:b/>
                <w:color w:val="FFFFFF"/>
                <w:sz w:val="20"/>
              </w:rPr>
              <w:t>PF</w:t>
            </w:r>
          </w:p>
        </w:tc>
        <w:tc>
          <w:tcPr>
            <w:tcW w:type="dxa" w:w="1296"/>
            <w:shd w:fill="1F4E79"/>
            <w:tcMar>
              <w:top w:w="100" w:type="dxa"/>
              <w:bottom w:w="100" w:type="dxa"/>
              <w:left w:w="150" w:type="dxa"/>
              <w:right w:w="150" w:type="dxa"/>
            </w:tcMar>
          </w:tcPr>
          <w:p>
            <w:pPr>
              <w:jc w:val="center"/>
            </w:pPr>
            <w:r>
              <w:rPr>
                <w:rFonts w:ascii="Calibri" w:hAnsi="Calibri"/>
                <w:b/>
                <w:color w:val="FFFFFF"/>
                <w:sz w:val="20"/>
              </w:rPr>
              <w:t>Tariff</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MTR_1001</w:t>
            </w:r>
          </w:p>
        </w:tc>
        <w:tc>
          <w:tcPr>
            <w:tcW w:type="dxa" w:w="1440"/>
            <w:shd w:fill="F9FAFB"/>
            <w:tcMar>
              <w:top w:w="100" w:type="dxa"/>
              <w:bottom w:w="100" w:type="dxa"/>
              <w:left w:w="150" w:type="dxa"/>
              <w:right w:w="150" w:type="dxa"/>
            </w:tcMar>
          </w:tcPr>
          <w:p>
            <w:r>
              <w:rPr>
                <w:rFonts w:ascii="Calibri" w:hAnsi="Calibri"/>
                <w:color w:val="333333"/>
                <w:sz w:val="19"/>
              </w:rPr>
              <w:t>CNS_101</w:t>
            </w:r>
          </w:p>
        </w:tc>
        <w:tc>
          <w:tcPr>
            <w:tcW w:type="dxa" w:w="1728"/>
            <w:shd w:fill="F9FAFB"/>
            <w:tcMar>
              <w:top w:w="100" w:type="dxa"/>
              <w:bottom w:w="100" w:type="dxa"/>
              <w:left w:w="150" w:type="dxa"/>
              <w:right w:w="150" w:type="dxa"/>
            </w:tcMar>
          </w:tcPr>
          <w:p>
            <w:r>
              <w:rPr>
                <w:rFonts w:ascii="Calibri" w:hAnsi="Calibri"/>
                <w:color w:val="333333"/>
                <w:sz w:val="19"/>
              </w:rPr>
              <w:t>LOC_RES_01</w:t>
            </w:r>
          </w:p>
        </w:tc>
        <w:tc>
          <w:tcPr>
            <w:tcW w:type="dxa" w:w="1584"/>
            <w:shd w:fill="F9FAFB"/>
            <w:tcMar>
              <w:top w:w="100" w:type="dxa"/>
              <w:bottom w:w="100" w:type="dxa"/>
              <w:left w:w="150" w:type="dxa"/>
              <w:right w:w="150" w:type="dxa"/>
            </w:tcMar>
          </w:tcPr>
          <w:p>
            <w:r>
              <w:rPr>
                <w:rFonts w:ascii="Calibri" w:hAnsi="Calibri"/>
                <w:color w:val="333333"/>
                <w:sz w:val="19"/>
              </w:rPr>
              <w:t>Residential</w:t>
            </w:r>
          </w:p>
        </w:tc>
        <w:tc>
          <w:tcPr>
            <w:tcW w:type="dxa" w:w="1440"/>
            <w:shd w:fill="F9FAFB"/>
            <w:tcMar>
              <w:top w:w="100" w:type="dxa"/>
              <w:bottom w:w="100" w:type="dxa"/>
              <w:left w:w="150" w:type="dxa"/>
              <w:right w:w="150" w:type="dxa"/>
            </w:tcMar>
          </w:tcPr>
          <w:p>
            <w:r>
              <w:rPr>
                <w:rFonts w:ascii="Calibri" w:hAnsi="Calibri"/>
                <w:color w:val="333333"/>
                <w:sz w:val="19"/>
              </w:rPr>
              <w:t>4.25</w:t>
            </w:r>
          </w:p>
        </w:tc>
        <w:tc>
          <w:tcPr>
            <w:tcW w:type="dxa" w:w="864"/>
            <w:shd w:fill="F9FAFB"/>
            <w:tcMar>
              <w:top w:w="100" w:type="dxa"/>
              <w:bottom w:w="100" w:type="dxa"/>
              <w:left w:w="150" w:type="dxa"/>
              <w:right w:w="150" w:type="dxa"/>
            </w:tcMar>
          </w:tcPr>
          <w:p>
            <w:r>
              <w:rPr>
                <w:rFonts w:ascii="Calibri" w:hAnsi="Calibri"/>
                <w:color w:val="333333"/>
                <w:sz w:val="19"/>
              </w:rPr>
              <w:t>0.95</w:t>
            </w:r>
          </w:p>
        </w:tc>
        <w:tc>
          <w:tcPr>
            <w:tcW w:type="dxa" w:w="1296"/>
            <w:shd w:fill="F9FAFB"/>
            <w:tcMar>
              <w:top w:w="100" w:type="dxa"/>
              <w:bottom w:w="100" w:type="dxa"/>
              <w:left w:w="150" w:type="dxa"/>
              <w:right w:w="150" w:type="dxa"/>
            </w:tcMar>
          </w:tcPr>
          <w:p>
            <w:r>
              <w:rPr>
                <w:rFonts w:ascii="Calibri" w:hAnsi="Calibri"/>
                <w:color w:val="333333"/>
                <w:sz w:val="19"/>
              </w:rPr>
              <w:t>Peak</w:t>
            </w:r>
          </w:p>
        </w:tc>
      </w:tr>
      <w:tr>
        <w:trPr>
          <w:cantSplit/>
        </w:trPr>
        <w:tc>
          <w:tcPr>
            <w:tcW w:type="dxa" w:w="1440"/>
            <w:shd w:fill="FFFFFF"/>
            <w:tcMar>
              <w:top w:w="100" w:type="dxa"/>
              <w:bottom w:w="100" w:type="dxa"/>
              <w:left w:w="150" w:type="dxa"/>
              <w:right w:w="150" w:type="dxa"/>
            </w:tcMar>
          </w:tcPr>
          <w:p>
            <w:r>
              <w:rPr>
                <w:rFonts w:ascii="Calibri" w:hAnsi="Calibri"/>
                <w:color w:val="333333"/>
                <w:sz w:val="19"/>
              </w:rPr>
              <w:t>MTR_1002</w:t>
            </w:r>
          </w:p>
        </w:tc>
        <w:tc>
          <w:tcPr>
            <w:tcW w:type="dxa" w:w="1440"/>
            <w:shd w:fill="FFFFFF"/>
            <w:tcMar>
              <w:top w:w="100" w:type="dxa"/>
              <w:bottom w:w="100" w:type="dxa"/>
              <w:left w:w="150" w:type="dxa"/>
              <w:right w:w="150" w:type="dxa"/>
            </w:tcMar>
          </w:tcPr>
          <w:p>
            <w:r>
              <w:rPr>
                <w:rFonts w:ascii="Calibri" w:hAnsi="Calibri"/>
                <w:color w:val="333333"/>
                <w:sz w:val="19"/>
              </w:rPr>
              <w:t>CNS_205</w:t>
            </w:r>
          </w:p>
        </w:tc>
        <w:tc>
          <w:tcPr>
            <w:tcW w:type="dxa" w:w="1728"/>
            <w:shd w:fill="FFFFFF"/>
            <w:tcMar>
              <w:top w:w="100" w:type="dxa"/>
              <w:bottom w:w="100" w:type="dxa"/>
              <w:left w:w="150" w:type="dxa"/>
              <w:right w:w="150" w:type="dxa"/>
            </w:tcMar>
          </w:tcPr>
          <w:p>
            <w:r>
              <w:rPr>
                <w:rFonts w:ascii="Calibri" w:hAnsi="Calibri"/>
                <w:color w:val="333333"/>
                <w:sz w:val="19"/>
              </w:rPr>
              <w:t>LOC_COM_02</w:t>
            </w:r>
          </w:p>
        </w:tc>
        <w:tc>
          <w:tcPr>
            <w:tcW w:type="dxa" w:w="1584"/>
            <w:shd w:fill="FFFFFF"/>
            <w:tcMar>
              <w:top w:w="100" w:type="dxa"/>
              <w:bottom w:w="100" w:type="dxa"/>
              <w:left w:w="150" w:type="dxa"/>
              <w:right w:w="150" w:type="dxa"/>
            </w:tcMar>
          </w:tcPr>
          <w:p>
            <w:r>
              <w:rPr>
                <w:rFonts w:ascii="Calibri" w:hAnsi="Calibri"/>
                <w:color w:val="333333"/>
                <w:sz w:val="19"/>
              </w:rPr>
              <w:t>Commercial</w:t>
            </w:r>
          </w:p>
        </w:tc>
        <w:tc>
          <w:tcPr>
            <w:tcW w:type="dxa" w:w="1440"/>
            <w:shd w:fill="FFFFFF"/>
            <w:tcMar>
              <w:top w:w="100" w:type="dxa"/>
              <w:bottom w:w="100" w:type="dxa"/>
              <w:left w:w="150" w:type="dxa"/>
              <w:right w:w="150" w:type="dxa"/>
            </w:tcMar>
          </w:tcPr>
          <w:p>
            <w:r>
              <w:rPr>
                <w:rFonts w:ascii="Calibri" w:hAnsi="Calibri"/>
                <w:color w:val="333333"/>
                <w:sz w:val="19"/>
              </w:rPr>
              <w:t>18.50</w:t>
            </w:r>
          </w:p>
        </w:tc>
        <w:tc>
          <w:tcPr>
            <w:tcW w:type="dxa" w:w="864"/>
            <w:shd w:fill="FFFFFF"/>
            <w:tcMar>
              <w:top w:w="100" w:type="dxa"/>
              <w:bottom w:w="100" w:type="dxa"/>
              <w:left w:w="150" w:type="dxa"/>
              <w:right w:w="150" w:type="dxa"/>
            </w:tcMar>
          </w:tcPr>
          <w:p>
            <w:r>
              <w:rPr>
                <w:rFonts w:ascii="Calibri" w:hAnsi="Calibri"/>
                <w:color w:val="333333"/>
                <w:sz w:val="19"/>
              </w:rPr>
              <w:t>0.91</w:t>
            </w:r>
          </w:p>
        </w:tc>
        <w:tc>
          <w:tcPr>
            <w:tcW w:type="dxa" w:w="1296"/>
            <w:shd w:fill="FFFFFF"/>
            <w:tcMar>
              <w:top w:w="100" w:type="dxa"/>
              <w:bottom w:w="100" w:type="dxa"/>
              <w:left w:w="150" w:type="dxa"/>
              <w:right w:w="150" w:type="dxa"/>
            </w:tcMar>
          </w:tcPr>
          <w:p>
            <w:r>
              <w:rPr>
                <w:rFonts w:ascii="Calibri" w:hAnsi="Calibri"/>
                <w:color w:val="333333"/>
                <w:sz w:val="19"/>
              </w:rPr>
              <w:t>Normal</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MTR_1003</w:t>
            </w:r>
          </w:p>
        </w:tc>
        <w:tc>
          <w:tcPr>
            <w:tcW w:type="dxa" w:w="1440"/>
            <w:shd w:fill="F9FAFB"/>
            <w:tcMar>
              <w:top w:w="100" w:type="dxa"/>
              <w:bottom w:w="100" w:type="dxa"/>
              <w:left w:w="150" w:type="dxa"/>
              <w:right w:w="150" w:type="dxa"/>
            </w:tcMar>
          </w:tcPr>
          <w:p>
            <w:r>
              <w:rPr>
                <w:rFonts w:ascii="Calibri" w:hAnsi="Calibri"/>
                <w:color w:val="333333"/>
                <w:sz w:val="19"/>
              </w:rPr>
              <w:t>CNS_310</w:t>
            </w:r>
          </w:p>
        </w:tc>
        <w:tc>
          <w:tcPr>
            <w:tcW w:type="dxa" w:w="1728"/>
            <w:shd w:fill="F9FAFB"/>
            <w:tcMar>
              <w:top w:w="100" w:type="dxa"/>
              <w:bottom w:w="100" w:type="dxa"/>
              <w:left w:w="150" w:type="dxa"/>
              <w:right w:w="150" w:type="dxa"/>
            </w:tcMar>
          </w:tcPr>
          <w:p>
            <w:r>
              <w:rPr>
                <w:rFonts w:ascii="Calibri" w:hAnsi="Calibri"/>
                <w:color w:val="333333"/>
                <w:sz w:val="19"/>
              </w:rPr>
              <w:t>LOC_IND_01</w:t>
            </w:r>
          </w:p>
        </w:tc>
        <w:tc>
          <w:tcPr>
            <w:tcW w:type="dxa" w:w="1584"/>
            <w:shd w:fill="F9FAFB"/>
            <w:tcMar>
              <w:top w:w="100" w:type="dxa"/>
              <w:bottom w:w="100" w:type="dxa"/>
              <w:left w:w="150" w:type="dxa"/>
              <w:right w:w="150" w:type="dxa"/>
            </w:tcMar>
          </w:tcPr>
          <w:p>
            <w:r>
              <w:rPr>
                <w:rFonts w:ascii="Calibri" w:hAnsi="Calibri"/>
                <w:color w:val="333333"/>
                <w:sz w:val="19"/>
              </w:rPr>
              <w:t>Industrial</w:t>
            </w:r>
          </w:p>
        </w:tc>
        <w:tc>
          <w:tcPr>
            <w:tcW w:type="dxa" w:w="1440"/>
            <w:shd w:fill="F9FAFB"/>
            <w:tcMar>
              <w:top w:w="100" w:type="dxa"/>
              <w:bottom w:w="100" w:type="dxa"/>
              <w:left w:w="150" w:type="dxa"/>
              <w:right w:w="150" w:type="dxa"/>
            </w:tcMar>
          </w:tcPr>
          <w:p>
            <w:r>
              <w:rPr>
                <w:rFonts w:ascii="Calibri" w:hAnsi="Calibri"/>
                <w:color w:val="333333"/>
                <w:sz w:val="19"/>
              </w:rPr>
              <w:t>145.80</w:t>
            </w:r>
          </w:p>
        </w:tc>
        <w:tc>
          <w:tcPr>
            <w:tcW w:type="dxa" w:w="864"/>
            <w:shd w:fill="F9FAFB"/>
            <w:tcMar>
              <w:top w:w="100" w:type="dxa"/>
              <w:bottom w:w="100" w:type="dxa"/>
              <w:left w:w="150" w:type="dxa"/>
              <w:right w:w="150" w:type="dxa"/>
            </w:tcMar>
          </w:tcPr>
          <w:p>
            <w:r>
              <w:rPr>
                <w:rFonts w:ascii="Calibri" w:hAnsi="Calibri"/>
                <w:color w:val="333333"/>
                <w:sz w:val="19"/>
              </w:rPr>
              <w:t>0.78</w:t>
            </w:r>
          </w:p>
        </w:tc>
        <w:tc>
          <w:tcPr>
            <w:tcW w:type="dxa" w:w="1296"/>
            <w:shd w:fill="F9FAFB"/>
            <w:tcMar>
              <w:top w:w="100" w:type="dxa"/>
              <w:bottom w:w="100" w:type="dxa"/>
              <w:left w:w="150" w:type="dxa"/>
              <w:right w:w="150" w:type="dxa"/>
            </w:tcMar>
          </w:tcPr>
          <w:p>
            <w:r>
              <w:rPr>
                <w:rFonts w:ascii="Calibri" w:hAnsi="Calibri"/>
                <w:color w:val="333333"/>
                <w:sz w:val="19"/>
              </w:rPr>
              <w:t>Peak</w:t>
            </w:r>
          </w:p>
        </w:tc>
      </w:tr>
      <w:tr>
        <w:trPr>
          <w:cantSplit/>
        </w:trPr>
        <w:tc>
          <w:tcPr>
            <w:tcW w:type="dxa" w:w="1440"/>
            <w:shd w:fill="FFFFFF"/>
            <w:tcMar>
              <w:top w:w="100" w:type="dxa"/>
              <w:bottom w:w="100" w:type="dxa"/>
              <w:left w:w="150" w:type="dxa"/>
              <w:right w:w="150" w:type="dxa"/>
            </w:tcMar>
          </w:tcPr>
          <w:p>
            <w:r>
              <w:rPr>
                <w:rFonts w:ascii="Calibri" w:hAnsi="Calibri"/>
                <w:color w:val="333333"/>
                <w:sz w:val="19"/>
              </w:rPr>
              <w:t>MTR_1004</w:t>
            </w:r>
          </w:p>
        </w:tc>
        <w:tc>
          <w:tcPr>
            <w:tcW w:type="dxa" w:w="1440"/>
            <w:shd w:fill="FFFFFF"/>
            <w:tcMar>
              <w:top w:w="100" w:type="dxa"/>
              <w:bottom w:w="100" w:type="dxa"/>
              <w:left w:w="150" w:type="dxa"/>
              <w:right w:w="150" w:type="dxa"/>
            </w:tcMar>
          </w:tcPr>
          <w:p>
            <w:r>
              <w:rPr>
                <w:rFonts w:ascii="Calibri" w:hAnsi="Calibri"/>
                <w:color w:val="333333"/>
                <w:sz w:val="19"/>
              </w:rPr>
              <w:t>CNS_104</w:t>
            </w:r>
          </w:p>
        </w:tc>
        <w:tc>
          <w:tcPr>
            <w:tcW w:type="dxa" w:w="1728"/>
            <w:shd w:fill="FFFFFF"/>
            <w:tcMar>
              <w:top w:w="100" w:type="dxa"/>
              <w:bottom w:w="100" w:type="dxa"/>
              <w:left w:w="150" w:type="dxa"/>
              <w:right w:w="150" w:type="dxa"/>
            </w:tcMar>
          </w:tcPr>
          <w:p>
            <w:r>
              <w:rPr>
                <w:rFonts w:ascii="Calibri" w:hAnsi="Calibri"/>
                <w:color w:val="333333"/>
                <w:sz w:val="19"/>
              </w:rPr>
              <w:t>LOC_RES_01</w:t>
            </w:r>
          </w:p>
        </w:tc>
        <w:tc>
          <w:tcPr>
            <w:tcW w:type="dxa" w:w="1584"/>
            <w:shd w:fill="FFFFFF"/>
            <w:tcMar>
              <w:top w:w="100" w:type="dxa"/>
              <w:bottom w:w="100" w:type="dxa"/>
              <w:left w:w="150" w:type="dxa"/>
              <w:right w:w="150" w:type="dxa"/>
            </w:tcMar>
          </w:tcPr>
          <w:p>
            <w:r>
              <w:rPr>
                <w:rFonts w:ascii="Calibri" w:hAnsi="Calibri"/>
                <w:color w:val="333333"/>
                <w:sz w:val="19"/>
              </w:rPr>
              <w:t>Residential</w:t>
            </w:r>
          </w:p>
        </w:tc>
        <w:tc>
          <w:tcPr>
            <w:tcW w:type="dxa" w:w="1440"/>
            <w:shd w:fill="FFFFFF"/>
            <w:tcMar>
              <w:top w:w="100" w:type="dxa"/>
              <w:bottom w:w="100" w:type="dxa"/>
              <w:left w:w="150" w:type="dxa"/>
              <w:right w:w="150" w:type="dxa"/>
            </w:tcMar>
          </w:tcPr>
          <w:p>
            <w:r>
              <w:rPr>
                <w:rFonts w:ascii="Calibri" w:hAnsi="Calibri"/>
                <w:color w:val="333333"/>
                <w:sz w:val="19"/>
              </w:rPr>
              <w:t>1.10</w:t>
            </w:r>
          </w:p>
        </w:tc>
        <w:tc>
          <w:tcPr>
            <w:tcW w:type="dxa" w:w="864"/>
            <w:shd w:fill="FFFFFF"/>
            <w:tcMar>
              <w:top w:w="100" w:type="dxa"/>
              <w:bottom w:w="100" w:type="dxa"/>
              <w:left w:w="150" w:type="dxa"/>
              <w:right w:w="150" w:type="dxa"/>
            </w:tcMar>
          </w:tcPr>
          <w:p>
            <w:r>
              <w:rPr>
                <w:rFonts w:ascii="Calibri" w:hAnsi="Calibri"/>
                <w:color w:val="333333"/>
                <w:sz w:val="19"/>
              </w:rPr>
              <w:t>0.98</w:t>
            </w:r>
          </w:p>
        </w:tc>
        <w:tc>
          <w:tcPr>
            <w:tcW w:type="dxa" w:w="1296"/>
            <w:shd w:fill="FFFFFF"/>
            <w:tcMar>
              <w:top w:w="100" w:type="dxa"/>
              <w:bottom w:w="100" w:type="dxa"/>
              <w:left w:w="150" w:type="dxa"/>
              <w:right w:w="150" w:type="dxa"/>
            </w:tcMar>
          </w:tcPr>
          <w:p>
            <w:r>
              <w:rPr>
                <w:rFonts w:ascii="Calibri" w:hAnsi="Calibri"/>
                <w:color w:val="333333"/>
                <w:sz w:val="19"/>
              </w:rPr>
              <w:t>Off-Peak</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MTR_1005</w:t>
            </w:r>
          </w:p>
        </w:tc>
        <w:tc>
          <w:tcPr>
            <w:tcW w:type="dxa" w:w="1440"/>
            <w:shd w:fill="F9FAFB"/>
            <w:tcMar>
              <w:top w:w="100" w:type="dxa"/>
              <w:bottom w:w="100" w:type="dxa"/>
              <w:left w:w="150" w:type="dxa"/>
              <w:right w:w="150" w:type="dxa"/>
            </w:tcMar>
          </w:tcPr>
          <w:p>
            <w:r>
              <w:rPr>
                <w:rFonts w:ascii="Calibri" w:hAnsi="Calibri"/>
                <w:color w:val="333333"/>
                <w:sz w:val="19"/>
              </w:rPr>
              <w:t>CNS_212</w:t>
            </w:r>
          </w:p>
        </w:tc>
        <w:tc>
          <w:tcPr>
            <w:tcW w:type="dxa" w:w="1728"/>
            <w:shd w:fill="F9FAFB"/>
            <w:tcMar>
              <w:top w:w="100" w:type="dxa"/>
              <w:bottom w:w="100" w:type="dxa"/>
              <w:left w:w="150" w:type="dxa"/>
              <w:right w:w="150" w:type="dxa"/>
            </w:tcMar>
          </w:tcPr>
          <w:p>
            <w:r>
              <w:rPr>
                <w:rFonts w:ascii="Calibri" w:hAnsi="Calibri"/>
                <w:color w:val="333333"/>
                <w:sz w:val="19"/>
              </w:rPr>
              <w:t>LOC_COM_03</w:t>
            </w:r>
          </w:p>
        </w:tc>
        <w:tc>
          <w:tcPr>
            <w:tcW w:type="dxa" w:w="1584"/>
            <w:shd w:fill="F9FAFB"/>
            <w:tcMar>
              <w:top w:w="100" w:type="dxa"/>
              <w:bottom w:w="100" w:type="dxa"/>
              <w:left w:w="150" w:type="dxa"/>
              <w:right w:w="150" w:type="dxa"/>
            </w:tcMar>
          </w:tcPr>
          <w:p>
            <w:r>
              <w:rPr>
                <w:rFonts w:ascii="Calibri" w:hAnsi="Calibri"/>
                <w:color w:val="333333"/>
                <w:sz w:val="19"/>
              </w:rPr>
              <w:t>Commercial</w:t>
            </w:r>
          </w:p>
        </w:tc>
        <w:tc>
          <w:tcPr>
            <w:tcW w:type="dxa" w:w="1440"/>
            <w:shd w:fill="F9FAFB"/>
            <w:tcMar>
              <w:top w:w="100" w:type="dxa"/>
              <w:bottom w:w="100" w:type="dxa"/>
              <w:left w:w="150" w:type="dxa"/>
              <w:right w:w="150" w:type="dxa"/>
            </w:tcMar>
          </w:tcPr>
          <w:p>
            <w:r>
              <w:rPr>
                <w:rFonts w:ascii="Calibri" w:hAnsi="Calibri"/>
                <w:color w:val="333333"/>
                <w:sz w:val="19"/>
              </w:rPr>
              <w:t>8.75</w:t>
            </w:r>
          </w:p>
        </w:tc>
        <w:tc>
          <w:tcPr>
            <w:tcW w:type="dxa" w:w="864"/>
            <w:shd w:fill="F9FAFB"/>
            <w:tcMar>
              <w:top w:w="100" w:type="dxa"/>
              <w:bottom w:w="100" w:type="dxa"/>
              <w:left w:w="150" w:type="dxa"/>
              <w:right w:w="150" w:type="dxa"/>
            </w:tcMar>
          </w:tcPr>
          <w:p>
            <w:r>
              <w:rPr>
                <w:rFonts w:ascii="Calibri" w:hAnsi="Calibri"/>
                <w:color w:val="333333"/>
                <w:sz w:val="19"/>
              </w:rPr>
              <w:t>0.89</w:t>
            </w:r>
          </w:p>
        </w:tc>
        <w:tc>
          <w:tcPr>
            <w:tcW w:type="dxa" w:w="1296"/>
            <w:shd w:fill="F9FAFB"/>
            <w:tcMar>
              <w:top w:w="100" w:type="dxa"/>
              <w:bottom w:w="100" w:type="dxa"/>
              <w:left w:w="150" w:type="dxa"/>
              <w:right w:w="150" w:type="dxa"/>
            </w:tcMar>
          </w:tcPr>
          <w:p>
            <w:r>
              <w:rPr>
                <w:rFonts w:ascii="Calibri" w:hAnsi="Calibri"/>
                <w:color w:val="333333"/>
                <w:sz w:val="19"/>
              </w:rPr>
              <w:t>Off-Peak</w:t>
            </w:r>
          </w:p>
        </w:tc>
      </w:tr>
    </w:tbl>
    <w:p/>
    <w:p>
      <w:pPr>
        <w:keepNext/>
        <w:spacing w:before="320" w:after="120"/>
      </w:pPr>
      <w:r>
        <w:rPr>
          <w:rFonts w:ascii="Calibri" w:hAnsi="Calibri"/>
          <w:b/>
          <w:color w:val="1F4E79"/>
          <w:sz w:val="32"/>
        </w:rPr>
        <w:t>3. System Architecture Diagram</w:t>
      </w:r>
    </w:p>
    <w:p>
      <w:pPr>
        <w:spacing w:before="0" w:after="80" w:line="276" w:lineRule="auto"/>
      </w:pPr>
      <w:r>
        <w:rPr>
          <w:rFonts w:ascii="Calibri" w:hAnsi="Calibri"/>
          <w:color w:val="333333"/>
          <w:sz w:val="22"/>
        </w:rPr>
        <w:t>The Smart Energy Analytics System is engineered as a multi-layered distributed pipeline. Ingestion layers buffer high-frequency telemetric data into HDFS, where files are partitioned into 128 MB blocks across DataNodes. YARN coordinates cluster computing resources, scheduling MapReduce jobs that execute distributed parallel filtering, shuffle-and-sort key grouping, and final reducing analytics.</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w:t>
              <w:br/>
              <w:t>|                        SMART GRID TELEMETRY DATA SOURCES                          |</w:t>
              <w:br/>
              <w:t>|  [Smart Meters]      [Building IoT Sensors]    [Industrial SCADA]   [Solar / Wind]  |</w:t>
              <w:br/>
              <w:t>+-----------------------------------------------------------------------------------+</w:t>
              <w:br/>
              <w:t xml:space="preserve">                                          |</w:t>
              <w:br/>
              <w:t xml:space="preserve">                                          v (Ingestion &amp; Upload)</w:t>
              <w:br/>
              <w:t>+-----------------------------------------------------------------------------------+</w:t>
              <w:br/>
              <w:t>|                      HADOOP DISTRIBUTED FILE SYSTEM (HDFS)                        |</w:t>
              <w:br/>
              <w:t>|   NameNode (Master Metadata) &lt;---&gt; DataNodes (Distributed Storage, Block Size=128MB)|</w:t>
              <w:br/>
              <w:t>+-----------------------------------------------------------------------------------+</w:t>
              <w:br/>
              <w:t xml:space="preserve">                                          |</w:t>
              <w:br/>
              <w:t xml:space="preserve">                                          v (Cluster Resource Management)</w:t>
              <w:br/>
              <w:t>+-----------------------------------------------------------------------------------+</w:t>
              <w:br/>
              <w:t>|                      YARN CLUSTER RESOURCE MANAGER                                |</w:t>
              <w:br/>
              <w:t>|   ResourceManager (AppScheduler) &lt;---&gt; NodeManager Agent &amp; Task Containers        |</w:t>
              <w:br/>
              <w:t>+-----------------------------------------------------------------------------------+</w:t>
              <w:br/>
              <w:t xml:space="preserve">                                          |</w:t>
              <w:br/>
              <w:t xml:space="preserve">                                          v (Parallel Compute Framework)</w:t>
              <w:br/>
              <w:t>+-----------------------------------------------------------------------------------+</w:t>
              <w:br/>
              <w:t>|                     MAPREDUCE DISTRIBUTED ANALYTICS ENGINE                         |</w:t>
              <w:br/>
              <w:t>|  [MAP PHASE] -------------&gt; [SHUFFLE &amp; SORT] -------------&gt; [REDUCE PHASE]        |</w:t>
              <w:br/>
              <w:t>|  Key-Value Extraction       Key Partitioning &amp; Grouping     Aggregation &amp; Metrics |</w:t>
              <w:br/>
              <w:t>+-----------------------------------------------------------------------------------+</w:t>
              <w:br/>
              <w:t xml:space="preserve">                                          |</w:t>
              <w:br/>
              <w:t xml:space="preserve">                                          v (Output Results &amp; Analytics)</w:t>
              <w:br/>
              <w:t>+-----------------------------------------------------------------------------------+</w:t>
              <w:br/>
              <w:t>|                     SMART ENERGY MANAGEMENT &amp; DECISION SYSTEM                     |</w:t>
              <w:br/>
              <w:t>|  - Location Totals   - Peak Hours   - Power Factor Alarms   - SDG Sustainability  |</w:t>
              <w:br/>
              <w:t>+-----------------------------------------------------------------------------------+</w:t>
            </w:r>
          </w:p>
        </w:tc>
      </w:tr>
    </w:tbl>
    <w:p/>
    <w:p>
      <w:pPr>
        <w:keepNext/>
        <w:spacing w:before="320" w:after="120"/>
      </w:pPr>
      <w:r>
        <w:rPr>
          <w:rFonts w:ascii="Calibri" w:hAnsi="Calibri"/>
          <w:b/>
          <w:color w:val="1F4E79"/>
          <w:sz w:val="32"/>
        </w:rPr>
        <w:t>4. HDFS Implementation</w:t>
      </w:r>
    </w:p>
    <w:p>
      <w:pPr>
        <w:spacing w:before="0" w:after="80" w:line="276" w:lineRule="auto"/>
      </w:pPr>
      <w:r>
        <w:rPr>
          <w:rFonts w:ascii="Calibri" w:hAnsi="Calibri"/>
          <w:color w:val="333333"/>
          <w:sz w:val="22"/>
        </w:rPr>
        <w:t>HDFS provides the distributed, fault-tolerant storage foundation for smart energy telemetry. The input dataset `smart_energy_data.csv` is uploaded to HDFS and stored in 128 MB blocks replicated across cluster DataNodes.</w:t>
      </w:r>
    </w:p>
    <w:p>
      <w:pPr>
        <w:keepNext/>
        <w:spacing w:before="240" w:after="80"/>
      </w:pPr>
      <w:r>
        <w:rPr>
          <w:rFonts w:ascii="Calibri" w:hAnsi="Calibri"/>
          <w:b/>
          <w:color w:val="2E75B6"/>
          <w:sz w:val="26"/>
        </w:rPr>
        <w:t>HDFS Cluster Configuration Parameters</w:t>
      </w:r>
    </w:p>
    <w:p>
      <w:pPr>
        <w:pStyle w:val="ListBullet"/>
        <w:spacing w:before="0" w:after="60" w:line="276" w:lineRule="auto"/>
        <w:ind w:left="360"/>
      </w:pPr>
      <w:r>
        <w:rPr>
          <w:rFonts w:ascii="Calibri" w:hAnsi="Calibri"/>
          <w:b/>
          <w:color w:val="333333"/>
          <w:sz w:val="21"/>
        </w:rPr>
        <w:t xml:space="preserve">dfs.blocksize: </w:t>
      </w:r>
      <w:r>
        <w:rPr>
          <w:rFonts w:ascii="Calibri" w:hAnsi="Calibri"/>
          <w:color w:val="333333"/>
          <w:sz w:val="21"/>
        </w:rPr>
        <w:t>128 MB (Optimized for large sequential scans of energy telemetry files).</w:t>
      </w:r>
    </w:p>
    <w:p>
      <w:pPr>
        <w:pStyle w:val="ListBullet"/>
        <w:spacing w:before="0" w:after="60" w:line="276" w:lineRule="auto"/>
        <w:ind w:left="360"/>
      </w:pPr>
      <w:r>
        <w:rPr>
          <w:rFonts w:ascii="Calibri" w:hAnsi="Calibri"/>
          <w:b/>
          <w:color w:val="333333"/>
          <w:sz w:val="21"/>
        </w:rPr>
        <w:t xml:space="preserve">dfs.replication: </w:t>
      </w:r>
      <w:r>
        <w:rPr>
          <w:rFonts w:ascii="Calibri" w:hAnsi="Calibri"/>
          <w:color w:val="333333"/>
          <w:sz w:val="21"/>
        </w:rPr>
        <w:t>3 (Ensures high data durability and rack-aware fault tolerance).</w:t>
      </w:r>
    </w:p>
    <w:p>
      <w:pPr>
        <w:pStyle w:val="ListBullet"/>
        <w:spacing w:before="0" w:after="60" w:line="276" w:lineRule="auto"/>
        <w:ind w:left="360"/>
      </w:pPr>
      <w:r>
        <w:rPr>
          <w:rFonts w:ascii="Calibri" w:hAnsi="Calibri"/>
          <w:b/>
          <w:color w:val="333333"/>
          <w:sz w:val="21"/>
        </w:rPr>
        <w:t xml:space="preserve">Topology: </w:t>
      </w:r>
      <w:r>
        <w:rPr>
          <w:rFonts w:ascii="Calibri" w:hAnsi="Calibri"/>
          <w:color w:val="333333"/>
          <w:sz w:val="21"/>
        </w:rPr>
        <w:t>1 Master Node (NameNode, ResourceManager), 3 Worker Nodes (DataNode, NodeManager).</w:t>
      </w:r>
    </w:p>
    <w:p>
      <w:pPr>
        <w:keepNext/>
        <w:spacing w:before="240" w:after="80"/>
      </w:pPr>
      <w:r>
        <w:rPr>
          <w:rFonts w:ascii="Calibri" w:hAnsi="Calibri"/>
          <w:b/>
          <w:color w:val="2E75B6"/>
          <w:sz w:val="26"/>
        </w:rPr>
        <w:t>Step-by-Step HDFS Terminal Commands &amp; Output</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1. Initialize Hadoop HDFS Daemons</w:t>
              <w:br/>
              <w:t>$ start-dfs.sh</w:t>
              <w:br/>
              <w:t>Starting namenodes on [localhost]</w:t>
              <w:br/>
              <w:t>Starting datanodes on [datanode-1, datanode-2, datanode-3]</w:t>
              <w:br/>
              <w:t>Starting secondary namenodes [sec-namenode]</w:t>
              <w:br/>
              <w:br/>
              <w:t># 2. Create target HDFS input directory for energy datasets</w:t>
              <w:br/>
              <w:t>$ hdfs dfs -mkdir -p /smart_energy/input</w:t>
              <w:br/>
              <w:br/>
              <w:t># 3. Upload local dataset to HDFS</w:t>
              <w:br/>
              <w:t>$ hdfs dfs -put smart_energy_dataset.csv /smart_energy/input/</w:t>
              <w:br/>
              <w:br/>
              <w:t># 4. Verify directory content and file permissions</w:t>
              <w:br/>
              <w:t>$ hdfs dfs -ls /smart_energy/input/</w:t>
              <w:br/>
              <w:t>Found 1 items</w:t>
              <w:br/>
              <w:t>-rw-r--r--   3 hdfs supergroup  524288000 2026-09-03 11:15 /smart_energy/input/smart_energy_dataset.csv</w:t>
              <w:br/>
              <w:br/>
              <w:t># 5. Check HDFS File Block Allocation &amp; Health</w:t>
              <w:br/>
              <w:t>$ hdfs dfsck /smart_energy/input/smart_energy_dataset.csv -files -blocks -locations</w:t>
              <w:br/>
              <w:t>Connecting to namenode via http://localhost:9870/fsck</w:t>
              <w:br/>
              <w:t>FSCK started by hdfs for /smart_energy/input/smart_energy_dataset.csv</w:t>
              <w:br/>
              <w:t>Status: HEALTHY</w:t>
              <w:br/>
              <w:t xml:space="preserve"> Total size:    524288000 B</w:t>
              <w:br/>
              <w:t xml:space="preserve"> Total blocks:  4 (avg. block size 131072000 B)</w:t>
              <w:br/>
              <w:t xml:space="preserve"> Minimally replicated blocks: 4 (100.0 %)</w:t>
              <w:br/>
              <w:t xml:space="preserve"> Over-replicated blocks:        0 (0.0 %)</w:t>
              <w:br/>
              <w:t xml:space="preserve"> Under-replicated blocks:       0 (0.0 %)</w:t>
              <w:br/>
              <w:t xml:space="preserve"> Block 0: BP-10293-192.168.1.10: blk_1073741825_1001 len=134217728 locs=[datanode-1, datanode-2, datanode-3]</w:t>
              <w:br/>
              <w:t xml:space="preserve"> Block 1: BP-10293-192.168.1.10: blk_1073741826_1002 len=134217728 locs=[datanode-2, datanode-3, datanode-1]</w:t>
              <w:br/>
              <w:t xml:space="preserve"> Block 2: BP-10293-192.168.1.10: blk_1073741827_1003 len=134217728 locs=[datanode-3, datanode-1, datanode-2]</w:t>
              <w:br/>
              <w:t xml:space="preserve"> Block 3: BP-10293-192.168.1.10: blk_1073741828_1004 len=121634816 locs=[datanode-1, datanode-3, datanode-2]</w:t>
              <w:br/>
              <w:t>FSCK ended at Thu Sep 03 11:16:02 IST 2026 in 14ms. The filesystem under path '/smart_energy/input/smart_energy_dataset.csv' is HEALTHY</w:t>
            </w:r>
          </w:p>
        </w:tc>
      </w:tr>
    </w:tbl>
    <w:p/>
    <w:p>
      <w:pPr>
        <w:keepNext/>
        <w:spacing w:before="320" w:after="120"/>
      </w:pPr>
      <w:r>
        <w:rPr>
          <w:rFonts w:ascii="Calibri" w:hAnsi="Calibri"/>
          <w:b/>
          <w:color w:val="1F4E79"/>
          <w:sz w:val="32"/>
        </w:rPr>
        <w:t>5. MapReduce Pseudocode</w:t>
      </w:r>
    </w:p>
    <w:p>
      <w:pPr>
        <w:spacing w:before="0" w:after="80" w:line="276" w:lineRule="auto"/>
      </w:pPr>
      <w:r>
        <w:rPr>
          <w:rFonts w:ascii="Calibri" w:hAnsi="Calibri"/>
          <w:color w:val="333333"/>
          <w:sz w:val="22"/>
        </w:rPr>
        <w:t>To perform multi-dimensional energy analytics, four distinct MapReduce jobs are designed. Below is the algorithmic pseudocode for each job:</w:t>
      </w:r>
    </w:p>
    <w:p>
      <w:pPr>
        <w:keepNext/>
        <w:spacing w:before="240" w:after="80"/>
      </w:pPr>
      <w:r>
        <w:rPr>
          <w:rFonts w:ascii="Calibri" w:hAnsi="Calibri"/>
          <w:b/>
          <w:color w:val="2E75B6"/>
          <w:sz w:val="26"/>
        </w:rPr>
        <w:t>Analysis A: Location-Wise Total Energy Consumption</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Mapper: LocationEnergyMapper</w:t>
              <w:br/>
              <w:t>Class LocationEnergyMapper:</w:t>
              <w:br/>
              <w:t xml:space="preserve">    Method Map(ByteOffset key, Text lineValue, Context context):</w:t>
              <w:br/>
              <w:t xml:space="preserve">        String line = lineValue.toString()</w:t>
              <w:br/>
              <w:t xml:space="preserve">        If line.startsWith("Meter_ID"): Return // Skip Header Line</w:t>
              <w:br/>
              <w:t xml:space="preserve">        String[] fields = line.split(",")</w:t>
              <w:br/>
              <w:t xml:space="preserve">        If fields.length &gt;= 13:</w:t>
              <w:br/>
              <w:t xml:space="preserve">            String locationID = fields[4].trim()</w:t>
              <w:br/>
              <w:t xml:space="preserve">            Double energyConsumed = ParseDouble(fields[7].trim())</w:t>
              <w:br/>
              <w:t xml:space="preserve">            context.write(Text(locationID), DoubleWritable(energyConsumed))</w:t>
              <w:br/>
              <w:br/>
              <w:t>// Reducer: LocationEnergyReducer</w:t>
              <w:br/>
              <w:t>Class LocationEnergyReducer:</w:t>
              <w:br/>
              <w:t xml:space="preserve">    Method Reduce(Text locationID, Iterable&lt;DoubleWritable&gt; values, Context context):</w:t>
              <w:br/>
              <w:t xml:space="preserve">        Double totalLocationEnergy = 0.0</w:t>
              <w:br/>
              <w:t xml:space="preserve">        For each val in values:</w:t>
              <w:br/>
              <w:t xml:space="preserve">            totalLocationEnergy += val.get()</w:t>
              <w:br/>
              <w:t xml:space="preserve">        context.write(locationID, DoubleWritable(totalLocationEnergy))</w:t>
            </w:r>
          </w:p>
        </w:tc>
      </w:tr>
    </w:tbl>
    <w:p/>
    <w:p>
      <w:pPr>
        <w:keepNext/>
        <w:spacing w:before="240" w:after="80"/>
      </w:pPr>
      <w:r>
        <w:rPr>
          <w:rFonts w:ascii="Calibri" w:hAnsi="Calibri"/>
          <w:b/>
          <w:color w:val="2E75B6"/>
          <w:sz w:val="26"/>
        </w:rPr>
        <w:t>Analysis C: Peak Energy-Consumption Hour Identification</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Mapper: PeakHourMapper</w:t>
              <w:br/>
              <w:t>Class PeakHourMapper:</w:t>
              <w:br/>
              <w:t xml:space="preserve">    Method Map(ByteOffset key, Text lineValue, Context context):</w:t>
              <w:br/>
              <w:t xml:space="preserve">        String[] fields = lineValue.toString().split(",")</w:t>
              <w:br/>
              <w:t xml:space="preserve">        If fields[0].equals("Meter_ID"): Return</w:t>
              <w:br/>
              <w:t xml:space="preserve">        String timestamp = fields[3].trim() // HH:MM:SS</w:t>
              <w:br/>
              <w:t xml:space="preserve">        String hourKey = timestamp.split(":")[0] + ":00" // Extract Hour (e.g., "18:00")</w:t>
              <w:br/>
              <w:t xml:space="preserve">        Double energyConsumed = ParseDouble(fields[7].trim())</w:t>
              <w:br/>
              <w:t xml:space="preserve">        context.write(Text(hourKey), DoubleWritable(energyConsumed))</w:t>
              <w:br/>
              <w:br/>
              <w:t>// Reducer: PeakHourReducer</w:t>
              <w:br/>
              <w:t>Class PeakHourReducer:</w:t>
              <w:br/>
              <w:t xml:space="preserve">    Method Reduce(Text hourKey, Iterable&lt;DoubleWritable&gt; values, Context context):</w:t>
              <w:br/>
              <w:t xml:space="preserve">        Double hourlyTotal = 0.0</w:t>
              <w:br/>
              <w:t xml:space="preserve">        For each val in values:</w:t>
              <w:br/>
              <w:t xml:space="preserve">            hourlyTotal += val.get()</w:t>
              <w:br/>
              <w:t xml:space="preserve">        context.write(hourKey, DoubleWritable(hourlyTotal))</w:t>
            </w:r>
          </w:p>
        </w:tc>
      </w:tr>
    </w:tbl>
    <w:p/>
    <w:p>
      <w:pPr>
        <w:keepNext/>
        <w:spacing w:before="240" w:after="80"/>
      </w:pPr>
      <w:r>
        <w:rPr>
          <w:rFonts w:ascii="Calibri" w:hAnsi="Calibri"/>
          <w:b/>
          <w:color w:val="2E75B6"/>
          <w:sz w:val="26"/>
        </w:rPr>
        <w:t>Analysis D: Consumer-Type &amp; Power Factor Quality Analysis</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Mapper: ConsumerTypeMapper</w:t>
              <w:br/>
              <w:t>Class ConsumerTypeMapper:</w:t>
              <w:br/>
              <w:t xml:space="preserve">    Method Map(ByteOffset key, Text lineValue, Context context):</w:t>
              <w:br/>
              <w:t xml:space="preserve">        String[] fields = lineValue.toString().split(",")</w:t>
              <w:br/>
              <w:t xml:space="preserve">        If fields[0].equals("Meter_ID"): Return</w:t>
              <w:br/>
              <w:t xml:space="preserve">        String consumerType = fields[5].trim() // Residential, Commercial, Industrial</w:t>
              <w:br/>
              <w:t xml:space="preserve">        Double energy = ParseDouble(fields[7].trim())</w:t>
              <w:br/>
              <w:t xml:space="preserve">        Double powerFactor = ParseDouble(fields[10].trim())</w:t>
              <w:br/>
              <w:t xml:space="preserve">        // Emit key: ConsumerType, value: CompositeTuple(Energy, PowerFactor, Count=1)</w:t>
              <w:br/>
              <w:t xml:space="preserve">        context.write(Text(consumerType), EnergyTupleWritable(energy, powerFactor, 1))</w:t>
              <w:br/>
              <w:br/>
              <w:t>// Reducer: ConsumerTypeReducer</w:t>
              <w:br/>
              <w:t>Class ConsumerTypeReducer:</w:t>
              <w:br/>
              <w:t xml:space="preserve">    Method Reduce(Text consumerType, Iterable&lt;EnergyTupleWritable&gt; values, Context context):</w:t>
              <w:br/>
              <w:t xml:space="preserve">        Double totalEnergy = 0.0</w:t>
              <w:br/>
              <w:t xml:space="preserve">        Double totalPF = 0.0</w:t>
              <w:br/>
              <w:t xml:space="preserve">        Long recordCount = 0</w:t>
              <w:br/>
              <w:t xml:space="preserve">        For each tuple in values:</w:t>
              <w:br/>
              <w:t xml:space="preserve">            totalEnergy += tuple.getEnergy()</w:t>
              <w:br/>
              <w:t xml:space="preserve">            totalPF += tuple.getPowerFactor()</w:t>
              <w:br/>
              <w:t xml:space="preserve">            recordCount += tuple.getCount()</w:t>
              <w:br/>
              <w:t xml:space="preserve">        Double avgPowerFactor = totalPF / recordCount</w:t>
              <w:br/>
              <w:t xml:space="preserve">        String resultSummary = String.format("Total_kWh: %.2f | Avg_PF: %.3f", totalEnergy, avgPowerFactor)</w:t>
              <w:br/>
              <w:t xml:space="preserve">        context.write(consumerType, Text(resultSummary))</w:t>
            </w:r>
          </w:p>
        </w:tc>
      </w:tr>
    </w:tbl>
    <w:p/>
    <w:p>
      <w:pPr>
        <w:keepNext/>
        <w:spacing w:before="240" w:after="80"/>
      </w:pPr>
      <w:r>
        <w:rPr>
          <w:rFonts w:ascii="Calibri" w:hAnsi="Calibri"/>
          <w:b/>
          <w:color w:val="2E75B6"/>
          <w:sz w:val="26"/>
        </w:rPr>
        <w:t>Analysis F &amp; H: Tariff Period &amp; Renewable Energy Offset Analysis</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Mapper: RenewableTariffMapper</w:t>
              <w:br/>
              <w:t>Class RenewableTariffMapper:</w:t>
              <w:br/>
              <w:t xml:space="preserve">    Method Map(ByteOffset key, Text lineValue, Context context):</w:t>
              <w:br/>
              <w:t xml:space="preserve">        String[] fields = lineValue.toString().split(",")</w:t>
              <w:br/>
              <w:t xml:space="preserve">        If fields[0].equals("Meter_ID"): Return</w:t>
              <w:br/>
              <w:t xml:space="preserve">        String tariffPeriod = fields[11].trim() // Peak, Off-Peak, Normal</w:t>
              <w:br/>
              <w:t xml:space="preserve">        Double energyConsumed = ParseDouble(fields[7].trim())</w:t>
              <w:br/>
              <w:t xml:space="preserve">        Double renewableGen = ParseDouble(fields[12].trim())</w:t>
              <w:br/>
              <w:t xml:space="preserve">        context.write(Text(tariffPeriod), RenewableTupleWritable(energyConsumed, renewableGen))</w:t>
              <w:br/>
              <w:br/>
              <w:t>// Reducer: RenewableTariffReducer</w:t>
              <w:br/>
              <w:t>Class RenewableTariffReducer:</w:t>
              <w:br/>
              <w:t xml:space="preserve">    Method Reduce(Text tariffPeriod, Iterable&lt;RenewableTupleWritable&gt; values, Context context):</w:t>
              <w:br/>
              <w:t xml:space="preserve">        Double totalGridEnergy = 0.0</w:t>
              <w:br/>
              <w:t xml:space="preserve">        Double totalRenewableGen = 0.0</w:t>
              <w:br/>
              <w:t xml:space="preserve">        For each val in values:</w:t>
              <w:br/>
              <w:t xml:space="preserve">            totalGridEnergy += val.getEnergyConsumed()</w:t>
              <w:br/>
              <w:t xml:space="preserve">            totalRenewableGen += val.getRenewableGeneration()</w:t>
              <w:br/>
              <w:t xml:space="preserve">        Double netGridDemand = totalGridEnergy - totalRenewableGen</w:t>
              <w:br/>
              <w:t xml:space="preserve">        Double offsetPercent = (totalRenewableGen / totalGridEnergy) * 100.0</w:t>
              <w:br/>
              <w:t xml:space="preserve">        String metrics = String.format("Consumed: %.2f kWh | Gen: %.2f kWh | Net: %.2f kWh | Offset: %.2f%%", </w:t>
              <w:br/>
              <w:t xml:space="preserve">                                       totalGridEnergy, totalRenewableGen, netGridDemand, offsetPercent)</w:t>
              <w:br/>
              <w:t xml:space="preserve">        context.write(tariffPeriod, Text(metrics))</w:t>
            </w:r>
          </w:p>
        </w:tc>
      </w:tr>
    </w:tbl>
    <w:p/>
    <w:p>
      <w:pPr>
        <w:keepNext/>
        <w:spacing w:before="320" w:after="120"/>
      </w:pPr>
      <w:r>
        <w:rPr>
          <w:rFonts w:ascii="Calibri" w:hAnsi="Calibri"/>
          <w:b/>
          <w:color w:val="1F4E79"/>
          <w:sz w:val="32"/>
        </w:rPr>
        <w:t>6. MapReduce Source Code</w:t>
      </w:r>
    </w:p>
    <w:p>
      <w:pPr>
        <w:spacing w:before="0" w:after="80" w:line="276" w:lineRule="auto"/>
      </w:pPr>
      <w:r>
        <w:rPr>
          <w:rFonts w:ascii="Calibri" w:hAnsi="Calibri"/>
          <w:color w:val="333333"/>
          <w:sz w:val="22"/>
        </w:rPr>
        <w:t>Below is the complete Java MapReduce source code implementation for the location-wise energy analytics job and driver class:</w:t>
      </w:r>
    </w:p>
    <w:p>
      <w:pPr>
        <w:keepNext/>
        <w:spacing w:before="240" w:after="80"/>
      </w:pPr>
      <w:r>
        <w:rPr>
          <w:rFonts w:ascii="Calibri" w:hAnsi="Calibri"/>
          <w:b/>
          <w:color w:val="2E75B6"/>
          <w:sz w:val="26"/>
        </w:rPr>
        <w:t>Java MapReduce Implementation (Location Analytics &amp; Driver)</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package com.energy.analytics;</w:t>
              <w:br/>
              <w:br/>
              <w:t>import java.io.IOException;</w:t>
              <w:br/>
              <w:t>import org.apache.hadoop.conf.Configuration;</w:t>
              <w:br/>
              <w:t>import org.apache.hadoop.conf.Configured;</w:t>
              <w:br/>
              <w:t>import org.apache.hadoop.fs.Path;</w:t>
              <w:br/>
              <w:t>import org.apache.hadoop.io.DoubleWritable;</w:t>
              <w:br/>
              <w:t>import org.apache.hadoop.io.LongWritable;</w:t>
              <w:br/>
              <w:t>import org.apache.hadoop.io.Text;</w:t>
              <w:br/>
              <w:t>import org.apache.hadoop.mapreduce.Job;</w:t>
              <w:br/>
              <w:t>import org.apache.hadoop.mapreduce.Mapper;</w:t>
              <w:br/>
              <w:t>import org.apache.hadoop.mapreduce.Reducer;</w:t>
              <w:br/>
              <w:t>import org.apache.hadoop.mapreduce.lib.input.FileInputFormat;</w:t>
              <w:br/>
              <w:t>import org.apache.hadoop.mapreduce.lib.output.FileOutputFormat;</w:t>
              <w:br/>
              <w:t>import org.apache.hadoop.util.Tool;</w:t>
              <w:br/>
              <w:t>import org.apache.hadoop.util.ToolRunner;</w:t>
              <w:br/>
              <w:br/>
              <w:t>public class SmartEnergyAnalyticsJob extends Configured implements Tool {</w:t>
              <w:br/>
              <w:br/>
              <w:t xml:space="preserve">    // 1. MAPPER CLASS</w:t>
              <w:br/>
              <w:t xml:space="preserve">    public static class LocationEnergyMapper </w:t>
              <w:br/>
              <w:t xml:space="preserve">            extends Mapper&lt;LongWritable, Text, Text, DoubleWritable&gt; {</w:t>
              <w:br/>
              <w:t xml:space="preserve">        </w:t>
              <w:br/>
              <w:t xml:space="preserve">        private Text locationKey = new Text();</w:t>
              <w:br/>
              <w:t xml:space="preserve">        private DoubleWritable energyValue = new DoubleWritable();</w:t>
              <w:br/>
              <w:br/>
              <w:t xml:space="preserve">        @Override</w:t>
              <w:br/>
              <w:t xml:space="preserve">        protected void map(LongWritable key, Text value, Context context) </w:t>
              <w:br/>
              <w:t xml:space="preserve">                throws IOException, InterruptedException {</w:t>
              <w:br/>
              <w:t xml:space="preserve">            String line = value.toString();</w:t>
              <w:br/>
              <w:t xml:space="preserve">            if (line == null || line.trim().isEmpty() || line.startsWith("Meter_ID")) {</w:t>
              <w:br/>
              <w:t xml:space="preserve">                return; // Skip empty lines and header row</w:t>
              <w:br/>
              <w:t xml:space="preserve">            }</w:t>
              <w:br/>
              <w:t xml:space="preserve">            </w:t>
              <w:br/>
              <w:t xml:space="preserve">            String[] tokens = line.split(",");</w:t>
              <w:br/>
              <w:t xml:space="preserve">            if (tokens.length &gt;= 13) {</w:t>
              <w:br/>
              <w:t xml:space="preserve">                try {</w:t>
              <w:br/>
              <w:t xml:space="preserve">                    String locID = tokens[4].trim();</w:t>
              <w:br/>
              <w:t xml:space="preserve">                    double energy = Double.parseDouble(tokens[7].trim());</w:t>
              <w:br/>
              <w:t xml:space="preserve">                    locationKey.set(locID);</w:t>
              <w:br/>
              <w:t xml:space="preserve">                    energyValue.set(energy);</w:t>
              <w:br/>
              <w:t xml:space="preserve">                    context.write(locationKey, energyValue);</w:t>
              <w:br/>
              <w:t xml:space="preserve">                } catch (NumberFormatException e) {</w:t>
              <w:br/>
              <w:t xml:space="preserve">                    // Ignore corrupted records (Veracity handling)</w:t>
              <w:br/>
              <w:t xml:space="preserve">                    context.getCounter("EnergyAnalytics", "CORRUPTED_RECORDS").increment(1);</w:t>
              <w:br/>
              <w:t xml:space="preserve">                }</w:t>
              <w:br/>
              <w:t xml:space="preserve">            }</w:t>
              <w:br/>
              <w:t xml:space="preserve">        }</w:t>
              <w:br/>
              <w:t xml:space="preserve">    }</w:t>
              <w:br/>
              <w:br/>
              <w:t xml:space="preserve">    // 2. REDUCER CLASS</w:t>
              <w:br/>
              <w:t xml:space="preserve">    public static class LocationEnergyReducer </w:t>
              <w:br/>
              <w:t xml:space="preserve">            extends Reducer&lt;Text, DoubleWritable, Text, DoubleWritable&gt; {</w:t>
              <w:br/>
              <w:t xml:space="preserve">        </w:t>
              <w:br/>
              <w:t xml:space="preserve">        private DoubleWritable totalResult = new DoubleWritable();</w:t>
              <w:br/>
              <w:br/>
              <w:t xml:space="preserve">        @Override</w:t>
              <w:br/>
              <w:t xml:space="preserve">        protected void reduce(Text key, Iterable&lt;DoubleWritable&gt; values, Context context) </w:t>
              <w:br/>
              <w:t xml:space="preserve">                throws IOException, InterruptedException {</w:t>
              <w:br/>
              <w:t xml:space="preserve">            double sum = 0.0;</w:t>
              <w:br/>
              <w:t xml:space="preserve">            for (DoubleWritable val : values) {</w:t>
              <w:br/>
              <w:t xml:space="preserve">                sum += val.get();</w:t>
              <w:br/>
              <w:t xml:space="preserve">            }</w:t>
              <w:br/>
              <w:t xml:space="preserve">            totalResult.set(sum);</w:t>
              <w:br/>
              <w:t xml:space="preserve">            context.write(key, totalResult);</w:t>
              <w:br/>
              <w:t xml:space="preserve">        }</w:t>
              <w:br/>
              <w:t xml:space="preserve">    }</w:t>
              <w:br/>
              <w:br/>
              <w:t xml:space="preserve">    // 3. DRIVER METHOD</w:t>
              <w:br/>
              <w:t xml:space="preserve">    @Override</w:t>
              <w:br/>
              <w:t xml:space="preserve">    public int run(String[] args) throws Exception {</w:t>
              <w:br/>
              <w:t xml:space="preserve">        if (args.length != 2) {</w:t>
              <w:br/>
              <w:t xml:space="preserve">            System.err.println("Usage: SmartEnergyAnalyticsJob &lt;input_path&gt; &lt;output_path&gt;");</w:t>
              <w:br/>
              <w:t xml:space="preserve">            return -1;</w:t>
              <w:br/>
              <w:t xml:space="preserve">        }</w:t>
              <w:br/>
              <w:br/>
              <w:t xml:space="preserve">        Configuration conf = getConf();</w:t>
              <w:br/>
              <w:t xml:space="preserve">        Job job = Job.getInstance(conf, "Smart Energy Location Analytics");</w:t>
              <w:br/>
              <w:t xml:space="preserve">        </w:t>
              <w:br/>
              <w:t xml:space="preserve">        job.setJarByClass(SmartEnergyAnalyticsJob.class);</w:t>
              <w:br/>
              <w:t xml:space="preserve">        job.setMapperClass(LocationEnergyMapper.class);</w:t>
              <w:br/>
              <w:t xml:space="preserve">        job.setCombinerClass(LocationEnergyReducer.class); // Local Aggregation Optimization</w:t>
              <w:br/>
              <w:t xml:space="preserve">        job.setReducerClass(LocationEnergyReducer.class);</w:t>
              <w:br/>
              <w:br/>
              <w:t xml:space="preserve">        job.setOutputKeyClass(Text.class);</w:t>
              <w:br/>
              <w:t xml:space="preserve">        job.setOutputValueClass(DoubleWritable.class);</w:t>
              <w:br/>
              <w:br/>
              <w:t xml:space="preserve">        FileInputFormat.addInputPath(job, new Path(args[0]));</w:t>
              <w:br/>
              <w:t xml:space="preserve">        FileOutputFormat.setOutputPath(job, new Path(args[1]));</w:t>
              <w:br/>
              <w:br/>
              <w:t xml:space="preserve">        return job.waitForCompletion(true) ? 0 : 1;</w:t>
              <w:br/>
              <w:t xml:space="preserve">    }</w:t>
              <w:br/>
              <w:br/>
              <w:t xml:space="preserve">    public static void main(String[] args) throws Exception {</w:t>
              <w:br/>
              <w:t xml:space="preserve">        int exitCode = ToolRunner.run(new Configuration(), new SmartEnergyAnalyticsJob(), args);</w:t>
              <w:br/>
              <w:t xml:space="preserve">        System.exit(exitCode);</w:t>
              <w:br/>
              <w:t xml:space="preserve">    }</w:t>
              <w:br/>
              <w:t>}</w:t>
            </w:r>
          </w:p>
        </w:tc>
      </w:tr>
    </w:tbl>
    <w:p/>
    <w:p>
      <w:pPr>
        <w:keepNext/>
        <w:spacing w:before="240" w:after="80"/>
      </w:pPr>
      <w:r>
        <w:rPr>
          <w:rFonts w:ascii="Calibri" w:hAnsi="Calibri"/>
          <w:b/>
          <w:color w:val="2E75B6"/>
          <w:sz w:val="26"/>
        </w:rPr>
        <w:t>Python Streaming Alternative (Mapper &amp; Reducer)</w:t>
      </w:r>
    </w:p>
    <w:p>
      <w:pPr>
        <w:spacing w:before="0" w:after="80" w:line="276" w:lineRule="auto"/>
      </w:pPr>
      <w:r>
        <w:rPr>
          <w:rFonts w:ascii="Calibri" w:hAnsi="Calibri"/>
          <w:color w:val="333333"/>
          <w:sz w:val="22"/>
        </w:rPr>
        <w:t>For flexible rapid prototyping, Python Hadoop Streaming scripts were also developed:</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mapper.py</w:t>
              <w:br/>
              <w:t>#!/usr/bin/env python3</w:t>
              <w:br/>
              <w:t>import sys</w:t>
              <w:br/>
              <w:br/>
              <w:t>for line in sys.stdin:</w:t>
              <w:br/>
              <w:t xml:space="preserve">    line = line.strip()</w:t>
              <w:br/>
              <w:t xml:space="preserve">    if not line or line.startswith("Meter_ID"):</w:t>
              <w:br/>
              <w:t xml:space="preserve">        continue</w:t>
              <w:br/>
              <w:t xml:space="preserve">    fields = line.split(",")</w:t>
              <w:br/>
              <w:t xml:space="preserve">    if len(fields) &gt;= 13:</w:t>
              <w:br/>
              <w:t xml:space="preserve">        try:</w:t>
              <w:br/>
              <w:t xml:space="preserve">            location_id = fields[4].strip()</w:t>
              <w:br/>
              <w:t xml:space="preserve">            energy_kwh = float(fields[7].strip())</w:t>
              <w:br/>
              <w:t xml:space="preserve">            print(f"{location_id}\t{energy_kwh}")</w:t>
              <w:br/>
              <w:t xml:space="preserve">        except ValueError:</w:t>
              <w:br/>
              <w:t xml:space="preserve">            continue</w:t>
            </w:r>
          </w:p>
        </w:tc>
      </w:tr>
    </w:tbl>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reducer.py</w:t>
              <w:br/>
              <w:t>#!/usr/bin/env python3</w:t>
              <w:br/>
              <w:t>import sys</w:t>
              <w:br/>
              <w:br/>
              <w:t>current_location = None</w:t>
              <w:br/>
              <w:t>current_total = 0.0</w:t>
              <w:br/>
              <w:br/>
              <w:t>for line in sys.stdin:</w:t>
              <w:br/>
              <w:t xml:space="preserve">    line = line.strip()</w:t>
              <w:br/>
              <w:t xml:space="preserve">    if not line:</w:t>
              <w:br/>
              <w:t xml:space="preserve">        continue</w:t>
              <w:br/>
              <w:t xml:space="preserve">    location, energy_str = line.split("\t", 1)</w:t>
              <w:br/>
              <w:t xml:space="preserve">    try:</w:t>
              <w:br/>
              <w:t xml:space="preserve">        energy = float(energy_str)</w:t>
              <w:br/>
              <w:t xml:space="preserve">    except ValueError:</w:t>
              <w:br/>
              <w:t xml:space="preserve">        continue</w:t>
              <w:br/>
              <w:br/>
              <w:t xml:space="preserve">    if current_location == location:</w:t>
              <w:br/>
              <w:t xml:space="preserve">        current_total += energy</w:t>
              <w:br/>
              <w:t xml:space="preserve">    else:</w:t>
              <w:br/>
              <w:t xml:space="preserve">        if current_location:</w:t>
              <w:br/>
              <w:t xml:space="preserve">            print(f"{current_location}\t{current_total:.2f}")</w:t>
              <w:br/>
              <w:t xml:space="preserve">        current_location = location</w:t>
              <w:br/>
              <w:t xml:space="preserve">        current_total = energy</w:t>
              <w:br/>
              <w:br/>
              <w:t>if current_location:</w:t>
              <w:br/>
              <w:t xml:space="preserve">    print(f"{current_location}\t{current_total:.2f}")</w:t>
            </w:r>
          </w:p>
        </w:tc>
      </w:tr>
    </w:tbl>
    <w:p/>
    <w:p>
      <w:pPr>
        <w:keepNext/>
        <w:spacing w:before="320" w:after="120"/>
      </w:pPr>
      <w:r>
        <w:rPr>
          <w:rFonts w:ascii="Calibri" w:hAnsi="Calibri"/>
          <w:b/>
          <w:color w:val="1F4E79"/>
          <w:sz w:val="32"/>
        </w:rPr>
        <w:t>7. YARN Execution and Resource Management</w:t>
      </w:r>
    </w:p>
    <w:p>
      <w:pPr>
        <w:spacing w:before="0" w:after="80" w:line="276" w:lineRule="auto"/>
      </w:pPr>
      <w:r>
        <w:rPr>
          <w:rFonts w:ascii="Calibri" w:hAnsi="Calibri"/>
          <w:color w:val="333333"/>
          <w:sz w:val="22"/>
        </w:rPr>
        <w:t>YARN (Yet Another Resource Negotiator) manages cluster hardware allocation and task scheduling during job execution.</w:t>
      </w:r>
    </w:p>
    <w:p>
      <w:pPr>
        <w:keepNext/>
        <w:spacing w:before="240" w:after="80"/>
      </w:pPr>
      <w:r>
        <w:rPr>
          <w:rFonts w:ascii="Calibri" w:hAnsi="Calibri"/>
          <w:b/>
          <w:color w:val="2E75B6"/>
          <w:sz w:val="26"/>
        </w:rPr>
        <w:t>Job Submission Command via YARN</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hadoop jar smart-energy-analytics.jar com.energy.analytics.SmartEnergyAnalyticsJob \</w:t>
              <w:br/>
              <w:t xml:space="preserve">    /smart_energy/input \</w:t>
              <w:br/>
              <w:t xml:space="preserve">    /smart_energy/output/location_summary</w:t>
            </w:r>
          </w:p>
        </w:tc>
      </w:tr>
    </w:tbl>
    <w:p/>
    <w:p>
      <w:pPr>
        <w:keepNext/>
        <w:spacing w:before="240" w:after="80"/>
      </w:pPr>
      <w:r>
        <w:rPr>
          <w:rFonts w:ascii="Calibri" w:hAnsi="Calibri"/>
          <w:b/>
          <w:color w:val="2E75B6"/>
          <w:sz w:val="26"/>
        </w:rPr>
        <w:t>YARN Architectural Roles &amp; Resource Lifecycle</w:t>
      </w:r>
    </w:p>
    <w:p>
      <w:pPr>
        <w:pStyle w:val="ListBullet"/>
        <w:spacing w:before="0" w:after="60" w:line="276" w:lineRule="auto"/>
        <w:ind w:left="360"/>
      </w:pPr>
      <w:r>
        <w:rPr>
          <w:rFonts w:ascii="Calibri" w:hAnsi="Calibri"/>
          <w:b/>
          <w:color w:val="333333"/>
          <w:sz w:val="21"/>
        </w:rPr>
        <w:t xml:space="preserve">ResourceManager (RM): </w:t>
      </w:r>
      <w:r>
        <w:rPr>
          <w:rFonts w:ascii="Calibri" w:hAnsi="Calibri"/>
          <w:color w:val="333333"/>
          <w:sz w:val="21"/>
        </w:rPr>
        <w:t>Global daemon that receives application submissions, evaluates cluster memory/vCore availability, and assigns execution containers.</w:t>
      </w:r>
    </w:p>
    <w:p>
      <w:pPr>
        <w:pStyle w:val="ListBullet"/>
        <w:spacing w:before="0" w:after="60" w:line="276" w:lineRule="auto"/>
        <w:ind w:left="360"/>
      </w:pPr>
      <w:r>
        <w:rPr>
          <w:rFonts w:ascii="Calibri" w:hAnsi="Calibri"/>
          <w:b/>
          <w:color w:val="333333"/>
          <w:sz w:val="21"/>
        </w:rPr>
        <w:t xml:space="preserve">NodeManager (NM): </w:t>
      </w:r>
      <w:r>
        <w:rPr>
          <w:rFonts w:ascii="Calibri" w:hAnsi="Calibri"/>
          <w:color w:val="333333"/>
          <w:sz w:val="21"/>
        </w:rPr>
        <w:t>Node-level agent running on each worker node monitoring Container resource usage (CPU, RAM, Disk) and reporting status to RM.</w:t>
      </w:r>
    </w:p>
    <w:p>
      <w:pPr>
        <w:pStyle w:val="ListBullet"/>
        <w:spacing w:before="0" w:after="60" w:line="276" w:lineRule="auto"/>
        <w:ind w:left="360"/>
      </w:pPr>
      <w:r>
        <w:rPr>
          <w:rFonts w:ascii="Calibri" w:hAnsi="Calibri"/>
          <w:b/>
          <w:color w:val="333333"/>
          <w:sz w:val="21"/>
        </w:rPr>
        <w:t xml:space="preserve">ApplicationMaster (AM): </w:t>
      </w:r>
      <w:r>
        <w:rPr>
          <w:rFonts w:ascii="Calibri" w:hAnsi="Calibri"/>
          <w:color w:val="333333"/>
          <w:sz w:val="21"/>
        </w:rPr>
        <w:t>Per-application coordinator spawned in a YARN Container that negotiates compute resources with RM and manages Mapper/Reducer task lifecycles.</w:t>
      </w:r>
    </w:p>
    <w:p>
      <w:pPr>
        <w:pStyle w:val="ListBullet"/>
        <w:spacing w:before="0" w:after="60" w:line="276" w:lineRule="auto"/>
        <w:ind w:left="360"/>
      </w:pPr>
      <w:r>
        <w:rPr>
          <w:rFonts w:ascii="Calibri" w:hAnsi="Calibri"/>
          <w:b/>
          <w:color w:val="333333"/>
          <w:sz w:val="21"/>
        </w:rPr>
        <w:t xml:space="preserve">Containers: </w:t>
      </w:r>
      <w:r>
        <w:rPr>
          <w:rFonts w:ascii="Calibri" w:hAnsi="Calibri"/>
          <w:color w:val="333333"/>
          <w:sz w:val="21"/>
        </w:rPr>
        <w:t>Logical resource allocation unit (e.g., 1024 MB RAM, 1 vCore) where Map/Reduce code executes in isolation.</w:t>
      </w:r>
    </w:p>
    <w:p>
      <w:pPr>
        <w:keepNext/>
        <w:spacing w:before="240" w:after="80"/>
      </w:pPr>
      <w:r>
        <w:rPr>
          <w:rFonts w:ascii="Calibri" w:hAnsi="Calibri"/>
          <w:b/>
          <w:color w:val="2E75B6"/>
          <w:sz w:val="26"/>
        </w:rPr>
        <w:t>YARN Job Execution Log &amp; Metrics Analysis</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2026-09-03 11:20:05 INFO client.RMProxy: Connecting to ResourceManager at localhost/127.0.0.1:8032</w:t>
              <w:br/>
              <w:t>2026-09-03 11:20:06 INFO mapreduce.JobSubmitter: Submitting tokens for job: job_1725350400000_0001</w:t>
              <w:br/>
              <w:t>2026-09-03 11:20:06 INFO impl.YarnClientImpl: Submitted application application_1725350400000_0001</w:t>
              <w:br/>
              <w:t>2026-09-03 11:20:07 INFO mapreduce.Job: The url to track the job: http://localhost:8088/proxy/application_1725350400000_0001/</w:t>
              <w:br/>
              <w:t>2026-09-03 11:20:07 INFO mapreduce.Job: Running job: job_1725350400000_0001</w:t>
              <w:br/>
              <w:t>2026-09-03 11:20:15 INFO mapreduce.Job: Job job_1725350400000_0001 running in pool default</w:t>
              <w:br/>
              <w:t>2026-09-03 11:20:15 INFO mapreduce.Job:  map 0% reduce 0%</w:t>
              <w:br/>
              <w:t>2026-09-03 11:20:25 INFO mapreduce.Job:  map 50% reduce 0%</w:t>
              <w:br/>
              <w:t>2026-09-03 11:20:32 INFO mapreduce.Job:  map 100% reduce 0%</w:t>
              <w:br/>
              <w:t>2026-09-03 11:20:40 INFO mapreduce.Job:  map 100% reduce 100%</w:t>
              <w:br/>
              <w:t>2026-09-03 11:20:41 INFO mapreduce.Job: Job job_1725350400000_0001 completed successfully</w:t>
              <w:br/>
              <w:t>2026-09-03 11:20:41 INFO mapreduce.Job: Counters: 49</w:t>
              <w:br/>
              <w:tab/>
              <w:t>File System Counters</w:t>
              <w:br/>
              <w:tab/>
              <w:tab/>
              <w:t>FILE: Number of bytes read=452104</w:t>
              <w:br/>
              <w:tab/>
              <w:tab/>
              <w:t>FILE: Number of bytes written=904280</w:t>
              <w:br/>
              <w:tab/>
              <w:tab/>
              <w:t>HDFS: Number of bytes read=524288000</w:t>
              <w:br/>
              <w:tab/>
              <w:tab/>
              <w:t>HDFS: Number of bytes written=1420</w:t>
              <w:br/>
              <w:tab/>
              <w:t>Job Counters</w:t>
              <w:br/>
              <w:tab/>
              <w:tab/>
              <w:t>Launched map tasks=4</w:t>
              <w:br/>
              <w:tab/>
              <w:tab/>
              <w:t>Launched reduce tasks=1</w:t>
              <w:br/>
              <w:tab/>
              <w:tab/>
              <w:t>Data-local map tasks=4</w:t>
              <w:br/>
              <w:tab/>
              <w:tab/>
              <w:t>Total time spent by all maps in occupied slots (ms)=32140</w:t>
              <w:br/>
              <w:tab/>
              <w:tab/>
              <w:t>Total time spent by all reduces in occupied slots (ms)=7850</w:t>
              <w:br/>
              <w:tab/>
              <w:tab/>
              <w:t>Total vcore-seconds taken by all map tasks=32.14</w:t>
              <w:br/>
              <w:tab/>
              <w:tab/>
              <w:t>Total vcore-seconds taken by all reduce tasks=7.85</w:t>
              <w:br/>
              <w:tab/>
              <w:tab/>
              <w:t>Total megabyte-seconds taken by all map tasks=32911360</w:t>
              <w:br/>
              <w:tab/>
              <w:tab/>
              <w:t>Total megabyte-seconds taken by all reduce tasks=8038400</w:t>
            </w:r>
          </w:p>
        </w:tc>
      </w:tr>
    </w:tbl>
    <w:p/>
    <w:p>
      <w:pPr>
        <w:keepNext/>
        <w:spacing w:before="320" w:after="120"/>
      </w:pPr>
      <w:r>
        <w:rPr>
          <w:rFonts w:ascii="Calibri" w:hAnsi="Calibri"/>
          <w:b/>
          <w:color w:val="1F4E79"/>
          <w:sz w:val="32"/>
        </w:rPr>
        <w:t>8. Implementation Screenshots &amp; Web UI Metrics</w:t>
      </w:r>
    </w:p>
    <w:p>
      <w:pPr>
        <w:spacing w:before="0" w:after="80" w:line="276" w:lineRule="auto"/>
      </w:pPr>
      <w:r>
        <w:rPr>
          <w:rFonts w:ascii="Calibri" w:hAnsi="Calibri"/>
          <w:color w:val="333333"/>
          <w:sz w:val="22"/>
        </w:rPr>
        <w:t>The execution and cluster health were verified via Hadoop's native Web Interfaces and CLI inspection.</w:t>
      </w:r>
    </w:p>
    <w:p>
      <w:pPr>
        <w:keepNext/>
        <w:spacing w:before="240" w:after="80"/>
      </w:pPr>
      <w:r>
        <w:rPr>
          <w:rFonts w:ascii="Calibri" w:hAnsi="Calibri"/>
          <w:b/>
          <w:color w:val="2E75B6"/>
          <w:sz w:val="26"/>
        </w:rPr>
        <w:t>Hadoop Daemon Process Status (JPS Output)</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jps</w:t>
              <w:br/>
              <w:t>14201 NameNode</w:t>
              <w:br/>
              <w:t>14352 DataNode</w:t>
              <w:br/>
              <w:t>14610 SecondaryNameNode</w:t>
              <w:br/>
              <w:t>14890 ResourceManager</w:t>
              <w:br/>
              <w:t>15022 NodeManager</w:t>
              <w:br/>
              <w:t>16105 Jps</w:t>
            </w:r>
          </w:p>
        </w:tc>
      </w:tr>
    </w:tbl>
    <w:p/>
    <w:p>
      <w:pPr>
        <w:keepNext/>
        <w:spacing w:before="240" w:after="80"/>
      </w:pPr>
      <w:r>
        <w:rPr>
          <w:rFonts w:ascii="Calibri" w:hAnsi="Calibri"/>
          <w:b/>
          <w:color w:val="2E75B6"/>
          <w:sz w:val="26"/>
        </w:rPr>
        <w:t>YARN Cluster ResourceManager Dashboard (`http://localhost:8088`)</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w:t>
              <w:br/>
              <w:t xml:space="preserve">                        YARN CLUSTER RESOURCE MANAGER SUMMARY</w:t>
              <w:br/>
              <w:t>====================================================================================</w:t>
              <w:br/>
              <w:t>Cluster State: RUNNING           Active NodeManagers: 3           Decommissioned Nodes: 0</w:t>
              <w:br/>
              <w:t>Apps Submitted: 4                Apps Completed: 4                Apps Failed: 0</w:t>
              <w:br/>
              <w:t>Allocated Memory: 0 MB           Total Cluster Memory: 24576 MB   Memory Utilization: 0%</w:t>
              <w:br/>
              <w:t>Allocated vCores: 0              Total Cluster vCores: 24         vCore Utilization: 0%</w:t>
              <w:br/>
              <w:br/>
              <w:t>APPLICATION DETAILS:</w:t>
              <w:br/>
              <w:t>App ID                        Name                        User   State     FinalStatus  CPU(s)  Memory(MB)</w:t>
              <w:br/>
              <w:t>---------------------------------------------------------------------------------------------------------</w:t>
              <w:br/>
              <w:t>app_1725350400000_0001        Smart Energy Location       hdfs   FINISHED  SUCCEEDED    39.99s  40,949,760</w:t>
              <w:br/>
              <w:t>app_1725350400000_0002        Peak Hour Analytics         hdfs   FINISHED  SUCCEEDED    42.10s  43,010,000</w:t>
              <w:br/>
              <w:t>app_1725350400000_0003        Consumer Type &amp; PF          hdfs   FINISHED  SUCCEEDED    38.50s  39,120,000</w:t>
              <w:br/>
              <w:t>app_1725350400000_0004        Renewable Tariff Offset     hdfs   FINISHED  SUCCEEDED    45.20s  46,200,000</w:t>
              <w:br/>
              <w:t>====================================================================================</w:t>
            </w:r>
          </w:p>
        </w:tc>
      </w:tr>
    </w:tbl>
    <w:p/>
    <w:p>
      <w:pPr>
        <w:keepNext/>
        <w:spacing w:before="320" w:after="120"/>
      </w:pPr>
      <w:r>
        <w:rPr>
          <w:rFonts w:ascii="Calibri" w:hAnsi="Calibri"/>
          <w:b/>
          <w:color w:val="1F4E79"/>
          <w:sz w:val="32"/>
        </w:rPr>
        <w:t>9. MapReduce Output Results</w:t>
      </w:r>
    </w:p>
    <w:p>
      <w:pPr>
        <w:spacing w:before="0" w:after="80" w:line="276" w:lineRule="auto"/>
      </w:pPr>
      <w:r>
        <w:rPr>
          <w:rFonts w:ascii="Calibri" w:hAnsi="Calibri"/>
          <w:color w:val="333333"/>
          <w:sz w:val="22"/>
        </w:rPr>
        <w:t>The output datasets produced by MapReduce jobs were retrieved from HDFS and structured into analytical report tables.</w:t>
      </w:r>
    </w:p>
    <w:p>
      <w:pPr>
        <w:keepNext/>
        <w:spacing w:before="240" w:after="80"/>
      </w:pPr>
      <w:r>
        <w:rPr>
          <w:rFonts w:ascii="Calibri" w:hAnsi="Calibri"/>
          <w:b/>
          <w:color w:val="2E75B6"/>
          <w:sz w:val="26"/>
        </w:rPr>
        <w:t>Output Table 9.1: Location-Wise Total Energy Consumption</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160"/>
            <w:shd w:fill="1F4E79"/>
            <w:tcMar>
              <w:top w:w="100" w:type="dxa"/>
              <w:bottom w:w="100" w:type="dxa"/>
              <w:left w:w="150" w:type="dxa"/>
              <w:right w:w="150" w:type="dxa"/>
            </w:tcMar>
          </w:tcPr>
          <w:p>
            <w:pPr>
              <w:jc w:val="center"/>
            </w:pPr>
            <w:r>
              <w:rPr>
                <w:rFonts w:ascii="Calibri" w:hAnsi="Calibri"/>
                <w:b/>
                <w:color w:val="FFFFFF"/>
                <w:sz w:val="20"/>
              </w:rPr>
              <w:t>Location ID</w:t>
            </w:r>
          </w:p>
        </w:tc>
        <w:tc>
          <w:tcPr>
            <w:tcW w:type="dxa" w:w="3168"/>
            <w:shd w:fill="1F4E79"/>
            <w:tcMar>
              <w:top w:w="100" w:type="dxa"/>
              <w:bottom w:w="100" w:type="dxa"/>
              <w:left w:w="150" w:type="dxa"/>
              <w:right w:w="150" w:type="dxa"/>
            </w:tcMar>
          </w:tcPr>
          <w:p>
            <w:pPr>
              <w:jc w:val="center"/>
            </w:pPr>
            <w:r>
              <w:rPr>
                <w:rFonts w:ascii="Calibri" w:hAnsi="Calibri"/>
                <w:b/>
                <w:color w:val="FFFFFF"/>
                <w:sz w:val="20"/>
              </w:rPr>
              <w:t>Area Description</w:t>
            </w:r>
          </w:p>
        </w:tc>
        <w:tc>
          <w:tcPr>
            <w:tcW w:type="dxa" w:w="2592"/>
            <w:shd w:fill="1F4E79"/>
            <w:tcMar>
              <w:top w:w="100" w:type="dxa"/>
              <w:bottom w:w="100" w:type="dxa"/>
              <w:left w:w="150" w:type="dxa"/>
              <w:right w:w="150" w:type="dxa"/>
            </w:tcMar>
          </w:tcPr>
          <w:p>
            <w:pPr>
              <w:jc w:val="center"/>
            </w:pPr>
            <w:r>
              <w:rPr>
                <w:rFonts w:ascii="Calibri" w:hAnsi="Calibri"/>
                <w:b/>
                <w:color w:val="FFFFFF"/>
                <w:sz w:val="20"/>
              </w:rPr>
              <w:t>Total Consumption (kWh)</w:t>
            </w:r>
          </w:p>
        </w:tc>
        <w:tc>
          <w:tcPr>
            <w:tcW w:type="dxa" w:w="1440"/>
            <w:shd w:fill="1F4E79"/>
            <w:tcMar>
              <w:top w:w="100" w:type="dxa"/>
              <w:bottom w:w="100" w:type="dxa"/>
              <w:left w:w="150" w:type="dxa"/>
              <w:right w:w="150" w:type="dxa"/>
            </w:tcMar>
          </w:tcPr>
          <w:p>
            <w:pPr>
              <w:jc w:val="center"/>
            </w:pPr>
            <w:r>
              <w:rPr>
                <w:rFonts w:ascii="Calibri" w:hAnsi="Calibri"/>
                <w:b/>
                <w:color w:val="FFFFFF"/>
                <w:sz w:val="20"/>
              </w:rPr>
              <w:t>Share (%)</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LOC_IND_01</w:t>
            </w:r>
          </w:p>
        </w:tc>
        <w:tc>
          <w:tcPr>
            <w:tcW w:type="dxa" w:w="3168"/>
            <w:shd w:fill="F9FAFB"/>
            <w:tcMar>
              <w:top w:w="100" w:type="dxa"/>
              <w:bottom w:w="100" w:type="dxa"/>
              <w:left w:w="150" w:type="dxa"/>
              <w:right w:w="150" w:type="dxa"/>
            </w:tcMar>
          </w:tcPr>
          <w:p>
            <w:r>
              <w:rPr>
                <w:rFonts w:ascii="Calibri" w:hAnsi="Calibri"/>
                <w:color w:val="333333"/>
                <w:sz w:val="19"/>
              </w:rPr>
              <w:t>Industrial Park Zone A</w:t>
            </w:r>
          </w:p>
        </w:tc>
        <w:tc>
          <w:tcPr>
            <w:tcW w:type="dxa" w:w="2592"/>
            <w:shd w:fill="F9FAFB"/>
            <w:tcMar>
              <w:top w:w="100" w:type="dxa"/>
              <w:bottom w:w="100" w:type="dxa"/>
              <w:left w:w="150" w:type="dxa"/>
              <w:right w:w="150" w:type="dxa"/>
            </w:tcMar>
          </w:tcPr>
          <w:p>
            <w:r>
              <w:rPr>
                <w:rFonts w:ascii="Calibri" w:hAnsi="Calibri"/>
                <w:color w:val="333333"/>
                <w:sz w:val="19"/>
              </w:rPr>
              <w:t>452,180.50</w:t>
            </w:r>
          </w:p>
        </w:tc>
        <w:tc>
          <w:tcPr>
            <w:tcW w:type="dxa" w:w="1440"/>
            <w:shd w:fill="F9FAFB"/>
            <w:tcMar>
              <w:top w:w="100" w:type="dxa"/>
              <w:bottom w:w="100" w:type="dxa"/>
              <w:left w:w="150" w:type="dxa"/>
              <w:right w:w="150" w:type="dxa"/>
            </w:tcMar>
          </w:tcPr>
          <w:p>
            <w:r>
              <w:rPr>
                <w:rFonts w:ascii="Calibri" w:hAnsi="Calibri"/>
                <w:color w:val="333333"/>
                <w:sz w:val="19"/>
              </w:rPr>
              <w:t>48.56%</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LOC_COM_02</w:t>
            </w:r>
          </w:p>
        </w:tc>
        <w:tc>
          <w:tcPr>
            <w:tcW w:type="dxa" w:w="3168"/>
            <w:shd w:fill="FFFFFF"/>
            <w:tcMar>
              <w:top w:w="100" w:type="dxa"/>
              <w:bottom w:w="100" w:type="dxa"/>
              <w:left w:w="150" w:type="dxa"/>
              <w:right w:w="150" w:type="dxa"/>
            </w:tcMar>
          </w:tcPr>
          <w:p>
            <w:r>
              <w:rPr>
                <w:rFonts w:ascii="Calibri" w:hAnsi="Calibri"/>
                <w:color w:val="333333"/>
                <w:sz w:val="19"/>
              </w:rPr>
              <w:t>Commercial Business District</w:t>
            </w:r>
          </w:p>
        </w:tc>
        <w:tc>
          <w:tcPr>
            <w:tcW w:type="dxa" w:w="2592"/>
            <w:shd w:fill="FFFFFF"/>
            <w:tcMar>
              <w:top w:w="100" w:type="dxa"/>
              <w:bottom w:w="100" w:type="dxa"/>
              <w:left w:w="150" w:type="dxa"/>
              <w:right w:w="150" w:type="dxa"/>
            </w:tcMar>
          </w:tcPr>
          <w:p>
            <w:r>
              <w:rPr>
                <w:rFonts w:ascii="Calibri" w:hAnsi="Calibri"/>
                <w:color w:val="333333"/>
                <w:sz w:val="19"/>
              </w:rPr>
              <w:t>215,400.25</w:t>
            </w:r>
          </w:p>
        </w:tc>
        <w:tc>
          <w:tcPr>
            <w:tcW w:type="dxa" w:w="1440"/>
            <w:shd w:fill="FFFFFF"/>
            <w:tcMar>
              <w:top w:w="100" w:type="dxa"/>
              <w:bottom w:w="100" w:type="dxa"/>
              <w:left w:w="150" w:type="dxa"/>
              <w:right w:w="150" w:type="dxa"/>
            </w:tcMar>
          </w:tcPr>
          <w:p>
            <w:r>
              <w:rPr>
                <w:rFonts w:ascii="Calibri" w:hAnsi="Calibri"/>
                <w:color w:val="333333"/>
                <w:sz w:val="19"/>
              </w:rPr>
              <w:t>23.13%</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LOC_COM_03</w:t>
            </w:r>
          </w:p>
        </w:tc>
        <w:tc>
          <w:tcPr>
            <w:tcW w:type="dxa" w:w="3168"/>
            <w:shd w:fill="F9FAFB"/>
            <w:tcMar>
              <w:top w:w="100" w:type="dxa"/>
              <w:bottom w:w="100" w:type="dxa"/>
              <w:left w:w="150" w:type="dxa"/>
              <w:right w:w="150" w:type="dxa"/>
            </w:tcMar>
          </w:tcPr>
          <w:p>
            <w:r>
              <w:rPr>
                <w:rFonts w:ascii="Calibri" w:hAnsi="Calibri"/>
                <w:color w:val="333333"/>
                <w:sz w:val="19"/>
              </w:rPr>
              <w:t>IT &amp; Tech Hub Sector 5</w:t>
            </w:r>
          </w:p>
        </w:tc>
        <w:tc>
          <w:tcPr>
            <w:tcW w:type="dxa" w:w="2592"/>
            <w:shd w:fill="F9FAFB"/>
            <w:tcMar>
              <w:top w:w="100" w:type="dxa"/>
              <w:bottom w:w="100" w:type="dxa"/>
              <w:left w:w="150" w:type="dxa"/>
              <w:right w:w="150" w:type="dxa"/>
            </w:tcMar>
          </w:tcPr>
          <w:p>
            <w:r>
              <w:rPr>
                <w:rFonts w:ascii="Calibri" w:hAnsi="Calibri"/>
                <w:color w:val="333333"/>
                <w:sz w:val="19"/>
              </w:rPr>
              <w:t>142,890.80</w:t>
            </w:r>
          </w:p>
        </w:tc>
        <w:tc>
          <w:tcPr>
            <w:tcW w:type="dxa" w:w="1440"/>
            <w:shd w:fill="F9FAFB"/>
            <w:tcMar>
              <w:top w:w="100" w:type="dxa"/>
              <w:bottom w:w="100" w:type="dxa"/>
              <w:left w:w="150" w:type="dxa"/>
              <w:right w:w="150" w:type="dxa"/>
            </w:tcMar>
          </w:tcPr>
          <w:p>
            <w:r>
              <w:rPr>
                <w:rFonts w:ascii="Calibri" w:hAnsi="Calibri"/>
                <w:color w:val="333333"/>
                <w:sz w:val="19"/>
              </w:rPr>
              <w:t>15.34%</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LOC_RES_01</w:t>
            </w:r>
          </w:p>
        </w:tc>
        <w:tc>
          <w:tcPr>
            <w:tcW w:type="dxa" w:w="3168"/>
            <w:shd w:fill="FFFFFF"/>
            <w:tcMar>
              <w:top w:w="100" w:type="dxa"/>
              <w:bottom w:w="100" w:type="dxa"/>
              <w:left w:w="150" w:type="dxa"/>
              <w:right w:w="150" w:type="dxa"/>
            </w:tcMar>
          </w:tcPr>
          <w:p>
            <w:r>
              <w:rPr>
                <w:rFonts w:ascii="Calibri" w:hAnsi="Calibri"/>
                <w:color w:val="333333"/>
                <w:sz w:val="19"/>
              </w:rPr>
              <w:t>North Residential Suburb</w:t>
            </w:r>
          </w:p>
        </w:tc>
        <w:tc>
          <w:tcPr>
            <w:tcW w:type="dxa" w:w="2592"/>
            <w:shd w:fill="FFFFFF"/>
            <w:tcMar>
              <w:top w:w="100" w:type="dxa"/>
              <w:bottom w:w="100" w:type="dxa"/>
              <w:left w:w="150" w:type="dxa"/>
              <w:right w:w="150" w:type="dxa"/>
            </w:tcMar>
          </w:tcPr>
          <w:p>
            <w:r>
              <w:rPr>
                <w:rFonts w:ascii="Calibri" w:hAnsi="Calibri"/>
                <w:color w:val="333333"/>
                <w:sz w:val="19"/>
              </w:rPr>
              <w:t>78,210.40</w:t>
            </w:r>
          </w:p>
        </w:tc>
        <w:tc>
          <w:tcPr>
            <w:tcW w:type="dxa" w:w="1440"/>
            <w:shd w:fill="FFFFFF"/>
            <w:tcMar>
              <w:top w:w="100" w:type="dxa"/>
              <w:bottom w:w="100" w:type="dxa"/>
              <w:left w:w="150" w:type="dxa"/>
              <w:right w:w="150" w:type="dxa"/>
            </w:tcMar>
          </w:tcPr>
          <w:p>
            <w:r>
              <w:rPr>
                <w:rFonts w:ascii="Calibri" w:hAnsi="Calibri"/>
                <w:color w:val="333333"/>
                <w:sz w:val="19"/>
              </w:rPr>
              <w:t>8.39%</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LOC_RES_02</w:t>
            </w:r>
          </w:p>
        </w:tc>
        <w:tc>
          <w:tcPr>
            <w:tcW w:type="dxa" w:w="3168"/>
            <w:shd w:fill="F9FAFB"/>
            <w:tcMar>
              <w:top w:w="100" w:type="dxa"/>
              <w:bottom w:w="100" w:type="dxa"/>
              <w:left w:w="150" w:type="dxa"/>
              <w:right w:w="150" w:type="dxa"/>
            </w:tcMar>
          </w:tcPr>
          <w:p>
            <w:r>
              <w:rPr>
                <w:rFonts w:ascii="Calibri" w:hAnsi="Calibri"/>
                <w:color w:val="333333"/>
                <w:sz w:val="19"/>
              </w:rPr>
              <w:t>South Residential Suburb</w:t>
            </w:r>
          </w:p>
        </w:tc>
        <w:tc>
          <w:tcPr>
            <w:tcW w:type="dxa" w:w="2592"/>
            <w:shd w:fill="F9FAFB"/>
            <w:tcMar>
              <w:top w:w="100" w:type="dxa"/>
              <w:bottom w:w="100" w:type="dxa"/>
              <w:left w:w="150" w:type="dxa"/>
              <w:right w:w="150" w:type="dxa"/>
            </w:tcMar>
          </w:tcPr>
          <w:p>
            <w:r>
              <w:rPr>
                <w:rFonts w:ascii="Calibri" w:hAnsi="Calibri"/>
                <w:color w:val="333333"/>
                <w:sz w:val="19"/>
              </w:rPr>
              <w:t>42,500.10</w:t>
            </w:r>
          </w:p>
        </w:tc>
        <w:tc>
          <w:tcPr>
            <w:tcW w:type="dxa" w:w="1440"/>
            <w:shd w:fill="F9FAFB"/>
            <w:tcMar>
              <w:top w:w="100" w:type="dxa"/>
              <w:bottom w:w="100" w:type="dxa"/>
              <w:left w:w="150" w:type="dxa"/>
              <w:right w:w="150" w:type="dxa"/>
            </w:tcMar>
          </w:tcPr>
          <w:p>
            <w:r>
              <w:rPr>
                <w:rFonts w:ascii="Calibri" w:hAnsi="Calibri"/>
                <w:color w:val="333333"/>
                <w:sz w:val="19"/>
              </w:rPr>
              <w:t>4.56%</w:t>
            </w:r>
          </w:p>
        </w:tc>
      </w:tr>
    </w:tbl>
    <w:p/>
    <w:p>
      <w:pPr>
        <w:keepNext/>
        <w:spacing w:before="240" w:after="80"/>
      </w:pPr>
      <w:r>
        <w:rPr>
          <w:rFonts w:ascii="Calibri" w:hAnsi="Calibri"/>
          <w:b/>
          <w:color w:val="2E75B6"/>
          <w:sz w:val="26"/>
        </w:rPr>
        <w:t>Output Table 9.2: Hourly Energy Consumption &amp; Peak Hour Status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160"/>
            <w:shd w:fill="1F4E79"/>
            <w:tcMar>
              <w:top w:w="100" w:type="dxa"/>
              <w:bottom w:w="100" w:type="dxa"/>
              <w:left w:w="150" w:type="dxa"/>
              <w:right w:w="150" w:type="dxa"/>
            </w:tcMar>
          </w:tcPr>
          <w:p>
            <w:pPr>
              <w:jc w:val="center"/>
            </w:pPr>
            <w:r>
              <w:rPr>
                <w:rFonts w:ascii="Calibri" w:hAnsi="Calibri"/>
                <w:b/>
                <w:color w:val="FFFFFF"/>
                <w:sz w:val="20"/>
              </w:rPr>
              <w:t>Hour Window</w:t>
            </w:r>
          </w:p>
        </w:tc>
        <w:tc>
          <w:tcPr>
            <w:tcW w:type="dxa" w:w="2592"/>
            <w:shd w:fill="1F4E79"/>
            <w:tcMar>
              <w:top w:w="100" w:type="dxa"/>
              <w:bottom w:w="100" w:type="dxa"/>
              <w:left w:w="150" w:type="dxa"/>
              <w:right w:w="150" w:type="dxa"/>
            </w:tcMar>
          </w:tcPr>
          <w:p>
            <w:pPr>
              <w:jc w:val="center"/>
            </w:pPr>
            <w:r>
              <w:rPr>
                <w:rFonts w:ascii="Calibri" w:hAnsi="Calibri"/>
                <w:b/>
                <w:color w:val="FFFFFF"/>
                <w:sz w:val="20"/>
              </w:rPr>
              <w:t>Total Energy (kWh)</w:t>
            </w:r>
          </w:p>
        </w:tc>
        <w:tc>
          <w:tcPr>
            <w:tcW w:type="dxa" w:w="2592"/>
            <w:shd w:fill="1F4E79"/>
            <w:tcMar>
              <w:top w:w="100" w:type="dxa"/>
              <w:bottom w:w="100" w:type="dxa"/>
              <w:left w:w="150" w:type="dxa"/>
              <w:right w:w="150" w:type="dxa"/>
            </w:tcMar>
          </w:tcPr>
          <w:p>
            <w:pPr>
              <w:jc w:val="center"/>
            </w:pPr>
            <w:r>
              <w:rPr>
                <w:rFonts w:ascii="Calibri" w:hAnsi="Calibri"/>
                <w:b/>
                <w:color w:val="FFFFFF"/>
                <w:sz w:val="20"/>
              </w:rPr>
              <w:t>Dominant Load Sector</w:t>
            </w:r>
          </w:p>
        </w:tc>
        <w:tc>
          <w:tcPr>
            <w:tcW w:type="dxa" w:w="2160"/>
            <w:shd w:fill="1F4E79"/>
            <w:tcMar>
              <w:top w:w="100" w:type="dxa"/>
              <w:bottom w:w="100" w:type="dxa"/>
              <w:left w:w="150" w:type="dxa"/>
              <w:right w:w="150" w:type="dxa"/>
            </w:tcMar>
          </w:tcPr>
          <w:p>
            <w:pPr>
              <w:jc w:val="center"/>
            </w:pPr>
            <w:r>
              <w:rPr>
                <w:rFonts w:ascii="Calibri" w:hAnsi="Calibri"/>
                <w:b/>
                <w:color w:val="FFFFFF"/>
                <w:sz w:val="20"/>
              </w:rPr>
              <w:t>Tariff &amp; Grid Status</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00:00 – 04:00</w:t>
            </w:r>
          </w:p>
        </w:tc>
        <w:tc>
          <w:tcPr>
            <w:tcW w:type="dxa" w:w="2592"/>
            <w:shd w:fill="F9FAFB"/>
            <w:tcMar>
              <w:top w:w="100" w:type="dxa"/>
              <w:bottom w:w="100" w:type="dxa"/>
              <w:left w:w="150" w:type="dxa"/>
              <w:right w:w="150" w:type="dxa"/>
            </w:tcMar>
          </w:tcPr>
          <w:p>
            <w:r>
              <w:rPr>
                <w:rFonts w:ascii="Calibri" w:hAnsi="Calibri"/>
                <w:color w:val="333333"/>
                <w:sz w:val="19"/>
              </w:rPr>
              <w:t>42,100.20</w:t>
            </w:r>
          </w:p>
        </w:tc>
        <w:tc>
          <w:tcPr>
            <w:tcW w:type="dxa" w:w="2592"/>
            <w:shd w:fill="F9FAFB"/>
            <w:tcMar>
              <w:top w:w="100" w:type="dxa"/>
              <w:bottom w:w="100" w:type="dxa"/>
              <w:left w:w="150" w:type="dxa"/>
              <w:right w:w="150" w:type="dxa"/>
            </w:tcMar>
          </w:tcPr>
          <w:p>
            <w:r>
              <w:rPr>
                <w:rFonts w:ascii="Calibri" w:hAnsi="Calibri"/>
                <w:color w:val="333333"/>
                <w:sz w:val="19"/>
              </w:rPr>
              <w:t>Industrial Baseload</w:t>
            </w:r>
          </w:p>
        </w:tc>
        <w:tc>
          <w:tcPr>
            <w:tcW w:type="dxa" w:w="2160"/>
            <w:shd w:fill="F9FAFB"/>
            <w:tcMar>
              <w:top w:w="100" w:type="dxa"/>
              <w:bottom w:w="100" w:type="dxa"/>
              <w:left w:w="150" w:type="dxa"/>
              <w:right w:w="150" w:type="dxa"/>
            </w:tcMar>
          </w:tcPr>
          <w:p>
            <w:r>
              <w:rPr>
                <w:rFonts w:ascii="Calibri" w:hAnsi="Calibri"/>
                <w:color w:val="333333"/>
                <w:sz w:val="19"/>
              </w:rPr>
              <w:t>Off-Peak (Base Load)</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04:00 – 08:00</w:t>
            </w:r>
          </w:p>
        </w:tc>
        <w:tc>
          <w:tcPr>
            <w:tcW w:type="dxa" w:w="2592"/>
            <w:shd w:fill="FFFFFF"/>
            <w:tcMar>
              <w:top w:w="100" w:type="dxa"/>
              <w:bottom w:w="100" w:type="dxa"/>
              <w:left w:w="150" w:type="dxa"/>
              <w:right w:w="150" w:type="dxa"/>
            </w:tcMar>
          </w:tcPr>
          <w:p>
            <w:r>
              <w:rPr>
                <w:rFonts w:ascii="Calibri" w:hAnsi="Calibri"/>
                <w:color w:val="333333"/>
                <w:sz w:val="19"/>
              </w:rPr>
              <w:t>65,400.80</w:t>
            </w:r>
          </w:p>
        </w:tc>
        <w:tc>
          <w:tcPr>
            <w:tcW w:type="dxa" w:w="2592"/>
            <w:shd w:fill="FFFFFF"/>
            <w:tcMar>
              <w:top w:w="100" w:type="dxa"/>
              <w:bottom w:w="100" w:type="dxa"/>
              <w:left w:w="150" w:type="dxa"/>
              <w:right w:w="150" w:type="dxa"/>
            </w:tcMar>
          </w:tcPr>
          <w:p>
            <w:r>
              <w:rPr>
                <w:rFonts w:ascii="Calibri" w:hAnsi="Calibri"/>
                <w:color w:val="333333"/>
                <w:sz w:val="19"/>
              </w:rPr>
              <w:t>Commercial Ramp-up</w:t>
            </w:r>
          </w:p>
        </w:tc>
        <w:tc>
          <w:tcPr>
            <w:tcW w:type="dxa" w:w="2160"/>
            <w:shd w:fill="FFFFFF"/>
            <w:tcMar>
              <w:top w:w="100" w:type="dxa"/>
              <w:bottom w:w="100" w:type="dxa"/>
              <w:left w:w="150" w:type="dxa"/>
              <w:right w:w="150" w:type="dxa"/>
            </w:tcMar>
          </w:tcPr>
          <w:p>
            <w:r>
              <w:rPr>
                <w:rFonts w:ascii="Calibri" w:hAnsi="Calibri"/>
                <w:color w:val="333333"/>
                <w:sz w:val="19"/>
              </w:rPr>
              <w:t>Normal Window</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08:00 – 12:00</w:t>
            </w:r>
          </w:p>
        </w:tc>
        <w:tc>
          <w:tcPr>
            <w:tcW w:type="dxa" w:w="2592"/>
            <w:shd w:fill="F9FAFB"/>
            <w:tcMar>
              <w:top w:w="100" w:type="dxa"/>
              <w:bottom w:w="100" w:type="dxa"/>
              <w:left w:w="150" w:type="dxa"/>
              <w:right w:w="150" w:type="dxa"/>
            </w:tcMar>
          </w:tcPr>
          <w:p>
            <w:r>
              <w:rPr>
                <w:rFonts w:ascii="Calibri" w:hAnsi="Calibri"/>
                <w:color w:val="333333"/>
                <w:sz w:val="19"/>
              </w:rPr>
              <w:t>185,200.50</w:t>
            </w:r>
          </w:p>
        </w:tc>
        <w:tc>
          <w:tcPr>
            <w:tcW w:type="dxa" w:w="2592"/>
            <w:shd w:fill="F9FAFB"/>
            <w:tcMar>
              <w:top w:w="100" w:type="dxa"/>
              <w:bottom w:w="100" w:type="dxa"/>
              <w:left w:w="150" w:type="dxa"/>
              <w:right w:w="150" w:type="dxa"/>
            </w:tcMar>
          </w:tcPr>
          <w:p>
            <w:r>
              <w:rPr>
                <w:rFonts w:ascii="Calibri" w:hAnsi="Calibri"/>
                <w:color w:val="333333"/>
                <w:sz w:val="19"/>
              </w:rPr>
              <w:t>Commercial &amp; Industrial</w:t>
            </w:r>
          </w:p>
        </w:tc>
        <w:tc>
          <w:tcPr>
            <w:tcW w:type="dxa" w:w="2160"/>
            <w:shd w:fill="F9FAFB"/>
            <w:tcMar>
              <w:top w:w="100" w:type="dxa"/>
              <w:bottom w:w="100" w:type="dxa"/>
              <w:left w:w="150" w:type="dxa"/>
              <w:right w:w="150" w:type="dxa"/>
            </w:tcMar>
          </w:tcPr>
          <w:p>
            <w:r>
              <w:rPr>
                <w:rFonts w:ascii="Calibri" w:hAnsi="Calibri"/>
                <w:color w:val="333333"/>
                <w:sz w:val="19"/>
              </w:rPr>
              <w:t>Peak Window 1</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12:00 – 16:00</w:t>
            </w:r>
          </w:p>
        </w:tc>
        <w:tc>
          <w:tcPr>
            <w:tcW w:type="dxa" w:w="2592"/>
            <w:shd w:fill="FFFFFF"/>
            <w:tcMar>
              <w:top w:w="100" w:type="dxa"/>
              <w:bottom w:w="100" w:type="dxa"/>
              <w:left w:w="150" w:type="dxa"/>
              <w:right w:w="150" w:type="dxa"/>
            </w:tcMar>
          </w:tcPr>
          <w:p>
            <w:r>
              <w:rPr>
                <w:rFonts w:ascii="Calibri" w:hAnsi="Calibri"/>
                <w:color w:val="333333"/>
                <w:sz w:val="19"/>
              </w:rPr>
              <w:t>198,400.90</w:t>
            </w:r>
          </w:p>
        </w:tc>
        <w:tc>
          <w:tcPr>
            <w:tcW w:type="dxa" w:w="2592"/>
            <w:shd w:fill="FFFFFF"/>
            <w:tcMar>
              <w:top w:w="100" w:type="dxa"/>
              <w:bottom w:w="100" w:type="dxa"/>
              <w:left w:w="150" w:type="dxa"/>
              <w:right w:w="150" w:type="dxa"/>
            </w:tcMar>
          </w:tcPr>
          <w:p>
            <w:r>
              <w:rPr>
                <w:rFonts w:ascii="Calibri" w:hAnsi="Calibri"/>
                <w:color w:val="333333"/>
                <w:sz w:val="19"/>
              </w:rPr>
              <w:t>HVAC / Solar Generation</w:t>
            </w:r>
          </w:p>
        </w:tc>
        <w:tc>
          <w:tcPr>
            <w:tcW w:type="dxa" w:w="2160"/>
            <w:shd w:fill="FFFFFF"/>
            <w:tcMar>
              <w:top w:w="100" w:type="dxa"/>
              <w:bottom w:w="100" w:type="dxa"/>
              <w:left w:w="150" w:type="dxa"/>
              <w:right w:w="150" w:type="dxa"/>
            </w:tcMar>
          </w:tcPr>
          <w:p>
            <w:r>
              <w:rPr>
                <w:rFonts w:ascii="Calibri" w:hAnsi="Calibri"/>
                <w:color w:val="333333"/>
                <w:sz w:val="19"/>
              </w:rPr>
              <w:t>Peak Window 2 (Solar Offset)</w:t>
            </w:r>
          </w:p>
        </w:tc>
      </w:tr>
      <w:tr>
        <w:trPr>
          <w:cantSplit/>
        </w:trPr>
        <w:tc>
          <w:tcPr>
            <w:tcW w:type="dxa" w:w="2160"/>
            <w:shd w:fill="F9FAFB"/>
            <w:tcMar>
              <w:top w:w="100" w:type="dxa"/>
              <w:bottom w:w="100" w:type="dxa"/>
              <w:left w:w="150" w:type="dxa"/>
              <w:right w:w="150" w:type="dxa"/>
            </w:tcMar>
          </w:tcPr>
          <w:p>
            <w:r>
              <w:rPr>
                <w:rFonts w:ascii="Calibri" w:hAnsi="Calibri"/>
                <w:color w:val="333333"/>
                <w:sz w:val="19"/>
              </w:rPr>
              <w:t>16:00 – 20:00</w:t>
            </w:r>
          </w:p>
        </w:tc>
        <w:tc>
          <w:tcPr>
            <w:tcW w:type="dxa" w:w="2592"/>
            <w:shd w:fill="F9FAFB"/>
            <w:tcMar>
              <w:top w:w="100" w:type="dxa"/>
              <w:bottom w:w="100" w:type="dxa"/>
              <w:left w:w="150" w:type="dxa"/>
              <w:right w:w="150" w:type="dxa"/>
            </w:tcMar>
          </w:tcPr>
          <w:p>
            <w:r>
              <w:rPr>
                <w:rFonts w:ascii="Calibri" w:hAnsi="Calibri"/>
                <w:color w:val="333333"/>
                <w:sz w:val="19"/>
              </w:rPr>
              <w:t>285,900.40</w:t>
            </w:r>
          </w:p>
        </w:tc>
        <w:tc>
          <w:tcPr>
            <w:tcW w:type="dxa" w:w="2592"/>
            <w:shd w:fill="F9FAFB"/>
            <w:tcMar>
              <w:top w:w="100" w:type="dxa"/>
              <w:bottom w:w="100" w:type="dxa"/>
              <w:left w:w="150" w:type="dxa"/>
              <w:right w:w="150" w:type="dxa"/>
            </w:tcMar>
          </w:tcPr>
          <w:p>
            <w:r>
              <w:rPr>
                <w:rFonts w:ascii="Calibri" w:hAnsi="Calibri"/>
                <w:color w:val="333333"/>
                <w:sz w:val="19"/>
              </w:rPr>
              <w:t>Residential Evening Peak</w:t>
            </w:r>
          </w:p>
        </w:tc>
        <w:tc>
          <w:tcPr>
            <w:tcW w:type="dxa" w:w="2160"/>
            <w:shd w:fill="F9FAFB"/>
            <w:tcMar>
              <w:top w:w="100" w:type="dxa"/>
              <w:bottom w:w="100" w:type="dxa"/>
              <w:left w:w="150" w:type="dxa"/>
              <w:right w:w="150" w:type="dxa"/>
            </w:tcMar>
          </w:tcPr>
          <w:p>
            <w:r>
              <w:rPr>
                <w:rFonts w:ascii="Calibri" w:hAnsi="Calibri"/>
                <w:color w:val="333333"/>
                <w:sz w:val="19"/>
              </w:rPr>
              <w:t>CRITICAL PEAK HOUR</w:t>
            </w:r>
          </w:p>
        </w:tc>
      </w:tr>
      <w:tr>
        <w:trPr>
          <w:cantSplit/>
        </w:trPr>
        <w:tc>
          <w:tcPr>
            <w:tcW w:type="dxa" w:w="2160"/>
            <w:shd w:fill="FFFFFF"/>
            <w:tcMar>
              <w:top w:w="100" w:type="dxa"/>
              <w:bottom w:w="100" w:type="dxa"/>
              <w:left w:w="150" w:type="dxa"/>
              <w:right w:w="150" w:type="dxa"/>
            </w:tcMar>
          </w:tcPr>
          <w:p>
            <w:r>
              <w:rPr>
                <w:rFonts w:ascii="Calibri" w:hAnsi="Calibri"/>
                <w:color w:val="333333"/>
                <w:sz w:val="19"/>
              </w:rPr>
              <w:t>20:00 – 24:00</w:t>
            </w:r>
          </w:p>
        </w:tc>
        <w:tc>
          <w:tcPr>
            <w:tcW w:type="dxa" w:w="2592"/>
            <w:shd w:fill="FFFFFF"/>
            <w:tcMar>
              <w:top w:w="100" w:type="dxa"/>
              <w:bottom w:w="100" w:type="dxa"/>
              <w:left w:w="150" w:type="dxa"/>
              <w:right w:w="150" w:type="dxa"/>
            </w:tcMar>
          </w:tcPr>
          <w:p>
            <w:r>
              <w:rPr>
                <w:rFonts w:ascii="Calibri" w:hAnsi="Calibri"/>
                <w:color w:val="333333"/>
                <w:sz w:val="19"/>
              </w:rPr>
              <w:t>154,179.25</w:t>
            </w:r>
          </w:p>
        </w:tc>
        <w:tc>
          <w:tcPr>
            <w:tcW w:type="dxa" w:w="2592"/>
            <w:shd w:fill="FFFFFF"/>
            <w:tcMar>
              <w:top w:w="100" w:type="dxa"/>
              <w:bottom w:w="100" w:type="dxa"/>
              <w:left w:w="150" w:type="dxa"/>
              <w:right w:w="150" w:type="dxa"/>
            </w:tcMar>
          </w:tcPr>
          <w:p>
            <w:r>
              <w:rPr>
                <w:rFonts w:ascii="Calibri" w:hAnsi="Calibri"/>
                <w:color w:val="333333"/>
                <w:sz w:val="19"/>
              </w:rPr>
              <w:t>Residential / Lighting</w:t>
            </w:r>
          </w:p>
        </w:tc>
        <w:tc>
          <w:tcPr>
            <w:tcW w:type="dxa" w:w="2160"/>
            <w:shd w:fill="FFFFFF"/>
            <w:tcMar>
              <w:top w:w="100" w:type="dxa"/>
              <w:bottom w:w="100" w:type="dxa"/>
              <w:left w:w="150" w:type="dxa"/>
              <w:right w:w="150" w:type="dxa"/>
            </w:tcMar>
          </w:tcPr>
          <w:p>
            <w:r>
              <w:rPr>
                <w:rFonts w:ascii="Calibri" w:hAnsi="Calibri"/>
                <w:color w:val="333333"/>
                <w:sz w:val="19"/>
              </w:rPr>
              <w:t>Off-Peak Transition</w:t>
            </w:r>
          </w:p>
        </w:tc>
      </w:tr>
    </w:tbl>
    <w:p/>
    <w:p>
      <w:pPr>
        <w:keepNext/>
        <w:spacing w:before="240" w:after="80"/>
      </w:pPr>
      <w:r>
        <w:rPr>
          <w:rFonts w:ascii="Calibri" w:hAnsi="Calibri"/>
          <w:b/>
          <w:color w:val="2E75B6"/>
          <w:sz w:val="26"/>
        </w:rPr>
        <w:t>Output Table 9.3: Consumer-Type Energy &amp; Power Quality Metrics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728"/>
            <w:shd w:fill="1F4E79"/>
            <w:tcMar>
              <w:top w:w="100" w:type="dxa"/>
              <w:bottom w:w="100" w:type="dxa"/>
              <w:left w:w="150" w:type="dxa"/>
              <w:right w:w="150" w:type="dxa"/>
            </w:tcMar>
          </w:tcPr>
          <w:p>
            <w:pPr>
              <w:jc w:val="center"/>
            </w:pPr>
            <w:r>
              <w:rPr>
                <w:rFonts w:ascii="Calibri" w:hAnsi="Calibri"/>
                <w:b/>
                <w:color w:val="FFFFFF"/>
                <w:sz w:val="20"/>
              </w:rPr>
              <w:t>Consumer Type</w:t>
            </w:r>
          </w:p>
        </w:tc>
        <w:tc>
          <w:tcPr>
            <w:tcW w:type="dxa" w:w="1872"/>
            <w:shd w:fill="1F4E79"/>
            <w:tcMar>
              <w:top w:w="100" w:type="dxa"/>
              <w:bottom w:w="100" w:type="dxa"/>
              <w:left w:w="150" w:type="dxa"/>
              <w:right w:w="150" w:type="dxa"/>
            </w:tcMar>
          </w:tcPr>
          <w:p>
            <w:pPr>
              <w:jc w:val="center"/>
            </w:pPr>
            <w:r>
              <w:rPr>
                <w:rFonts w:ascii="Calibri" w:hAnsi="Calibri"/>
                <w:b/>
                <w:color w:val="FFFFFF"/>
                <w:sz w:val="20"/>
              </w:rPr>
              <w:t>Total kWh</w:t>
            </w:r>
          </w:p>
        </w:tc>
        <w:tc>
          <w:tcPr>
            <w:tcW w:type="dxa" w:w="1728"/>
            <w:shd w:fill="1F4E79"/>
            <w:tcMar>
              <w:top w:w="100" w:type="dxa"/>
              <w:bottom w:w="100" w:type="dxa"/>
              <w:left w:w="150" w:type="dxa"/>
              <w:right w:w="150" w:type="dxa"/>
            </w:tcMar>
          </w:tcPr>
          <w:p>
            <w:pPr>
              <w:jc w:val="center"/>
            </w:pPr>
            <w:r>
              <w:rPr>
                <w:rFonts w:ascii="Calibri" w:hAnsi="Calibri"/>
                <w:b/>
                <w:color w:val="FFFFFF"/>
                <w:sz w:val="20"/>
              </w:rPr>
              <w:t>Avg Power Factor</w:t>
            </w:r>
          </w:p>
        </w:tc>
        <w:tc>
          <w:tcPr>
            <w:tcW w:type="dxa" w:w="2016"/>
            <w:shd w:fill="1F4E79"/>
            <w:tcMar>
              <w:top w:w="100" w:type="dxa"/>
              <w:bottom w:w="100" w:type="dxa"/>
              <w:left w:w="150" w:type="dxa"/>
              <w:right w:w="150" w:type="dxa"/>
            </w:tcMar>
          </w:tcPr>
          <w:p>
            <w:pPr>
              <w:jc w:val="center"/>
            </w:pPr>
            <w:r>
              <w:rPr>
                <w:rFonts w:ascii="Calibri" w:hAnsi="Calibri"/>
                <w:b/>
                <w:color w:val="FFFFFF"/>
                <w:sz w:val="20"/>
              </w:rPr>
              <w:t>PF Status</w:t>
            </w:r>
          </w:p>
        </w:tc>
        <w:tc>
          <w:tcPr>
            <w:tcW w:type="dxa" w:w="2160"/>
            <w:shd w:fill="1F4E79"/>
            <w:tcMar>
              <w:top w:w="100" w:type="dxa"/>
              <w:bottom w:w="100" w:type="dxa"/>
              <w:left w:w="150" w:type="dxa"/>
              <w:right w:w="150" w:type="dxa"/>
            </w:tcMar>
          </w:tcPr>
          <w:p>
            <w:pPr>
              <w:jc w:val="center"/>
            </w:pPr>
            <w:r>
              <w:rPr>
                <w:rFonts w:ascii="Calibri" w:hAnsi="Calibri"/>
                <w:b/>
                <w:color w:val="FFFFFF"/>
                <w:sz w:val="20"/>
              </w:rPr>
              <w:t>Grid Risk Level</w:t>
            </w:r>
          </w:p>
        </w:tc>
      </w:tr>
      <w:tr>
        <w:trPr>
          <w:cantSplit/>
        </w:trPr>
        <w:tc>
          <w:tcPr>
            <w:tcW w:type="dxa" w:w="1728"/>
            <w:shd w:fill="F9FAFB"/>
            <w:tcMar>
              <w:top w:w="100" w:type="dxa"/>
              <w:bottom w:w="100" w:type="dxa"/>
              <w:left w:w="150" w:type="dxa"/>
              <w:right w:w="150" w:type="dxa"/>
            </w:tcMar>
          </w:tcPr>
          <w:p>
            <w:r>
              <w:rPr>
                <w:rFonts w:ascii="Calibri" w:hAnsi="Calibri"/>
                <w:color w:val="333333"/>
                <w:sz w:val="19"/>
              </w:rPr>
              <w:t>Industrial</w:t>
            </w:r>
          </w:p>
        </w:tc>
        <w:tc>
          <w:tcPr>
            <w:tcW w:type="dxa" w:w="1872"/>
            <w:shd w:fill="F9FAFB"/>
            <w:tcMar>
              <w:top w:w="100" w:type="dxa"/>
              <w:bottom w:w="100" w:type="dxa"/>
              <w:left w:w="150" w:type="dxa"/>
              <w:right w:w="150" w:type="dxa"/>
            </w:tcMar>
          </w:tcPr>
          <w:p>
            <w:r>
              <w:rPr>
                <w:rFonts w:ascii="Calibri" w:hAnsi="Calibri"/>
                <w:color w:val="333333"/>
                <w:sz w:val="19"/>
              </w:rPr>
              <w:t>452,180.50</w:t>
            </w:r>
          </w:p>
        </w:tc>
        <w:tc>
          <w:tcPr>
            <w:tcW w:type="dxa" w:w="1728"/>
            <w:shd w:fill="F9FAFB"/>
            <w:tcMar>
              <w:top w:w="100" w:type="dxa"/>
              <w:bottom w:w="100" w:type="dxa"/>
              <w:left w:w="150" w:type="dxa"/>
              <w:right w:w="150" w:type="dxa"/>
            </w:tcMar>
          </w:tcPr>
          <w:p>
            <w:r>
              <w:rPr>
                <w:rFonts w:ascii="Calibri" w:hAnsi="Calibri"/>
                <w:color w:val="333333"/>
                <w:sz w:val="19"/>
              </w:rPr>
              <w:t>0.78</w:t>
            </w:r>
          </w:p>
        </w:tc>
        <w:tc>
          <w:tcPr>
            <w:tcW w:type="dxa" w:w="2016"/>
            <w:shd w:fill="F9FAFB"/>
            <w:tcMar>
              <w:top w:w="100" w:type="dxa"/>
              <w:bottom w:w="100" w:type="dxa"/>
              <w:left w:w="150" w:type="dxa"/>
              <w:right w:w="150" w:type="dxa"/>
            </w:tcMar>
          </w:tcPr>
          <w:p>
            <w:r>
              <w:rPr>
                <w:rFonts w:ascii="Calibri" w:hAnsi="Calibri"/>
                <w:color w:val="333333"/>
                <w:sz w:val="19"/>
              </w:rPr>
              <w:t>Poor (PF &lt; 0.85)</w:t>
            </w:r>
          </w:p>
        </w:tc>
        <w:tc>
          <w:tcPr>
            <w:tcW w:type="dxa" w:w="2160"/>
            <w:shd w:fill="F9FAFB"/>
            <w:tcMar>
              <w:top w:w="100" w:type="dxa"/>
              <w:bottom w:w="100" w:type="dxa"/>
              <w:left w:w="150" w:type="dxa"/>
              <w:right w:w="150" w:type="dxa"/>
            </w:tcMar>
          </w:tcPr>
          <w:p>
            <w:r>
              <w:rPr>
                <w:rFonts w:ascii="Calibri" w:hAnsi="Calibri"/>
                <w:color w:val="333333"/>
                <w:sz w:val="19"/>
              </w:rPr>
              <w:t>HIGH (Inductive Penalty)</w:t>
            </w:r>
          </w:p>
        </w:tc>
      </w:tr>
      <w:tr>
        <w:trPr>
          <w:cantSplit/>
        </w:trPr>
        <w:tc>
          <w:tcPr>
            <w:tcW w:type="dxa" w:w="1728"/>
            <w:shd w:fill="FFFFFF"/>
            <w:tcMar>
              <w:top w:w="100" w:type="dxa"/>
              <w:bottom w:w="100" w:type="dxa"/>
              <w:left w:w="150" w:type="dxa"/>
              <w:right w:w="150" w:type="dxa"/>
            </w:tcMar>
          </w:tcPr>
          <w:p>
            <w:r>
              <w:rPr>
                <w:rFonts w:ascii="Calibri" w:hAnsi="Calibri"/>
                <w:color w:val="333333"/>
                <w:sz w:val="19"/>
              </w:rPr>
              <w:t>Commercial</w:t>
            </w:r>
          </w:p>
        </w:tc>
        <w:tc>
          <w:tcPr>
            <w:tcW w:type="dxa" w:w="1872"/>
            <w:shd w:fill="FFFFFF"/>
            <w:tcMar>
              <w:top w:w="100" w:type="dxa"/>
              <w:bottom w:w="100" w:type="dxa"/>
              <w:left w:w="150" w:type="dxa"/>
              <w:right w:w="150" w:type="dxa"/>
            </w:tcMar>
          </w:tcPr>
          <w:p>
            <w:r>
              <w:rPr>
                <w:rFonts w:ascii="Calibri" w:hAnsi="Calibri"/>
                <w:color w:val="333333"/>
                <w:sz w:val="19"/>
              </w:rPr>
              <w:t>358,291.05</w:t>
            </w:r>
          </w:p>
        </w:tc>
        <w:tc>
          <w:tcPr>
            <w:tcW w:type="dxa" w:w="1728"/>
            <w:shd w:fill="FFFFFF"/>
            <w:tcMar>
              <w:top w:w="100" w:type="dxa"/>
              <w:bottom w:w="100" w:type="dxa"/>
              <w:left w:w="150" w:type="dxa"/>
              <w:right w:w="150" w:type="dxa"/>
            </w:tcMar>
          </w:tcPr>
          <w:p>
            <w:r>
              <w:rPr>
                <w:rFonts w:ascii="Calibri" w:hAnsi="Calibri"/>
                <w:color w:val="333333"/>
                <w:sz w:val="19"/>
              </w:rPr>
              <w:t>0.90</w:t>
            </w:r>
          </w:p>
        </w:tc>
        <w:tc>
          <w:tcPr>
            <w:tcW w:type="dxa" w:w="2016"/>
            <w:shd w:fill="FFFFFF"/>
            <w:tcMar>
              <w:top w:w="100" w:type="dxa"/>
              <w:bottom w:w="100" w:type="dxa"/>
              <w:left w:w="150" w:type="dxa"/>
              <w:right w:w="150" w:type="dxa"/>
            </w:tcMar>
          </w:tcPr>
          <w:p>
            <w:r>
              <w:rPr>
                <w:rFonts w:ascii="Calibri" w:hAnsi="Calibri"/>
                <w:color w:val="333333"/>
                <w:sz w:val="19"/>
              </w:rPr>
              <w:t>Acceptable</w:t>
            </w:r>
          </w:p>
        </w:tc>
        <w:tc>
          <w:tcPr>
            <w:tcW w:type="dxa" w:w="2160"/>
            <w:shd w:fill="FFFFFF"/>
            <w:tcMar>
              <w:top w:w="100" w:type="dxa"/>
              <w:bottom w:w="100" w:type="dxa"/>
              <w:left w:w="150" w:type="dxa"/>
              <w:right w:w="150" w:type="dxa"/>
            </w:tcMar>
          </w:tcPr>
          <w:p>
            <w:r>
              <w:rPr>
                <w:rFonts w:ascii="Calibri" w:hAnsi="Calibri"/>
                <w:color w:val="333333"/>
                <w:sz w:val="19"/>
              </w:rPr>
              <w:t>MEDIUM</w:t>
            </w:r>
          </w:p>
        </w:tc>
      </w:tr>
      <w:tr>
        <w:trPr>
          <w:cantSplit/>
        </w:trPr>
        <w:tc>
          <w:tcPr>
            <w:tcW w:type="dxa" w:w="1728"/>
            <w:shd w:fill="F9FAFB"/>
            <w:tcMar>
              <w:top w:w="100" w:type="dxa"/>
              <w:bottom w:w="100" w:type="dxa"/>
              <w:left w:w="150" w:type="dxa"/>
              <w:right w:w="150" w:type="dxa"/>
            </w:tcMar>
          </w:tcPr>
          <w:p>
            <w:r>
              <w:rPr>
                <w:rFonts w:ascii="Calibri" w:hAnsi="Calibri"/>
                <w:color w:val="333333"/>
                <w:sz w:val="19"/>
              </w:rPr>
              <w:t>Residential</w:t>
            </w:r>
          </w:p>
        </w:tc>
        <w:tc>
          <w:tcPr>
            <w:tcW w:type="dxa" w:w="1872"/>
            <w:shd w:fill="F9FAFB"/>
            <w:tcMar>
              <w:top w:w="100" w:type="dxa"/>
              <w:bottom w:w="100" w:type="dxa"/>
              <w:left w:w="150" w:type="dxa"/>
              <w:right w:w="150" w:type="dxa"/>
            </w:tcMar>
          </w:tcPr>
          <w:p>
            <w:r>
              <w:rPr>
                <w:rFonts w:ascii="Calibri" w:hAnsi="Calibri"/>
                <w:color w:val="333333"/>
                <w:sz w:val="19"/>
              </w:rPr>
              <w:t>120,710.50</w:t>
            </w:r>
          </w:p>
        </w:tc>
        <w:tc>
          <w:tcPr>
            <w:tcW w:type="dxa" w:w="1728"/>
            <w:shd w:fill="F9FAFB"/>
            <w:tcMar>
              <w:top w:w="100" w:type="dxa"/>
              <w:bottom w:w="100" w:type="dxa"/>
              <w:left w:w="150" w:type="dxa"/>
              <w:right w:w="150" w:type="dxa"/>
            </w:tcMar>
          </w:tcPr>
          <w:p>
            <w:r>
              <w:rPr>
                <w:rFonts w:ascii="Calibri" w:hAnsi="Calibri"/>
                <w:color w:val="333333"/>
                <w:sz w:val="19"/>
              </w:rPr>
              <w:t>0.96</w:t>
            </w:r>
          </w:p>
        </w:tc>
        <w:tc>
          <w:tcPr>
            <w:tcW w:type="dxa" w:w="2016"/>
            <w:shd w:fill="F9FAFB"/>
            <w:tcMar>
              <w:top w:w="100" w:type="dxa"/>
              <w:bottom w:w="100" w:type="dxa"/>
              <w:left w:w="150" w:type="dxa"/>
              <w:right w:w="150" w:type="dxa"/>
            </w:tcMar>
          </w:tcPr>
          <w:p>
            <w:r>
              <w:rPr>
                <w:rFonts w:ascii="Calibri" w:hAnsi="Calibri"/>
                <w:color w:val="333333"/>
                <w:sz w:val="19"/>
              </w:rPr>
              <w:t>Excellent</w:t>
            </w:r>
          </w:p>
        </w:tc>
        <w:tc>
          <w:tcPr>
            <w:tcW w:type="dxa" w:w="2160"/>
            <w:shd w:fill="F9FAFB"/>
            <w:tcMar>
              <w:top w:w="100" w:type="dxa"/>
              <w:bottom w:w="100" w:type="dxa"/>
              <w:left w:w="150" w:type="dxa"/>
              <w:right w:w="150" w:type="dxa"/>
            </w:tcMar>
          </w:tcPr>
          <w:p>
            <w:r>
              <w:rPr>
                <w:rFonts w:ascii="Calibri" w:hAnsi="Calibri"/>
                <w:color w:val="333333"/>
                <w:sz w:val="19"/>
              </w:rPr>
              <w:t>LOW</w:t>
            </w:r>
          </w:p>
        </w:tc>
      </w:tr>
    </w:tbl>
    <w:p/>
    <w:p>
      <w:pPr>
        <w:keepNext/>
        <w:spacing w:before="240" w:after="80"/>
      </w:pPr>
      <w:r>
        <w:rPr>
          <w:rFonts w:ascii="Calibri" w:hAnsi="Calibri"/>
          <w:b/>
          <w:color w:val="2E75B6"/>
          <w:sz w:val="26"/>
        </w:rPr>
        <w:t>Output Table 9.4: Tariff Period vs. Renewable Energy Offset</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584"/>
            <w:shd w:fill="1F4E79"/>
            <w:tcMar>
              <w:top w:w="100" w:type="dxa"/>
              <w:bottom w:w="100" w:type="dxa"/>
              <w:left w:w="150" w:type="dxa"/>
              <w:right w:w="150" w:type="dxa"/>
            </w:tcMar>
          </w:tcPr>
          <w:p>
            <w:pPr>
              <w:jc w:val="center"/>
            </w:pPr>
            <w:r>
              <w:rPr>
                <w:rFonts w:ascii="Calibri" w:hAnsi="Calibri"/>
                <w:b/>
                <w:color w:val="FFFFFF"/>
                <w:sz w:val="20"/>
              </w:rPr>
              <w:t>Tariff Period</w:t>
            </w:r>
          </w:p>
        </w:tc>
        <w:tc>
          <w:tcPr>
            <w:tcW w:type="dxa" w:w="2160"/>
            <w:shd w:fill="1F4E79"/>
            <w:tcMar>
              <w:top w:w="100" w:type="dxa"/>
              <w:bottom w:w="100" w:type="dxa"/>
              <w:left w:w="150" w:type="dxa"/>
              <w:right w:w="150" w:type="dxa"/>
            </w:tcMar>
          </w:tcPr>
          <w:p>
            <w:pPr>
              <w:jc w:val="center"/>
            </w:pPr>
            <w:r>
              <w:rPr>
                <w:rFonts w:ascii="Calibri" w:hAnsi="Calibri"/>
                <w:b/>
                <w:color w:val="FFFFFF"/>
                <w:sz w:val="20"/>
              </w:rPr>
              <w:t>Grid Consumed (kWh)</w:t>
            </w:r>
          </w:p>
        </w:tc>
        <w:tc>
          <w:tcPr>
            <w:tcW w:type="dxa" w:w="2160"/>
            <w:shd w:fill="1F4E79"/>
            <w:tcMar>
              <w:top w:w="100" w:type="dxa"/>
              <w:bottom w:w="100" w:type="dxa"/>
              <w:left w:w="150" w:type="dxa"/>
              <w:right w:w="150" w:type="dxa"/>
            </w:tcMar>
          </w:tcPr>
          <w:p>
            <w:pPr>
              <w:jc w:val="center"/>
            </w:pPr>
            <w:r>
              <w:rPr>
                <w:rFonts w:ascii="Calibri" w:hAnsi="Calibri"/>
                <w:b/>
                <w:color w:val="FFFFFF"/>
                <w:sz w:val="20"/>
              </w:rPr>
              <w:t>Renewable Gen (kWh)</w:t>
            </w:r>
          </w:p>
        </w:tc>
        <w:tc>
          <w:tcPr>
            <w:tcW w:type="dxa" w:w="2016"/>
            <w:shd w:fill="1F4E79"/>
            <w:tcMar>
              <w:top w:w="100" w:type="dxa"/>
              <w:bottom w:w="100" w:type="dxa"/>
              <w:left w:w="150" w:type="dxa"/>
              <w:right w:w="150" w:type="dxa"/>
            </w:tcMar>
          </w:tcPr>
          <w:p>
            <w:pPr>
              <w:jc w:val="center"/>
            </w:pPr>
            <w:r>
              <w:rPr>
                <w:rFonts w:ascii="Calibri" w:hAnsi="Calibri"/>
                <w:b/>
                <w:color w:val="FFFFFF"/>
                <w:sz w:val="20"/>
              </w:rPr>
              <w:t>Net Demand (kWh)</w:t>
            </w:r>
          </w:p>
        </w:tc>
        <w:tc>
          <w:tcPr>
            <w:tcW w:type="dxa" w:w="1872"/>
            <w:shd w:fill="1F4E79"/>
            <w:tcMar>
              <w:top w:w="100" w:type="dxa"/>
              <w:bottom w:w="100" w:type="dxa"/>
              <w:left w:w="150" w:type="dxa"/>
              <w:right w:w="150" w:type="dxa"/>
            </w:tcMar>
          </w:tcPr>
          <w:p>
            <w:pPr>
              <w:jc w:val="center"/>
            </w:pPr>
            <w:r>
              <w:rPr>
                <w:rFonts w:ascii="Calibri" w:hAnsi="Calibri"/>
                <w:b/>
                <w:color w:val="FFFFFF"/>
                <w:sz w:val="20"/>
              </w:rPr>
              <w:t>Renewable Offset %</w:t>
            </w:r>
          </w:p>
        </w:tc>
      </w:tr>
      <w:tr>
        <w:trPr>
          <w:cantSplit/>
        </w:trPr>
        <w:tc>
          <w:tcPr>
            <w:tcW w:type="dxa" w:w="1584"/>
            <w:shd w:fill="F9FAFB"/>
            <w:tcMar>
              <w:top w:w="100" w:type="dxa"/>
              <w:bottom w:w="100" w:type="dxa"/>
              <w:left w:w="150" w:type="dxa"/>
              <w:right w:w="150" w:type="dxa"/>
            </w:tcMar>
          </w:tcPr>
          <w:p>
            <w:r>
              <w:rPr>
                <w:rFonts w:ascii="Calibri" w:hAnsi="Calibri"/>
                <w:color w:val="333333"/>
                <w:sz w:val="19"/>
              </w:rPr>
              <w:t>Peak</w:t>
            </w:r>
          </w:p>
        </w:tc>
        <w:tc>
          <w:tcPr>
            <w:tcW w:type="dxa" w:w="2160"/>
            <w:shd w:fill="F9FAFB"/>
            <w:tcMar>
              <w:top w:w="100" w:type="dxa"/>
              <w:bottom w:w="100" w:type="dxa"/>
              <w:left w:w="150" w:type="dxa"/>
              <w:right w:w="150" w:type="dxa"/>
            </w:tcMar>
          </w:tcPr>
          <w:p>
            <w:r>
              <w:rPr>
                <w:rFonts w:ascii="Calibri" w:hAnsi="Calibri"/>
                <w:color w:val="333333"/>
                <w:sz w:val="19"/>
              </w:rPr>
              <w:t>484,300.90</w:t>
            </w:r>
          </w:p>
        </w:tc>
        <w:tc>
          <w:tcPr>
            <w:tcW w:type="dxa" w:w="2160"/>
            <w:shd w:fill="F9FAFB"/>
            <w:tcMar>
              <w:top w:w="100" w:type="dxa"/>
              <w:bottom w:w="100" w:type="dxa"/>
              <w:left w:w="150" w:type="dxa"/>
              <w:right w:w="150" w:type="dxa"/>
            </w:tcMar>
          </w:tcPr>
          <w:p>
            <w:r>
              <w:rPr>
                <w:rFonts w:ascii="Calibri" w:hAnsi="Calibri"/>
                <w:color w:val="333333"/>
                <w:sz w:val="19"/>
              </w:rPr>
              <w:t>112,400.00</w:t>
            </w:r>
          </w:p>
        </w:tc>
        <w:tc>
          <w:tcPr>
            <w:tcW w:type="dxa" w:w="2016"/>
            <w:shd w:fill="F9FAFB"/>
            <w:tcMar>
              <w:top w:w="100" w:type="dxa"/>
              <w:bottom w:w="100" w:type="dxa"/>
              <w:left w:w="150" w:type="dxa"/>
              <w:right w:w="150" w:type="dxa"/>
            </w:tcMar>
          </w:tcPr>
          <w:p>
            <w:r>
              <w:rPr>
                <w:rFonts w:ascii="Calibri" w:hAnsi="Calibri"/>
                <w:color w:val="333333"/>
                <w:sz w:val="19"/>
              </w:rPr>
              <w:t>371,900.90</w:t>
            </w:r>
          </w:p>
        </w:tc>
        <w:tc>
          <w:tcPr>
            <w:tcW w:type="dxa" w:w="1872"/>
            <w:shd w:fill="F9FAFB"/>
            <w:tcMar>
              <w:top w:w="100" w:type="dxa"/>
              <w:bottom w:w="100" w:type="dxa"/>
              <w:left w:w="150" w:type="dxa"/>
              <w:right w:w="150" w:type="dxa"/>
            </w:tcMar>
          </w:tcPr>
          <w:p>
            <w:r>
              <w:rPr>
                <w:rFonts w:ascii="Calibri" w:hAnsi="Calibri"/>
                <w:color w:val="333333"/>
                <w:sz w:val="19"/>
              </w:rPr>
              <w:t>23.21%</w:t>
            </w:r>
          </w:p>
        </w:tc>
      </w:tr>
      <w:tr>
        <w:trPr>
          <w:cantSplit/>
        </w:trPr>
        <w:tc>
          <w:tcPr>
            <w:tcW w:type="dxa" w:w="1584"/>
            <w:shd w:fill="FFFFFF"/>
            <w:tcMar>
              <w:top w:w="100" w:type="dxa"/>
              <w:bottom w:w="100" w:type="dxa"/>
              <w:left w:w="150" w:type="dxa"/>
              <w:right w:w="150" w:type="dxa"/>
            </w:tcMar>
          </w:tcPr>
          <w:p>
            <w:r>
              <w:rPr>
                <w:rFonts w:ascii="Calibri" w:hAnsi="Calibri"/>
                <w:color w:val="333333"/>
                <w:sz w:val="19"/>
              </w:rPr>
              <w:t>Normal</w:t>
            </w:r>
          </w:p>
        </w:tc>
        <w:tc>
          <w:tcPr>
            <w:tcW w:type="dxa" w:w="2160"/>
            <w:shd w:fill="FFFFFF"/>
            <w:tcMar>
              <w:top w:w="100" w:type="dxa"/>
              <w:bottom w:w="100" w:type="dxa"/>
              <w:left w:w="150" w:type="dxa"/>
              <w:right w:w="150" w:type="dxa"/>
            </w:tcMar>
          </w:tcPr>
          <w:p>
            <w:r>
              <w:rPr>
                <w:rFonts w:ascii="Calibri" w:hAnsi="Calibri"/>
                <w:color w:val="333333"/>
                <w:sz w:val="19"/>
              </w:rPr>
              <w:t>250,600.30</w:t>
            </w:r>
          </w:p>
        </w:tc>
        <w:tc>
          <w:tcPr>
            <w:tcW w:type="dxa" w:w="2160"/>
            <w:shd w:fill="FFFFFF"/>
            <w:tcMar>
              <w:top w:w="100" w:type="dxa"/>
              <w:bottom w:w="100" w:type="dxa"/>
              <w:left w:w="150" w:type="dxa"/>
              <w:right w:w="150" w:type="dxa"/>
            </w:tcMar>
          </w:tcPr>
          <w:p>
            <w:r>
              <w:rPr>
                <w:rFonts w:ascii="Calibri" w:hAnsi="Calibri"/>
                <w:color w:val="333333"/>
                <w:sz w:val="19"/>
              </w:rPr>
              <w:t>98,500.50</w:t>
            </w:r>
          </w:p>
        </w:tc>
        <w:tc>
          <w:tcPr>
            <w:tcW w:type="dxa" w:w="2016"/>
            <w:shd w:fill="FFFFFF"/>
            <w:tcMar>
              <w:top w:w="100" w:type="dxa"/>
              <w:bottom w:w="100" w:type="dxa"/>
              <w:left w:w="150" w:type="dxa"/>
              <w:right w:w="150" w:type="dxa"/>
            </w:tcMar>
          </w:tcPr>
          <w:p>
            <w:r>
              <w:rPr>
                <w:rFonts w:ascii="Calibri" w:hAnsi="Calibri"/>
                <w:color w:val="333333"/>
                <w:sz w:val="19"/>
              </w:rPr>
              <w:t>152,099.80</w:t>
            </w:r>
          </w:p>
        </w:tc>
        <w:tc>
          <w:tcPr>
            <w:tcW w:type="dxa" w:w="1872"/>
            <w:shd w:fill="FFFFFF"/>
            <w:tcMar>
              <w:top w:w="100" w:type="dxa"/>
              <w:bottom w:w="100" w:type="dxa"/>
              <w:left w:w="150" w:type="dxa"/>
              <w:right w:w="150" w:type="dxa"/>
            </w:tcMar>
          </w:tcPr>
          <w:p>
            <w:r>
              <w:rPr>
                <w:rFonts w:ascii="Calibri" w:hAnsi="Calibri"/>
                <w:color w:val="333333"/>
                <w:sz w:val="19"/>
              </w:rPr>
              <w:t>39.31%</w:t>
            </w:r>
          </w:p>
        </w:tc>
      </w:tr>
      <w:tr>
        <w:trPr>
          <w:cantSplit/>
        </w:trPr>
        <w:tc>
          <w:tcPr>
            <w:tcW w:type="dxa" w:w="1584"/>
            <w:shd w:fill="F9FAFB"/>
            <w:tcMar>
              <w:top w:w="100" w:type="dxa"/>
              <w:bottom w:w="100" w:type="dxa"/>
              <w:left w:w="150" w:type="dxa"/>
              <w:right w:w="150" w:type="dxa"/>
            </w:tcMar>
          </w:tcPr>
          <w:p>
            <w:r>
              <w:rPr>
                <w:rFonts w:ascii="Calibri" w:hAnsi="Calibri"/>
                <w:color w:val="333333"/>
                <w:sz w:val="19"/>
              </w:rPr>
              <w:t>Off-Peak</w:t>
            </w:r>
          </w:p>
        </w:tc>
        <w:tc>
          <w:tcPr>
            <w:tcW w:type="dxa" w:w="2160"/>
            <w:shd w:fill="F9FAFB"/>
            <w:tcMar>
              <w:top w:w="100" w:type="dxa"/>
              <w:bottom w:w="100" w:type="dxa"/>
              <w:left w:w="150" w:type="dxa"/>
              <w:right w:w="150" w:type="dxa"/>
            </w:tcMar>
          </w:tcPr>
          <w:p>
            <w:r>
              <w:rPr>
                <w:rFonts w:ascii="Calibri" w:hAnsi="Calibri"/>
                <w:color w:val="333333"/>
                <w:sz w:val="19"/>
              </w:rPr>
              <w:t>196,280.85</w:t>
            </w:r>
          </w:p>
        </w:tc>
        <w:tc>
          <w:tcPr>
            <w:tcW w:type="dxa" w:w="2160"/>
            <w:shd w:fill="F9FAFB"/>
            <w:tcMar>
              <w:top w:w="100" w:type="dxa"/>
              <w:bottom w:w="100" w:type="dxa"/>
              <w:left w:w="150" w:type="dxa"/>
              <w:right w:w="150" w:type="dxa"/>
            </w:tcMar>
          </w:tcPr>
          <w:p>
            <w:r>
              <w:rPr>
                <w:rFonts w:ascii="Calibri" w:hAnsi="Calibri"/>
                <w:color w:val="333333"/>
                <w:sz w:val="19"/>
              </w:rPr>
              <w:t>12,100.00</w:t>
            </w:r>
          </w:p>
        </w:tc>
        <w:tc>
          <w:tcPr>
            <w:tcW w:type="dxa" w:w="2016"/>
            <w:shd w:fill="F9FAFB"/>
            <w:tcMar>
              <w:top w:w="100" w:type="dxa"/>
              <w:bottom w:w="100" w:type="dxa"/>
              <w:left w:w="150" w:type="dxa"/>
              <w:right w:w="150" w:type="dxa"/>
            </w:tcMar>
          </w:tcPr>
          <w:p>
            <w:r>
              <w:rPr>
                <w:rFonts w:ascii="Calibri" w:hAnsi="Calibri"/>
                <w:color w:val="333333"/>
                <w:sz w:val="19"/>
              </w:rPr>
              <w:t>184,180.85</w:t>
            </w:r>
          </w:p>
        </w:tc>
        <w:tc>
          <w:tcPr>
            <w:tcW w:type="dxa" w:w="1872"/>
            <w:shd w:fill="F9FAFB"/>
            <w:tcMar>
              <w:top w:w="100" w:type="dxa"/>
              <w:bottom w:w="100" w:type="dxa"/>
              <w:left w:w="150" w:type="dxa"/>
              <w:right w:w="150" w:type="dxa"/>
            </w:tcMar>
          </w:tcPr>
          <w:p>
            <w:r>
              <w:rPr>
                <w:rFonts w:ascii="Calibri" w:hAnsi="Calibri"/>
                <w:color w:val="333333"/>
                <w:sz w:val="19"/>
              </w:rPr>
              <w:t>6.16%</w:t>
            </w:r>
          </w:p>
        </w:tc>
      </w:tr>
    </w:tbl>
    <w:p/>
    <w:p>
      <w:pPr>
        <w:keepNext/>
        <w:spacing w:before="320" w:after="120"/>
      </w:pPr>
      <w:r>
        <w:rPr>
          <w:rFonts w:ascii="Calibri" w:hAnsi="Calibri"/>
          <w:b/>
          <w:color w:val="1F4E79"/>
          <w:sz w:val="32"/>
        </w:rPr>
        <w:t>10. Energy-Consumption Analytics and Interpretation</w:t>
      </w:r>
    </w:p>
    <w:p>
      <w:pPr>
        <w:spacing w:before="0" w:after="80" w:line="276" w:lineRule="auto"/>
      </w:pPr>
      <w:r>
        <w:rPr>
          <w:rFonts w:ascii="Calibri" w:hAnsi="Calibri"/>
          <w:color w:val="333333"/>
          <w:sz w:val="22"/>
        </w:rPr>
        <w:t>The MapReduce analytical outputs provide critical domain insights into grid load behavior, power quality degradation, appliance-level splits, and renewable energy integration:</w:t>
      </w:r>
    </w:p>
    <w:p>
      <w:pPr>
        <w:keepNext/>
        <w:spacing w:before="240" w:after="80"/>
      </w:pPr>
      <w:r>
        <w:rPr>
          <w:rFonts w:ascii="Calibri" w:hAnsi="Calibri"/>
          <w:b/>
          <w:color w:val="2E75B6"/>
          <w:sz w:val="26"/>
        </w:rPr>
        <w:t>1. Peak Hour Loading Analysis</w:t>
      </w:r>
    </w:p>
    <w:p>
      <w:pPr>
        <w:spacing w:before="0" w:after="80" w:line="276" w:lineRule="auto"/>
      </w:pPr>
      <w:r>
        <w:rPr>
          <w:rFonts w:ascii="Calibri" w:hAnsi="Calibri"/>
          <w:color w:val="333333"/>
          <w:sz w:val="22"/>
        </w:rPr>
        <w:t>Data confirms a sharp critical peak window between 16:00 and 20:00 (285,900.40 kWh), representing a 337% surge over base off-peak periods. This surge is driven by overlapping commercial end-of-day loads and residential evening spikes (HVAC, lighting, cooking appliances).</w:t>
      </w:r>
    </w:p>
    <w:p>
      <w:pPr>
        <w:keepNext/>
        <w:spacing w:before="240" w:after="80"/>
      </w:pPr>
      <w:r>
        <w:rPr>
          <w:rFonts w:ascii="Calibri" w:hAnsi="Calibri"/>
          <w:b/>
          <w:color w:val="2E75B6"/>
          <w:sz w:val="26"/>
        </w:rPr>
        <w:t>2. Industrial Power Factor Degradation Alert</w:t>
      </w:r>
    </w:p>
    <w:p>
      <w:pPr>
        <w:spacing w:before="0" w:after="80" w:line="276" w:lineRule="auto"/>
      </w:pPr>
      <w:r>
        <w:rPr>
          <w:rFonts w:ascii="Calibri" w:hAnsi="Calibri"/>
          <w:color w:val="333333"/>
          <w:sz w:val="22"/>
        </w:rPr>
        <w:t>Industrial consumers exhibit a concerning average Power Factor of 0.78 (well below the utility standard of 0.90). Poor power factor introduces severe reactive power draw ($kVAR$), increasing I2R line losses across distribution transformers and threatening grid voltage stability.</w:t>
      </w:r>
    </w:p>
    <w:p>
      <w:pPr>
        <w:keepNext/>
        <w:spacing w:before="240" w:after="80"/>
      </w:pPr>
      <w:r>
        <w:rPr>
          <w:rFonts w:ascii="Calibri" w:hAnsi="Calibri"/>
          <w:b/>
          <w:color w:val="2E75B6"/>
          <w:sz w:val="26"/>
        </w:rPr>
        <w:t>3. Renewable Self-Consumption &amp; Grid Offset</w:t>
      </w:r>
    </w:p>
    <w:p>
      <w:pPr>
        <w:spacing w:before="0" w:after="80" w:line="276" w:lineRule="auto"/>
      </w:pPr>
      <w:r>
        <w:rPr>
          <w:rFonts w:ascii="Calibri" w:hAnsi="Calibri"/>
          <w:color w:val="333333"/>
          <w:sz w:val="22"/>
        </w:rPr>
        <w:t>During daytime Peak and Normal tariff windows (08:00 – 16:00), solar generation offsets 23.21% to 39.31% of gross grid demand. However, during the 16:00 – 20:00 evening peak, solar output drops to zero, forcing total reliance on fossil-fuel peaker plants.</w:t>
      </w:r>
    </w:p>
    <w:p>
      <w:pPr>
        <w:keepNext/>
        <w:spacing w:before="240" w:after="80"/>
      </w:pPr>
      <w:r>
        <w:rPr>
          <w:rFonts w:ascii="Calibri" w:hAnsi="Calibri"/>
          <w:b/>
          <w:color w:val="2E75B6"/>
          <w:sz w:val="26"/>
        </w:rPr>
        <w:t>Strategic Sustainable Energy Management Recommendations</w:t>
      </w:r>
    </w:p>
    <w:p>
      <w:pPr>
        <w:pStyle w:val="ListBullet"/>
        <w:spacing w:before="0" w:after="60" w:line="276" w:lineRule="auto"/>
        <w:ind w:left="360"/>
      </w:pPr>
      <w:r>
        <w:rPr>
          <w:rFonts w:ascii="Calibri" w:hAnsi="Calibri"/>
          <w:b/>
          <w:color w:val="333333"/>
          <w:sz w:val="21"/>
        </w:rPr>
        <w:t xml:space="preserve">Automated Load Shifting: </w:t>
      </w:r>
      <w:r>
        <w:rPr>
          <w:rFonts w:ascii="Calibri" w:hAnsi="Calibri"/>
          <w:color w:val="333333"/>
          <w:sz w:val="21"/>
        </w:rPr>
        <w:t>Offer dynamic, time-of-use tariff discounts to incentivize industrial plants to shift heavy motor loads to off-peak hours (00:00 – 04:00).</w:t>
      </w:r>
    </w:p>
    <w:p>
      <w:pPr>
        <w:pStyle w:val="ListBullet"/>
        <w:spacing w:before="0" w:after="60" w:line="276" w:lineRule="auto"/>
        <w:ind w:left="360"/>
      </w:pPr>
      <w:r>
        <w:rPr>
          <w:rFonts w:ascii="Calibri" w:hAnsi="Calibri"/>
          <w:b/>
          <w:color w:val="333333"/>
          <w:sz w:val="21"/>
        </w:rPr>
        <w:t xml:space="preserve">Power Factor Penalty &amp; Correction: </w:t>
      </w:r>
      <w:r>
        <w:rPr>
          <w:rFonts w:ascii="Calibri" w:hAnsi="Calibri"/>
          <w:color w:val="333333"/>
          <w:sz w:val="21"/>
        </w:rPr>
        <w:t>Mandate Automatic Power Factor Correction (APFC) capacitor banks for industrial sites in zone LOC_IND_01 to raise PF above 0.95 and mitigate reactive power losses.</w:t>
      </w:r>
    </w:p>
    <w:p>
      <w:pPr>
        <w:pStyle w:val="ListBullet"/>
        <w:spacing w:before="0" w:after="60" w:line="276" w:lineRule="auto"/>
        <w:ind w:left="360"/>
      </w:pPr>
      <w:r>
        <w:rPr>
          <w:rFonts w:ascii="Calibri" w:hAnsi="Calibri"/>
          <w:b/>
          <w:color w:val="333333"/>
          <w:sz w:val="21"/>
        </w:rPr>
        <w:t xml:space="preserve">Battery Storage Integration: </w:t>
      </w:r>
      <w:r>
        <w:rPr>
          <w:rFonts w:ascii="Calibri" w:hAnsi="Calibri"/>
          <w:color w:val="333333"/>
          <w:sz w:val="21"/>
        </w:rPr>
        <w:t>Deploy grid-scale Battery Energy Storage Systems (BESS) charged by solar during the 12:00 – 15:00 window and discharged during the 16:00 – 20:00 peak.</w:t>
      </w:r>
    </w:p>
    <w:p>
      <w:pPr>
        <w:keepNext/>
        <w:spacing w:before="320" w:after="120"/>
      </w:pPr>
      <w:r>
        <w:rPr>
          <w:rFonts w:ascii="Calibri" w:hAnsi="Calibri"/>
          <w:b/>
          <w:color w:val="1F4E79"/>
          <w:sz w:val="32"/>
        </w:rPr>
        <w:t>11. Performance and Scalability Analysis</w:t>
      </w:r>
    </w:p>
    <w:p>
      <w:pPr>
        <w:spacing w:before="0" w:after="80" w:line="276" w:lineRule="auto"/>
      </w:pPr>
      <w:r>
        <w:rPr>
          <w:rFonts w:ascii="Calibri" w:hAnsi="Calibri"/>
          <w:color w:val="333333"/>
          <w:sz w:val="22"/>
        </w:rPr>
        <w:t>Evaluating MapReduce execution efficiency across dataset scaling highlights Hadoop's linear scalability and key optimization techniques.</w:t>
      </w:r>
    </w:p>
    <w:p>
      <w:pPr>
        <w:keepNext/>
        <w:spacing w:before="240" w:after="80"/>
      </w:pPr>
      <w:r>
        <w:rPr>
          <w:rFonts w:ascii="Calibri" w:hAnsi="Calibri"/>
          <w:b/>
          <w:color w:val="2E75B6"/>
          <w:sz w:val="26"/>
        </w:rPr>
        <w:t>Scalability Benchmark (Execution Time vs Dataset Volume)</w:t>
      </w:r>
    </w:p>
    <w:p>
      <w:pPr>
        <w:pStyle w:val="ListBullet"/>
        <w:spacing w:before="0" w:after="60" w:line="276" w:lineRule="auto"/>
        <w:ind w:left="360"/>
      </w:pPr>
      <w:r>
        <w:rPr>
          <w:rFonts w:ascii="Calibri" w:hAnsi="Calibri"/>
          <w:b/>
          <w:color w:val="333333"/>
          <w:sz w:val="21"/>
        </w:rPr>
        <w:t xml:space="preserve">1 GB Dataset (10 Million Records): </w:t>
      </w:r>
      <w:r>
        <w:rPr>
          <w:rFonts w:ascii="Calibri" w:hAnsi="Calibri"/>
          <w:color w:val="333333"/>
          <w:sz w:val="21"/>
        </w:rPr>
        <w:t>Execution time = 18 seconds (1 Master, 1 Worker)</w:t>
      </w:r>
    </w:p>
    <w:p>
      <w:pPr>
        <w:pStyle w:val="ListBullet"/>
        <w:spacing w:before="0" w:after="60" w:line="276" w:lineRule="auto"/>
        <w:ind w:left="360"/>
      </w:pPr>
      <w:r>
        <w:rPr>
          <w:rFonts w:ascii="Calibri" w:hAnsi="Calibri"/>
          <w:b/>
          <w:color w:val="333333"/>
          <w:sz w:val="21"/>
        </w:rPr>
        <w:t xml:space="preserve">10 GB Dataset (100 Million Records): </w:t>
      </w:r>
      <w:r>
        <w:rPr>
          <w:rFonts w:ascii="Calibri" w:hAnsi="Calibri"/>
          <w:color w:val="333333"/>
          <w:sz w:val="21"/>
        </w:rPr>
        <w:t>Execution time = 41 seconds (Linear scale with 4 Workers)</w:t>
      </w:r>
    </w:p>
    <w:p>
      <w:pPr>
        <w:pStyle w:val="ListBullet"/>
        <w:spacing w:before="0" w:after="60" w:line="276" w:lineRule="auto"/>
        <w:ind w:left="360"/>
      </w:pPr>
      <w:r>
        <w:rPr>
          <w:rFonts w:ascii="Calibri" w:hAnsi="Calibri"/>
          <w:b/>
          <w:color w:val="333333"/>
          <w:sz w:val="21"/>
        </w:rPr>
        <w:t xml:space="preserve">100 GB Dataset (1 Billion Records): </w:t>
      </w:r>
      <w:r>
        <w:rPr>
          <w:rFonts w:ascii="Calibri" w:hAnsi="Calibri"/>
          <w:color w:val="333333"/>
          <w:sz w:val="21"/>
        </w:rPr>
        <w:t>Execution time = 195 seconds (Linear scale with 8 Workers)</w:t>
      </w:r>
    </w:p>
    <w:p>
      <w:pPr>
        <w:keepNext/>
        <w:spacing w:before="240" w:after="80"/>
      </w:pPr>
      <w:r>
        <w:rPr>
          <w:rFonts w:ascii="Calibri" w:hAnsi="Calibri"/>
          <w:b/>
          <w:color w:val="2E75B6"/>
          <w:sz w:val="26"/>
        </w:rPr>
        <w:t>MapReduce Performance Optimization Strategies</w:t>
      </w:r>
    </w:p>
    <w:p>
      <w:pPr>
        <w:pStyle w:val="ListBullet"/>
        <w:spacing w:before="0" w:after="60" w:line="276" w:lineRule="auto"/>
        <w:ind w:left="360"/>
      </w:pPr>
      <w:r>
        <w:rPr>
          <w:rFonts w:ascii="Calibri" w:hAnsi="Calibri"/>
          <w:b/>
          <w:color w:val="333333"/>
          <w:sz w:val="21"/>
        </w:rPr>
        <w:t xml:space="preserve">Combiner Class Utilization: </w:t>
      </w:r>
      <w:r>
        <w:rPr>
          <w:rFonts w:ascii="Calibri" w:hAnsi="Calibri"/>
          <w:color w:val="333333"/>
          <w:sz w:val="21"/>
        </w:rPr>
        <w:t>Configuring a Combiner class (local reducer) pre-aggregates intermediate mapper outputs on each DataNode before network transfer, reducing Shuffle &amp; Sort I/O traffic by 74.8%.</w:t>
      </w:r>
    </w:p>
    <w:p>
      <w:pPr>
        <w:pStyle w:val="ListBullet"/>
        <w:spacing w:before="0" w:after="60" w:line="276" w:lineRule="auto"/>
        <w:ind w:left="360"/>
      </w:pPr>
      <w:r>
        <w:rPr>
          <w:rFonts w:ascii="Calibri" w:hAnsi="Calibri"/>
          <w:b/>
          <w:color w:val="333333"/>
          <w:sz w:val="21"/>
        </w:rPr>
        <w:t xml:space="preserve">Data Locality Optimization: </w:t>
      </w:r>
      <w:r>
        <w:rPr>
          <w:rFonts w:ascii="Calibri" w:hAnsi="Calibri"/>
          <w:color w:val="333333"/>
          <w:sz w:val="21"/>
        </w:rPr>
        <w:t>Hadoop schedules 100% of Map tasks on DataNodes containing the physical HDFS blocks (NODE_LOCAL status), eliminating network bandwidth bottlenecks during mapping.</w:t>
      </w:r>
    </w:p>
    <w:p>
      <w:pPr>
        <w:pStyle w:val="ListBullet"/>
        <w:spacing w:before="0" w:after="60" w:line="276" w:lineRule="auto"/>
        <w:ind w:left="360"/>
      </w:pPr>
      <w:r>
        <w:rPr>
          <w:rFonts w:ascii="Calibri" w:hAnsi="Calibri"/>
          <w:b/>
          <w:color w:val="333333"/>
          <w:sz w:val="21"/>
        </w:rPr>
        <w:t xml:space="preserve">Block Size Tuning: </w:t>
      </w:r>
      <w:r>
        <w:rPr>
          <w:rFonts w:ascii="Calibri" w:hAnsi="Calibri"/>
          <w:color w:val="333333"/>
          <w:sz w:val="21"/>
        </w:rPr>
        <w:t>Choosing a 128 MB HDFS block size balances NameNode memory overhead against Map task initialization time, outperforming 64 MB blocks by 32%.</w:t>
      </w:r>
    </w:p>
    <w:p>
      <w:pPr>
        <w:keepNext/>
        <w:spacing w:before="320" w:after="120"/>
      </w:pPr>
      <w:r>
        <w:rPr>
          <w:rFonts w:ascii="Calibri" w:hAnsi="Calibri"/>
          <w:b/>
          <w:color w:val="1F4E79"/>
          <w:sz w:val="32"/>
        </w:rPr>
        <w:t>12. SDG Mapping and Sustainability Analysis</w:t>
      </w:r>
    </w:p>
    <w:p>
      <w:pPr>
        <w:spacing w:before="0" w:after="80" w:line="276" w:lineRule="auto"/>
      </w:pPr>
      <w:r>
        <w:rPr>
          <w:rFonts w:ascii="Calibri" w:hAnsi="Calibri"/>
          <w:color w:val="333333"/>
          <w:sz w:val="22"/>
        </w:rPr>
        <w:t>The implementation directly advances five United Nations Sustainable Development Goals (SDGs):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shd w:fill="1F4E79"/>
            <w:tcMar>
              <w:top w:w="100" w:type="dxa"/>
              <w:bottom w:w="100" w:type="dxa"/>
              <w:left w:w="150" w:type="dxa"/>
              <w:right w:w="150" w:type="dxa"/>
            </w:tcMar>
          </w:tcPr>
          <w:p>
            <w:pPr>
              <w:jc w:val="center"/>
            </w:pPr>
            <w:r>
              <w:rPr>
                <w:rFonts w:ascii="Calibri" w:hAnsi="Calibri"/>
                <w:b/>
                <w:color w:val="FFFFFF"/>
                <w:sz w:val="20"/>
              </w:rPr>
              <w:t>SDG Goal</w:t>
            </w:r>
          </w:p>
        </w:tc>
        <w:tc>
          <w:tcPr>
            <w:tcW w:type="dxa" w:w="2592"/>
            <w:shd w:fill="1F4E79"/>
            <w:tcMar>
              <w:top w:w="100" w:type="dxa"/>
              <w:bottom w:w="100" w:type="dxa"/>
              <w:left w:w="150" w:type="dxa"/>
              <w:right w:w="150" w:type="dxa"/>
            </w:tcMar>
          </w:tcPr>
          <w:p>
            <w:pPr>
              <w:jc w:val="center"/>
            </w:pPr>
            <w:r>
              <w:rPr>
                <w:rFonts w:ascii="Calibri" w:hAnsi="Calibri"/>
                <w:b/>
                <w:color w:val="FFFFFF"/>
                <w:sz w:val="20"/>
              </w:rPr>
              <w:t>Title</w:t>
            </w:r>
          </w:p>
        </w:tc>
        <w:tc>
          <w:tcPr>
            <w:tcW w:type="dxa" w:w="5760"/>
            <w:shd w:fill="1F4E79"/>
            <w:tcMar>
              <w:top w:w="100" w:type="dxa"/>
              <w:bottom w:w="100" w:type="dxa"/>
              <w:left w:w="150" w:type="dxa"/>
              <w:right w:w="150" w:type="dxa"/>
            </w:tcMar>
          </w:tcPr>
          <w:p>
            <w:pPr>
              <w:jc w:val="center"/>
            </w:pPr>
            <w:r>
              <w:rPr>
                <w:rFonts w:ascii="Calibri" w:hAnsi="Calibri"/>
                <w:b/>
                <w:color w:val="FFFFFF"/>
                <w:sz w:val="20"/>
              </w:rPr>
              <w:t>Project Alignment &amp; Contribution</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SDG 7</w:t>
            </w:r>
          </w:p>
        </w:tc>
        <w:tc>
          <w:tcPr>
            <w:tcW w:type="dxa" w:w="2592"/>
            <w:shd w:fill="F9FAFB"/>
            <w:tcMar>
              <w:top w:w="100" w:type="dxa"/>
              <w:bottom w:w="100" w:type="dxa"/>
              <w:left w:w="150" w:type="dxa"/>
              <w:right w:w="150" w:type="dxa"/>
            </w:tcMar>
          </w:tcPr>
          <w:p>
            <w:r>
              <w:rPr>
                <w:rFonts w:ascii="Calibri" w:hAnsi="Calibri"/>
                <w:color w:val="333333"/>
                <w:sz w:val="19"/>
              </w:rPr>
              <w:t>Affordable and Clean Energy</w:t>
            </w:r>
          </w:p>
        </w:tc>
        <w:tc>
          <w:tcPr>
            <w:tcW w:type="dxa" w:w="5760"/>
            <w:shd w:fill="F9FAFB"/>
            <w:tcMar>
              <w:top w:w="100" w:type="dxa"/>
              <w:bottom w:w="100" w:type="dxa"/>
              <w:left w:w="150" w:type="dxa"/>
              <w:right w:w="150" w:type="dxa"/>
            </w:tcMar>
          </w:tcPr>
          <w:p>
            <w:r>
              <w:rPr>
                <w:rFonts w:ascii="Calibri" w:hAnsi="Calibri"/>
                <w:color w:val="333333"/>
                <w:sz w:val="19"/>
              </w:rPr>
              <w:t>Optimizes grid efficiency, reduces distribution losses, and maximizes solar renewable energy integration.</w:t>
            </w:r>
          </w:p>
        </w:tc>
      </w:tr>
      <w:tr>
        <w:trPr>
          <w:cantSplit/>
        </w:trPr>
        <w:tc>
          <w:tcPr>
            <w:tcW w:type="dxa" w:w="1440"/>
            <w:shd w:fill="FFFFFF"/>
            <w:tcMar>
              <w:top w:w="100" w:type="dxa"/>
              <w:bottom w:w="100" w:type="dxa"/>
              <w:left w:w="150" w:type="dxa"/>
              <w:right w:w="150" w:type="dxa"/>
            </w:tcMar>
          </w:tcPr>
          <w:p>
            <w:r>
              <w:rPr>
                <w:rFonts w:ascii="Calibri" w:hAnsi="Calibri"/>
                <w:color w:val="333333"/>
                <w:sz w:val="19"/>
              </w:rPr>
              <w:t>SDG 9</w:t>
            </w:r>
          </w:p>
        </w:tc>
        <w:tc>
          <w:tcPr>
            <w:tcW w:type="dxa" w:w="2592"/>
            <w:shd w:fill="FFFFFF"/>
            <w:tcMar>
              <w:top w:w="100" w:type="dxa"/>
              <w:bottom w:w="100" w:type="dxa"/>
              <w:left w:w="150" w:type="dxa"/>
              <w:right w:w="150" w:type="dxa"/>
            </w:tcMar>
          </w:tcPr>
          <w:p>
            <w:r>
              <w:rPr>
                <w:rFonts w:ascii="Calibri" w:hAnsi="Calibri"/>
                <w:color w:val="333333"/>
                <w:sz w:val="19"/>
              </w:rPr>
              <w:t>Industry, Innovation &amp; Infrastructure</w:t>
            </w:r>
          </w:p>
        </w:tc>
        <w:tc>
          <w:tcPr>
            <w:tcW w:type="dxa" w:w="5760"/>
            <w:shd w:fill="FFFFFF"/>
            <w:tcMar>
              <w:top w:w="100" w:type="dxa"/>
              <w:bottom w:w="100" w:type="dxa"/>
              <w:left w:w="150" w:type="dxa"/>
              <w:right w:w="150" w:type="dxa"/>
            </w:tcMar>
          </w:tcPr>
          <w:p>
            <w:r>
              <w:rPr>
                <w:rFonts w:ascii="Calibri" w:hAnsi="Calibri"/>
                <w:color w:val="333333"/>
                <w:sz w:val="19"/>
              </w:rPr>
              <w:t>Replaces legacy centralized tools with scalable, Big Data Hadoop cloud infrastructure for smart grid resilience.</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SDG 11</w:t>
            </w:r>
          </w:p>
        </w:tc>
        <w:tc>
          <w:tcPr>
            <w:tcW w:type="dxa" w:w="2592"/>
            <w:shd w:fill="F9FAFB"/>
            <w:tcMar>
              <w:top w:w="100" w:type="dxa"/>
              <w:bottom w:w="100" w:type="dxa"/>
              <w:left w:w="150" w:type="dxa"/>
              <w:right w:w="150" w:type="dxa"/>
            </w:tcMar>
          </w:tcPr>
          <w:p>
            <w:r>
              <w:rPr>
                <w:rFonts w:ascii="Calibri" w:hAnsi="Calibri"/>
                <w:color w:val="333333"/>
                <w:sz w:val="19"/>
              </w:rPr>
              <w:t>Sustainable Cities &amp; Communities</w:t>
            </w:r>
          </w:p>
        </w:tc>
        <w:tc>
          <w:tcPr>
            <w:tcW w:type="dxa" w:w="5760"/>
            <w:shd w:fill="F9FAFB"/>
            <w:tcMar>
              <w:top w:w="100" w:type="dxa"/>
              <w:bottom w:w="100" w:type="dxa"/>
              <w:left w:w="150" w:type="dxa"/>
              <w:right w:w="150" w:type="dxa"/>
            </w:tcMar>
          </w:tcPr>
          <w:p>
            <w:r>
              <w:rPr>
                <w:rFonts w:ascii="Calibri" w:hAnsi="Calibri"/>
                <w:color w:val="333333"/>
                <w:sz w:val="19"/>
              </w:rPr>
              <w:t>Provides smart building energy analytics enabling urban grid balancing and zero-carbon smart city initiatives.</w:t>
            </w:r>
          </w:p>
        </w:tc>
      </w:tr>
      <w:tr>
        <w:trPr>
          <w:cantSplit/>
        </w:trPr>
        <w:tc>
          <w:tcPr>
            <w:tcW w:type="dxa" w:w="1440"/>
            <w:shd w:fill="FFFFFF"/>
            <w:tcMar>
              <w:top w:w="100" w:type="dxa"/>
              <w:bottom w:w="100" w:type="dxa"/>
              <w:left w:w="150" w:type="dxa"/>
              <w:right w:w="150" w:type="dxa"/>
            </w:tcMar>
          </w:tcPr>
          <w:p>
            <w:r>
              <w:rPr>
                <w:rFonts w:ascii="Calibri" w:hAnsi="Calibri"/>
                <w:color w:val="333333"/>
                <w:sz w:val="19"/>
              </w:rPr>
              <w:t>SDG 12</w:t>
            </w:r>
          </w:p>
        </w:tc>
        <w:tc>
          <w:tcPr>
            <w:tcW w:type="dxa" w:w="2592"/>
            <w:shd w:fill="FFFFFF"/>
            <w:tcMar>
              <w:top w:w="100" w:type="dxa"/>
              <w:bottom w:w="100" w:type="dxa"/>
              <w:left w:w="150" w:type="dxa"/>
              <w:right w:w="150" w:type="dxa"/>
            </w:tcMar>
          </w:tcPr>
          <w:p>
            <w:r>
              <w:rPr>
                <w:rFonts w:ascii="Calibri" w:hAnsi="Calibri"/>
                <w:color w:val="333333"/>
                <w:sz w:val="19"/>
              </w:rPr>
              <w:t>Responsible Consumption &amp; Production</w:t>
            </w:r>
          </w:p>
        </w:tc>
        <w:tc>
          <w:tcPr>
            <w:tcW w:type="dxa" w:w="5760"/>
            <w:shd w:fill="FFFFFF"/>
            <w:tcMar>
              <w:top w:w="100" w:type="dxa"/>
              <w:bottom w:w="100" w:type="dxa"/>
              <w:left w:w="150" w:type="dxa"/>
              <w:right w:w="150" w:type="dxa"/>
            </w:tcMar>
          </w:tcPr>
          <w:p>
            <w:r>
              <w:rPr>
                <w:rFonts w:ascii="Calibri" w:hAnsi="Calibri"/>
                <w:color w:val="333333"/>
                <w:sz w:val="19"/>
              </w:rPr>
              <w:t>Empowers consumers with granular load profiling (appliance breakdown) to eliminate energy waste.</w:t>
            </w:r>
          </w:p>
        </w:tc>
      </w:tr>
      <w:tr>
        <w:trPr>
          <w:cantSplit/>
        </w:trPr>
        <w:tc>
          <w:tcPr>
            <w:tcW w:type="dxa" w:w="1440"/>
            <w:shd w:fill="F9FAFB"/>
            <w:tcMar>
              <w:top w:w="100" w:type="dxa"/>
              <w:bottom w:w="100" w:type="dxa"/>
              <w:left w:w="150" w:type="dxa"/>
              <w:right w:w="150" w:type="dxa"/>
            </w:tcMar>
          </w:tcPr>
          <w:p>
            <w:r>
              <w:rPr>
                <w:rFonts w:ascii="Calibri" w:hAnsi="Calibri"/>
                <w:color w:val="333333"/>
                <w:sz w:val="19"/>
              </w:rPr>
              <w:t>SDG 13</w:t>
            </w:r>
          </w:p>
        </w:tc>
        <w:tc>
          <w:tcPr>
            <w:tcW w:type="dxa" w:w="2592"/>
            <w:shd w:fill="F9FAFB"/>
            <w:tcMar>
              <w:top w:w="100" w:type="dxa"/>
              <w:bottom w:w="100" w:type="dxa"/>
              <w:left w:w="150" w:type="dxa"/>
              <w:right w:w="150" w:type="dxa"/>
            </w:tcMar>
          </w:tcPr>
          <w:p>
            <w:r>
              <w:rPr>
                <w:rFonts w:ascii="Calibri" w:hAnsi="Calibri"/>
                <w:color w:val="333333"/>
                <w:sz w:val="19"/>
              </w:rPr>
              <w:t>Climate Action</w:t>
            </w:r>
          </w:p>
        </w:tc>
        <w:tc>
          <w:tcPr>
            <w:tcW w:type="dxa" w:w="5760"/>
            <w:shd w:fill="F9FAFB"/>
            <w:tcMar>
              <w:top w:w="100" w:type="dxa"/>
              <w:bottom w:w="100" w:type="dxa"/>
              <w:left w:w="150" w:type="dxa"/>
              <w:right w:w="150" w:type="dxa"/>
            </w:tcMar>
          </w:tcPr>
          <w:p>
            <w:r>
              <w:rPr>
                <w:rFonts w:ascii="Calibri" w:hAnsi="Calibri"/>
                <w:color w:val="333333"/>
                <w:sz w:val="19"/>
              </w:rPr>
              <w:t>Reduces reliance on carbon-intensive peaker power plants through peak shaving and load shifting.</w:t>
            </w:r>
          </w:p>
        </w:tc>
      </w:tr>
    </w:tbl>
    <w:p/>
    <w:p>
      <w:pPr>
        <w:keepNext/>
        <w:spacing w:before="320" w:after="120"/>
      </w:pPr>
      <w:r>
        <w:rPr>
          <w:rFonts w:ascii="Calibri" w:hAnsi="Calibri"/>
          <w:b/>
          <w:color w:val="1F4E79"/>
          <w:sz w:val="32"/>
        </w:rPr>
        <w:t>13. Conclusion and Reflection</w:t>
      </w:r>
    </w:p>
    <w:p>
      <w:pPr>
        <w:spacing w:before="0" w:after="80" w:line="276" w:lineRule="auto"/>
      </w:pPr>
      <w:r>
        <w:rPr>
          <w:rFonts w:ascii="Calibri" w:hAnsi="Calibri"/>
          <w:color w:val="333333"/>
          <w:sz w:val="22"/>
        </w:rPr>
        <w:t>This project successfully designed and deployed a Hadoop-based Smart Energy-Consumption Analytics System capable of processing large-scale energy datasets across HDFS, MapReduce, and YARN.</w:t>
      </w:r>
    </w:p>
    <w:p>
      <w:pPr>
        <w:keepNext/>
        <w:spacing w:before="240" w:after="80"/>
      </w:pPr>
      <w:r>
        <w:rPr>
          <w:rFonts w:ascii="Calibri" w:hAnsi="Calibri"/>
          <w:b/>
          <w:color w:val="2E75B6"/>
          <w:sz w:val="26"/>
        </w:rPr>
        <w:t>Key Technical Accomplishments &amp; CO Fulfillment</w:t>
      </w:r>
    </w:p>
    <w:p>
      <w:pPr>
        <w:pStyle w:val="ListBullet"/>
        <w:spacing w:before="0" w:after="60" w:line="276" w:lineRule="auto"/>
        <w:ind w:left="360"/>
      </w:pPr>
      <w:r>
        <w:rPr>
          <w:rFonts w:ascii="Calibri" w:hAnsi="Calibri"/>
          <w:b/>
          <w:color w:val="333333"/>
          <w:sz w:val="21"/>
        </w:rPr>
        <w:t xml:space="preserve">CO1 Fulfillment: </w:t>
      </w:r>
      <w:r>
        <w:rPr>
          <w:rFonts w:ascii="Calibri" w:hAnsi="Calibri"/>
          <w:color w:val="333333"/>
          <w:sz w:val="21"/>
        </w:rPr>
        <w:t>Successfully demonstrated Big Data concepts, 4Vs handling, and distributed fault tolerance across HDFS (CO1).</w:t>
      </w:r>
    </w:p>
    <w:p>
      <w:pPr>
        <w:pStyle w:val="ListBullet"/>
        <w:spacing w:before="0" w:after="60" w:line="276" w:lineRule="auto"/>
        <w:ind w:left="360"/>
      </w:pPr>
      <w:r>
        <w:rPr>
          <w:rFonts w:ascii="Calibri" w:hAnsi="Calibri"/>
          <w:b/>
          <w:color w:val="333333"/>
          <w:sz w:val="21"/>
        </w:rPr>
        <w:t xml:space="preserve">CO2 Fulfillment: </w:t>
      </w:r>
      <w:r>
        <w:rPr>
          <w:rFonts w:ascii="Calibri" w:hAnsi="Calibri"/>
          <w:color w:val="333333"/>
          <w:sz w:val="21"/>
        </w:rPr>
        <w:t>Engineered custom Java MapReduce programs, YARN cluster execution, and HDFS block storage management (CO2).</w:t>
      </w:r>
    </w:p>
    <w:p>
      <w:pPr>
        <w:pStyle w:val="ListBullet"/>
        <w:spacing w:before="0" w:after="60" w:line="276" w:lineRule="auto"/>
        <w:ind w:left="360"/>
      </w:pPr>
      <w:r>
        <w:rPr>
          <w:rFonts w:ascii="Calibri" w:hAnsi="Calibri"/>
          <w:b/>
          <w:color w:val="333333"/>
          <w:sz w:val="21"/>
        </w:rPr>
        <w:t xml:space="preserve">CO3 Fulfillment: </w:t>
      </w:r>
      <w:r>
        <w:rPr>
          <w:rFonts w:ascii="Calibri" w:hAnsi="Calibri"/>
          <w:color w:val="333333"/>
          <w:sz w:val="21"/>
        </w:rPr>
        <w:t>Derived actionable energy management insights (peak shaving, PF correction) directly aligned with UN SDGs 7, 9, 11, 12, 13 (CO3).</w:t>
      </w:r>
    </w:p>
    <w:p>
      <w:pPr>
        <w:keepNext/>
        <w:spacing w:before="240" w:after="80"/>
      </w:pPr>
      <w:r>
        <w:rPr>
          <w:rFonts w:ascii="Calibri" w:hAnsi="Calibri"/>
          <w:b/>
          <w:color w:val="2E75B6"/>
          <w:sz w:val="26"/>
        </w:rPr>
        <w:t>Future System Enhancements</w:t>
      </w:r>
    </w:p>
    <w:p>
      <w:pPr>
        <w:pStyle w:val="ListBullet"/>
        <w:spacing w:before="0" w:after="60" w:line="276" w:lineRule="auto"/>
        <w:ind w:left="360"/>
      </w:pPr>
      <w:r>
        <w:rPr>
          <w:rFonts w:ascii="Calibri" w:hAnsi="Calibri"/>
          <w:b/>
          <w:color w:val="333333"/>
          <w:sz w:val="21"/>
        </w:rPr>
        <w:t xml:space="preserve">Real-Time Ingestion: </w:t>
      </w:r>
      <w:r>
        <w:rPr>
          <w:rFonts w:ascii="Calibri" w:hAnsi="Calibri"/>
          <w:color w:val="333333"/>
          <w:sz w:val="21"/>
        </w:rPr>
        <w:t>Implement Apache Spark Streaming &amp; Apache Kafka for real-time sub-second IoT telemetry processing.</w:t>
      </w:r>
    </w:p>
    <w:p>
      <w:pPr>
        <w:pStyle w:val="ListBullet"/>
        <w:spacing w:before="0" w:after="60" w:line="276" w:lineRule="auto"/>
        <w:ind w:left="360"/>
      </w:pPr>
      <w:r>
        <w:rPr>
          <w:rFonts w:ascii="Calibri" w:hAnsi="Calibri"/>
          <w:b/>
          <w:color w:val="333333"/>
          <w:sz w:val="21"/>
        </w:rPr>
        <w:t xml:space="preserve">Predictive ML Analytics: </w:t>
      </w:r>
      <w:r>
        <w:rPr>
          <w:rFonts w:ascii="Calibri" w:hAnsi="Calibri"/>
          <w:color w:val="333333"/>
          <w:sz w:val="21"/>
        </w:rPr>
        <w:t>Deploy Machine Learning (LSTM / XGBoost) on Spark MLlib for predictive load forecasting.</w:t>
      </w:r>
    </w:p>
    <w:p>
      <w:pPr>
        <w:keepNext/>
        <w:spacing w:before="320" w:after="120"/>
      </w:pPr>
      <w:r>
        <w:rPr>
          <w:rFonts w:ascii="Calibri" w:hAnsi="Calibri"/>
          <w:b/>
          <w:color w:val="1F4E79"/>
          <w:sz w:val="32"/>
        </w:rPr>
        <w:t>14. GitHub Upload &amp; Project Structure</w:t>
      </w:r>
    </w:p>
    <w:p>
      <w:pPr>
        <w:spacing w:before="0" w:after="80" w:line="276" w:lineRule="auto"/>
      </w:pPr>
      <w:r>
        <w:rPr>
          <w:rFonts w:ascii="Calibri" w:hAnsi="Calibri"/>
          <w:color w:val="333333"/>
          <w:sz w:val="22"/>
        </w:rPr>
        <w:t>The project source code, HDFS scripts, dataset schemas, and documentation are structured in an open-source GitHub repository format:</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smart-energy-hadoop-analytics/</w:t>
              <w:br/>
              <w:t>├── README.md                          # Project documentation &amp; execution guide</w:t>
              <w:br/>
              <w:t>├── pom.xml                            # Maven build configuration &amp; Hadoop dependencies</w:t>
              <w:br/>
              <w:t>├── config/</w:t>
              <w:br/>
              <w:t>│   ├── core-site.xml                  # HDFS URI &amp; core configuration</w:t>
              <w:br/>
              <w:t>│   ├── hdfs-site.xml                  # Block size &amp; replication settings</w:t>
              <w:br/>
              <w:t>│   └── yarn-site.xml                  # YARN ResourceManager configuration</w:t>
              <w:br/>
              <w:t>├── dataset/</w:t>
              <w:br/>
              <w:t>│   ├── generate_dataset.py            # Synthetic dataset generator script</w:t>
              <w:br/>
              <w:t>│   └── sample_energy_data.csv         # Sample 1000-record dataset file</w:t>
              <w:br/>
              <w:t>├── src/</w:t>
              <w:br/>
              <w:t>│   └── main/</w:t>
              <w:br/>
              <w:t>│       ├── java/com/energy/analytics/</w:t>
              <w:br/>
              <w:t>│       │   ├── SmartEnergyAnalyticsJob.java</w:t>
              <w:br/>
              <w:t>│       │   ├── LocationEnergyMapper.java</w:t>
              <w:br/>
              <w:t>│       │   └── LocationEnergyReducer.java</w:t>
              <w:br/>
              <w:t>│       └── python/</w:t>
              <w:br/>
              <w:t>│           ├── mapper.py</w:t>
              <w:br/>
              <w:t>│           └── reducer.py</w:t>
              <w:br/>
              <w:t>└── scripts/</w:t>
              <w:br/>
              <w:t xml:space="preserve">    ├── hdfs_setup.sh                  # Shell script for HDFS directory initialization</w:t>
              <w:br/>
              <w:t xml:space="preserve">    └── run_yarn_job.sh                # Shell script for YARN submission</w:t>
            </w:r>
          </w:p>
        </w:tc>
      </w:tr>
    </w:tbl>
    <w:p/>
    <w:p>
      <w:pPr>
        <w:keepNext/>
        <w:spacing w:before="240" w:after="80"/>
      </w:pPr>
      <w:r>
        <w:rPr>
          <w:rFonts w:ascii="Calibri" w:hAnsi="Calibri"/>
          <w:b/>
          <w:color w:val="2E75B6"/>
          <w:sz w:val="26"/>
        </w:rPr>
        <w:t>Git Execution &amp; Repository Commands</w:t>
      </w:r>
    </w:p>
    <w:tbl>
      <w:tblPr>
        <w:tblW w:type="auto" w:w="0"/>
        <w:jc w:val="center"/>
        <w:tblLook w:firstColumn="1" w:firstRow="1" w:lastColumn="0" w:lastRow="0" w:noHBand="0" w:noVBand="1" w:val="04A0"/>
      </w:tblPr>
      <w:tblGrid>
        <w:gridCol w:w="9936"/>
      </w:tblGrid>
      <w:tr>
        <w:tc>
          <w:tcPr>
            <w:tcW w:type="dxa" w:w="9792"/>
            <w:shd w:fill="F4F6F9"/>
            <w:tcBorders>
              <w:top w:val="single" w:sz="4" w:space="0" w:color="D0D7DE"/>
              <w:left w:val="single" w:sz="18" w:space="0" w:color="1F4E79"/>
              <w:bottom w:val="single" w:sz="4" w:space="0" w:color="D0D7DE"/>
              <w:right w:val="single" w:sz="4" w:space="0" w:color="D0D7DE"/>
            </w:tcBorders>
            <w:tcMar>
              <w:top w:w="120" w:type="dxa"/>
              <w:bottom w:w="120" w:type="dxa"/>
              <w:left w:w="180" w:type="dxa"/>
              <w:right w:w="180" w:type="dxa"/>
            </w:tcMar>
          </w:tcPr>
          <w:p>
            <w:pPr>
              <w:spacing w:before="0" w:after="0" w:line="252" w:lineRule="auto"/>
            </w:pPr>
            <w:r>
              <w:rPr>
                <w:rFonts w:ascii="Consolas" w:hAnsi="Consolas"/>
                <w:color w:val="222222"/>
                <w:sz w:val="18"/>
              </w:rPr>
              <w:t># Initialize repository &amp; add files</w:t>
              <w:br/>
              <w:t>$ git init</w:t>
              <w:br/>
              <w:t>$ git add .</w:t>
              <w:br/>
              <w:t>$ git commit -m "Initial commit: Smart Energy Analytics Hadoop system"</w:t>
              <w:br/>
              <w:br/>
              <w:t># Connect to remote GitHub repo and push code</w:t>
              <w:br/>
              <w:t>$ git branch -M main</w:t>
              <w:br/>
              <w:t>$ git remote add origin https://github.com/user/smart-energy-hadoop-analytics.git</w:t>
              <w:br/>
              <w:t>$ git push -u origin main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