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The Same Door for Everyone: Accessibility, Language, and the End of Disability Exclusion in Financial Services</w:t>
      </w:r>
    </w:p>
    <w:p>
      <w:pPr>
        <w:spacing w:after="160" w:line="288"/>
      </w:pPr>
      <w:r>
        <w:rPr>
          <w:i/>
          <w:iCs/>
          <w:sz w:val="22"/>
          <w:szCs w:val="22"/>
        </w:rPr>
        <w:t xml:space="preserve">Disability inclusion and language access are the same project, removing barriers to understanding. In financial services, they are also becoming the same legal obligation.</w:t>
      </w:r>
    </w:p>
    <w:p>
      <w:pPr>
        <w:spacing w:after="160" w:line="288"/>
      </w:pPr>
      <w:r>
        <w:rPr>
          <w:i/>
          <w:iCs/>
          <w:sz w:val="22"/>
          <w:szCs w:val="22"/>
        </w:rPr>
        <w:t xml:space="preserve">Draft for the TransPerfect Financial Services blog · 2026-08-14</w:t>
      </w:r>
    </w:p>
    <w:p>
      <w:pPr>
        <w:pBdr>
          <w:bottom w:val="single" w:color="CCCCCC" w:sz="6" w:space="1"/>
        </w:pBdr>
        <w:spacing w:after="120" w:before="120"/>
      </w:pPr>
      <w:r>
        <w:t xml:space="preserve"/>
      </w:r>
    </w:p>
    <w:p>
      <w:pPr>
        <w:spacing w:after="160" w:line="288"/>
      </w:pPr>
      <w:r>
        <w:rPr>
          <w:sz w:val="22"/>
          <w:szCs w:val="22"/>
        </w:rPr>
        <w:t xml:space="preserve">Start with the scale of who is being left out. In the United States, </w:t>
      </w:r>
      <w:hyperlink w:history="1" r:id="rIdaukqrrd0gzaxpsukdkqbw">
        <w:r>
          <w:rPr>
            <w:rStyle w:val="Hyperlink"/>
            <w:sz w:val="22"/>
            <w:szCs w:val="22"/>
          </w:rPr>
          <w:t xml:space="preserve">one in four adults, roughly 61 million people, lives with a disability</w:t>
        </w:r>
      </w:hyperlink>
      <w:r>
        <w:rPr>
          <w:sz w:val="22"/>
          <w:szCs w:val="22"/>
        </w:rPr>
        <w:t xml:space="preserve">, and globally the number reaches </w:t>
      </w:r>
      <w:hyperlink w:history="1" r:id="rIduxo8qgiwwm-yzgkfnc9ca">
        <w:r>
          <w:rPr>
            <w:rStyle w:val="Hyperlink"/>
            <w:sz w:val="22"/>
            <w:szCs w:val="22"/>
          </w:rPr>
          <w:t xml:space="preserve">1.3 billion</w:t>
        </w:r>
      </w:hyperlink>
      <w:r>
        <w:rPr>
          <w:sz w:val="22"/>
          <w:szCs w:val="22"/>
        </w:rPr>
        <w:t xml:space="preserve">, the population the Valuable 500 movement exists to stop excluding. This is not a fringe. It is one of the largest underserved markets on earth, with an estimated </w:t>
      </w:r>
      <w:hyperlink w:history="1" r:id="rId71-iah0kmelwos25xbcci">
        <w:r>
          <w:rPr>
            <w:rStyle w:val="Hyperlink"/>
            <w:sz w:val="22"/>
            <w:szCs w:val="22"/>
          </w:rPr>
          <w:t xml:space="preserve">$490 billion in disposable income</w:t>
        </w:r>
      </w:hyperlink>
      <w:r>
        <w:rPr>
          <w:sz w:val="22"/>
          <w:szCs w:val="22"/>
        </w:rPr>
        <w:t xml:space="preserve"> in the U.S. alone. TransPerfect's </w:t>
      </w:r>
      <w:hyperlink w:history="1" r:id="rIdtl0yk9pulnrolhzyu0sft">
        <w:r>
          <w:rPr>
            <w:rStyle w:val="Hyperlink"/>
            <w:sz w:val="22"/>
            <w:szCs w:val="22"/>
          </w:rPr>
          <w:t xml:space="preserve">recognition in the Valuable 500 Directory</w:t>
        </w:r>
      </w:hyperlink>
      <w:r>
        <w:rPr>
          <w:sz w:val="22"/>
          <w:szCs w:val="22"/>
        </w:rPr>
        <w:t xml:space="preserve"> reflects a mission that is broader than translation: making sure everyone can reach the services they need, whatever language they speak and whatever their ability.</w:t>
      </w:r>
    </w:p>
    <w:p>
      <w:pPr>
        <w:spacing w:after="160" w:line="288"/>
      </w:pPr>
      <w:r>
        <w:rPr>
          <w:sz w:val="22"/>
          <w:szCs w:val="22"/>
        </w:rPr>
        <w:t xml:space="preserve">Financial services is where that mission matters most, because banking is not a nice-to-have. It is the infrastructure of economic life. When an online banking flow cannot be used with a screen reader, when a disclosure PDF is an unreadable image, or when a Deaf customer cannot get service in their first language, the exclusion is not cosmetic. It is exclusion from money itself, from paying bills, disputing a charge, opening an account, or understanding what one has agreed to.</w:t>
      </w:r>
    </w:p>
    <w:p>
      <w:pPr>
        <w:spacing w:after="120" w:before="280"/>
      </w:pPr>
      <w:r>
        <w:rPr>
          <w:b/>
          <w:bCs/>
          <w:color w:val="4B3FBF"/>
          <w:sz w:val="28"/>
          <w:szCs w:val="28"/>
        </w:rPr>
        <w:t xml:space="preserve">Language and accessibility are one problem</w:t>
      </w:r>
    </w:p>
    <w:p>
      <w:pPr>
        <w:spacing w:after="160" w:line="288"/>
      </w:pPr>
      <w:r>
        <w:rPr>
          <w:sz w:val="22"/>
          <w:szCs w:val="22"/>
        </w:rPr>
        <w:t xml:space="preserve">Here is the connection that financial institutions consistently miss: accessibility and language are not two separate initiatives. They are the same work, removing barriers to understanding, approached from different angles.</w:t>
      </w:r>
    </w:p>
    <w:p>
      <w:pPr>
        <w:spacing w:after="160" w:line="288"/>
      </w:pPr>
      <w:r>
        <w:rPr>
          <w:sz w:val="22"/>
          <w:szCs w:val="22"/>
        </w:rPr>
        <w:t xml:space="preserve">The clearest example is sign language. For many Deaf people, a signed language such as ASL is their first language, and written English is a second one. Providing an ASL interpreter is therefore an accessibility accommodation and a language service at the same time. The same is true of captions and transcripts, of audio description, of text-to-speech that reads a statement aloud, and of plain-language rewriting that makes a dense disclosure comprehensible to someone with a cognitive disability. Every one of these is a language and communication service in service of accessibility.</w:t>
      </w:r>
    </w:p>
    <w:p>
      <w:pPr>
        <w:spacing w:after="160" w:line="288"/>
      </w:pPr>
      <w:r>
        <w:rPr>
          <w:sz w:val="22"/>
          <w:szCs w:val="22"/>
        </w:rPr>
        <w:t xml:space="preserve">The overlap runs deeper still. A blind customer who prefers Spanish, a hard-of-hearing customer who signs in a non-English sign language, an older immigrant managing both limited English and low vision: these are not edge cases, they are the ordinary reality of a diverse customer base. An accessibility program that only works in English still excludes millions, and a language program that ignores disability does the same. Institutions that treat the two as one discipline, comprehension for everyone, serve both populations better and duplicate less work doing it.</w:t>
      </w:r>
    </w:p>
    <w:p>
      <w:pPr>
        <w:spacing w:after="160" w:line="288"/>
      </w:pPr>
      <w:r>
        <w:rPr>
          <w:sz w:val="22"/>
          <w:szCs w:val="22"/>
        </w:rPr>
        <w:t xml:space="preserve">This is why a language company belongs in the disability-inclusion conversation, and why the Valuable 500's goal of ending disability exclusion sits naturally alongside the work of making finance understandable across languages. It is the same door, and the job is to make sure everyone can open it.</w:t>
      </w:r>
    </w:p>
    <w:p>
      <w:pPr>
        <w:spacing w:after="120" w:before="280"/>
      </w:pPr>
      <w:r>
        <w:rPr>
          <w:b/>
          <w:bCs/>
          <w:color w:val="4B3FBF"/>
          <w:sz w:val="28"/>
          <w:szCs w:val="28"/>
        </w:rPr>
        <w:t xml:space="preserve">The obligation is no longer optional</w:t>
      </w:r>
    </w:p>
    <w:p>
      <w:pPr>
        <w:spacing w:after="160" w:line="288"/>
      </w:pPr>
      <w:r>
        <w:rPr>
          <w:sz w:val="22"/>
          <w:szCs w:val="22"/>
        </w:rPr>
        <w:t xml:space="preserve">For years, accessibility in financial services was treated as a values statement. That era is over, on both sides of the Atlantic.</w:t>
      </w:r>
    </w:p>
    <w:p>
      <w:pPr>
        <w:spacing w:after="160" w:line="288"/>
      </w:pPr>
      <w:r>
        <w:rPr>
          <w:sz w:val="22"/>
          <w:szCs w:val="22"/>
        </w:rPr>
        <w:t xml:space="preserve">In Europe, the </w:t>
      </w:r>
      <w:hyperlink w:history="1" r:id="rIdpr1hya8th-srzdjkbgd40">
        <w:r>
          <w:rPr>
            <w:rStyle w:val="Hyperlink"/>
            <w:sz w:val="22"/>
            <w:szCs w:val="22"/>
          </w:rPr>
          <w:t xml:space="preserve">European Accessibility Act took effect on June 28, 2025</w:t>
        </w:r>
      </w:hyperlink>
      <w:r>
        <w:rPr>
          <w:sz w:val="22"/>
          <w:szCs w:val="22"/>
        </w:rPr>
        <w:t xml:space="preserve">, and banking is explicitly in scope. Consumer banking websites, mobile apps, authentication flows, and self-service terminals must now be accessible, with </w:t>
      </w:r>
      <w:hyperlink w:history="1" r:id="rIdwhnpevnhsqeqxyid39wj1">
        <w:r>
          <w:rPr>
            <w:rStyle w:val="Hyperlink"/>
            <w:sz w:val="22"/>
            <w:szCs w:val="22"/>
          </w:rPr>
          <w:t xml:space="preserve">EN 301 549 and its WCAG Level AA criteria</w:t>
        </w:r>
      </w:hyperlink>
      <w:r>
        <w:rPr>
          <w:sz w:val="22"/>
          <w:szCs w:val="22"/>
        </w:rPr>
        <w:t xml:space="preserve"> as the presumed standard. Enforcement runs through national authorities, and penalties are real; Germany, for instance, provides for fines up to 100,000 euros per violation. Legacy services have a transition runway to 2030, but new and materially changed services are covered now.</w:t>
      </w:r>
    </w:p>
    <w:p>
      <w:pPr>
        <w:spacing w:after="160" w:line="288"/>
      </w:pPr>
      <w:r>
        <w:rPr>
          <w:sz w:val="22"/>
          <w:szCs w:val="22"/>
        </w:rPr>
        <w:t xml:space="preserve">In the United States, the pressure comes through litigation and supervision. Website accessibility lawsuits have run </w:t>
      </w:r>
      <w:hyperlink w:history="1" r:id="rIdvdzn_lmhsc1jvgt9wctid">
        <w:r>
          <w:rPr>
            <w:rStyle w:val="Hyperlink"/>
            <w:sz w:val="22"/>
            <w:szCs w:val="22"/>
          </w:rPr>
          <w:t xml:space="preserve">in the thousands every year</w:t>
        </w:r>
      </w:hyperlink>
      <w:r>
        <w:rPr>
          <w:sz w:val="22"/>
          <w:szCs w:val="22"/>
        </w:rPr>
        <w:t xml:space="preserve">, and after a brief dip they </w:t>
      </w:r>
      <w:hyperlink w:history="1" r:id="rIdcole6ieyrgnyssn_-emv6">
        <w:r>
          <w:rPr>
            <w:rStyle w:val="Hyperlink"/>
            <w:sz w:val="22"/>
            <w:szCs w:val="22"/>
          </w:rPr>
          <w:t xml:space="preserve">rebounded to more than 3,100 federal filings in 2025</w:t>
        </w:r>
      </w:hyperlink>
      <w:r>
        <w:rPr>
          <w:sz w:val="22"/>
          <w:szCs w:val="22"/>
        </w:rPr>
        <w:t xml:space="preserve">. Financial services is squarely in the crosshairs: law firm Morgan Lewis has documented an </w:t>
      </w:r>
      <w:hyperlink w:history="1" r:id="rId_3ly1dr4p6zclacl9deho">
        <w:r>
          <w:rPr>
            <w:rStyle w:val="Hyperlink"/>
            <w:sz w:val="22"/>
            <w:szCs w:val="22"/>
          </w:rPr>
          <w:t xml:space="preserve">uptick in ADA website litigation against financial services firms alongside heightened regulatory attention</w:t>
        </w:r>
      </w:hyperlink>
      <w:r>
        <w:rPr>
          <w:sz w:val="22"/>
          <w:szCs w:val="22"/>
        </w:rPr>
        <w:t xml:space="preserve">, and industry trackers count more than 40 banks and financial institutions sued over their websites in a single year. Section 508 sets parallel expectations for anyone touching the federal space.</w:t>
      </w:r>
    </w:p>
    <w:p>
      <w:pPr>
        <w:spacing w:after="160" w:line="288"/>
      </w:pPr>
      <w:r>
        <w:rPr>
          <w:sz w:val="22"/>
          <w:szCs w:val="22"/>
        </w:rPr>
        <w:t xml:space="preserve">A word of caution for anyone hoping to buy their way out cheaply: automated accessibility overlays and widgets are not a defense. A quarter of 2024 web-accessibility suits </w:t>
      </w:r>
      <w:hyperlink w:history="1" r:id="rIddf58lwex-_6g60xkad-bm">
        <w:r>
          <w:rPr>
            <w:rStyle w:val="Hyperlink"/>
            <w:sz w:val="22"/>
            <w:szCs w:val="22"/>
          </w:rPr>
          <w:t xml:space="preserve">explicitly cited overlays as barriers rather than solutions</w:t>
        </w:r>
      </w:hyperlink>
      <w:r>
        <w:rPr>
          <w:sz w:val="22"/>
          <w:szCs w:val="22"/>
        </w:rPr>
        <w:t xml:space="preserve">, and U.S. regulators have penalized an overlay vendor for overstating what its tool delivered. The safe path is genuine conformance, verified.</w:t>
      </w:r>
    </w:p>
    <w:p>
      <w:pPr>
        <w:spacing w:after="120" w:before="280"/>
      </w:pPr>
      <w:r>
        <w:rPr>
          <w:b/>
          <w:bCs/>
          <w:color w:val="4B3FBF"/>
          <w:sz w:val="28"/>
          <w:szCs w:val="28"/>
        </w:rPr>
        <w:t xml:space="preserve">What genuine conformance looks like</w:t>
      </w:r>
    </w:p>
    <w:p>
      <w:pPr>
        <w:spacing w:after="160" w:line="288"/>
      </w:pPr>
      <w:r>
        <w:rPr>
          <w:sz w:val="22"/>
          <w:szCs w:val="22"/>
        </w:rPr>
        <w:t xml:space="preserve">Compliance that actually holds up in front of a regulator or a plaintiff's lawyer has a recognizable shape, and it is broader than most institutions realize.</w:t>
      </w:r>
    </w:p>
    <w:p>
      <w:pPr>
        <w:spacing w:after="160" w:line="288"/>
      </w:pPr>
      <w:r>
        <w:rPr>
          <w:sz w:val="22"/>
          <w:szCs w:val="22"/>
        </w:rPr>
        <w:t xml:space="preserve">It covers the whole digital estate, web, mobile apps, and increasingly AI-driven interfaces, tested against </w:t>
      </w:r>
      <w:hyperlink w:history="1" r:id="rIdra7hmgqzwiseyptojxz28">
        <w:r>
          <w:rPr>
            <w:rStyle w:val="Hyperlink"/>
            <w:sz w:val="22"/>
            <w:szCs w:val="22"/>
          </w:rPr>
          <w:t xml:space="preserve">WCAG 2.2 Level AA</w:t>
        </w:r>
      </w:hyperlink>
      <w:r>
        <w:rPr>
          <w:sz w:val="22"/>
          <w:szCs w:val="22"/>
        </w:rPr>
        <w:t xml:space="preserve">, EN 301 549, and Section 508, not self-attested but confirmed through independent audits with conformance reporting (the ACR and VPAT documents that procurement and litigation both ask for). Automated scanners have a role, but they detect only a fraction of real barriers; genuine conformance still depends on expert human testing, including review by people who use assistive technology, which is why </w:t>
      </w:r>
      <w:hyperlink w:history="1" r:id="rIdalbpmeas3lmpntmtlyb4f">
        <w:r>
          <w:rPr>
            <w:rStyle w:val="Hyperlink"/>
            <w:sz w:val="22"/>
            <w:szCs w:val="22"/>
          </w:rPr>
          <w:t xml:space="preserve">human expertise remains central even as AI accelerates the audit</w:t>
        </w:r>
      </w:hyperlink>
      <w:r>
        <w:rPr>
          <w:sz w:val="22"/>
          <w:szCs w:val="22"/>
        </w:rPr>
        <w:t xml:space="preserve">. It is sustained rather than one-time, because a site drifts out of conformance with every release, which is why leading programs keep a re-audit cadence rather than a single certificate.</w:t>
      </w:r>
    </w:p>
    <w:p>
      <w:pPr>
        <w:spacing w:after="160" w:line="288"/>
      </w:pPr>
      <w:r>
        <w:rPr>
          <w:sz w:val="22"/>
          <w:szCs w:val="22"/>
        </w:rPr>
        <w:t xml:space="preserve">And, critically, it includes documents. Statements, disclosures, and policy documents are where accessibility programs most often fall short, and inaccessible PDFs are one of the most common gaps cited in demand letters. A perfectly accessible website that delivers an unreadable statement has simply moved the barrier, not removed it. Document remediation is not an afterthought; it is often the exposure.</w:t>
      </w:r>
    </w:p>
    <w:p>
      <w:pPr>
        <w:spacing w:after="160" w:line="288"/>
      </w:pPr>
      <w:r>
        <w:rPr>
          <w:sz w:val="22"/>
          <w:szCs w:val="22"/>
        </w:rPr>
        <w:t xml:space="preserve">The best programs then close the loop with the human-facing services that turn conformance into inclusion: ASL interpretation and text-to-speech that make banking usable in the customer's own language and modality. This is not theoretical. </w:t>
      </w:r>
      <w:hyperlink w:history="1" r:id="rIdwjf2_rqq4vbxsiqtnivej">
        <w:r>
          <w:rPr>
            <w:rStyle w:val="Hyperlink"/>
            <w:sz w:val="22"/>
            <w:szCs w:val="22"/>
          </w:rPr>
          <w:t xml:space="preserve">Regions Bank publicly offers text-to-speech access to PDF statements and professional ASL interpreters</w:t>
        </w:r>
      </w:hyperlink>
      <w:r>
        <w:rPr>
          <w:sz w:val="22"/>
          <w:szCs w:val="22"/>
        </w:rPr>
        <w:t xml:space="preserve">, and states that it follows WCAG 2.2 Level AA. That is what the destination looks like: standards conformance underneath, and real language-and-communication access on top.</w:t>
      </w:r>
    </w:p>
    <w:p>
      <w:pPr>
        <w:spacing w:after="120" w:before="280"/>
      </w:pPr>
      <w:r>
        <w:rPr>
          <w:b/>
          <w:bCs/>
          <w:color w:val="4B3FBF"/>
          <w:sz w:val="28"/>
          <w:szCs w:val="28"/>
        </w:rPr>
        <w:t xml:space="preserve">Inclusion is strategy, not charity</w:t>
      </w:r>
    </w:p>
    <w:p>
      <w:pPr>
        <w:spacing w:after="160" w:line="288"/>
      </w:pPr>
      <w:r>
        <w:rPr>
          <w:sz w:val="22"/>
          <w:szCs w:val="22"/>
        </w:rPr>
        <w:t xml:space="preserve">The moral case for ending disability exclusion has always been sufficient. What has changed is that the market case and the legal case now point the same way. A quarter of adults, over a billion people worldwide, and hundreds of billions in spending power are on one side; rising litigation, a live European statute, and active regulators are on the other. The institutions that treat accessibility and language as one mission, making finance understandable and usable for everyone, will win customers their competitors are quietly turning away, and will not be the ones answering a demand letter about a PDF.</w:t>
      </w:r>
    </w:p>
    <w:p>
      <w:pPr>
        <w:spacing w:after="160" w:line="288"/>
      </w:pPr>
      <w:r>
        <w:rPr>
          <w:sz w:val="22"/>
          <w:szCs w:val="22"/>
        </w:rPr>
        <w:t xml:space="preserve">The same door, for everyone. That is the whole idea.</w:t>
      </w:r>
    </w:p>
    <w:p>
      <w:pPr>
        <w:pBdr>
          <w:bottom w:val="single" w:color="CCCCCC" w:sz="6" w:space="1"/>
        </w:pBdr>
        <w:spacing w:after="120" w:before="120"/>
      </w:pPr>
      <w:r>
        <w:t xml:space="preserve"/>
      </w:r>
    </w:p>
    <w:p>
      <w:pPr>
        <w:spacing w:after="160" w:line="288"/>
      </w:pPr>
      <w:r>
        <w:rPr>
          <w:i/>
          <w:iCs/>
          <w:sz w:val="22"/>
          <w:szCs w:val="22"/>
        </w:rPr>
        <w:t xml:space="preserve">TransPerfect helps banks, fintechs, and regulated operators meet WCAG 2.2 AA, EN 301 549, and Section 508 across web, apps, AI, and documents, with independent audits, ACR/VPAT reporting, ongoing conformance, and language-access services including ASL and text-to-speech. [Explore our accessibility and finance language solutions »](https://www.transperfect.com/industries/finance-and-banking)</w:t>
      </w:r>
    </w:p>
    <w:p>
      <w:pPr>
        <w:spacing w:after="160" w:line="288"/>
      </w:pPr>
      <w:r>
        <w:rPr>
          <w:b/>
          <w:bCs/>
          <w:sz w:val="22"/>
          <w:szCs w:val="22"/>
        </w:rPr>
        <w:t xml:space="preserve">Related reading:</w:t>
      </w:r>
      <w:r>
        <w:rPr>
          <w:sz w:val="22"/>
          <w:szCs w:val="22"/>
        </w:rPr>
        <w:t xml:space="preserve"> </w:t>
      </w:r>
      <w:hyperlink w:history="1" r:id="rIdo9wibzdgurj5ipwke2a21">
        <w:r>
          <w:rPr>
            <w:rStyle w:val="Hyperlink"/>
            <w:sz w:val="22"/>
            <w:szCs w:val="22"/>
          </w:rPr>
          <w:t xml:space="preserve">Accessibility in 2026: Where We Are and What It Means for You</w:t>
        </w:r>
      </w:hyperlink>
      <w:r>
        <w:rPr>
          <w:sz w:val="22"/>
          <w:szCs w:val="22"/>
        </w:rPr>
        <w:t xml:space="preserve"> and </w:t>
      </w:r>
      <w:hyperlink w:history="1" r:id="rId1ze-dunbdajtey_e_srh0">
        <w:r>
          <w:rPr>
            <w:rStyle w:val="Hyperlink"/>
            <w:sz w:val="22"/>
            <w:szCs w:val="22"/>
          </w:rPr>
          <w:t xml:space="preserve">AI and Accessibility Audits: Why Human Expertise Still Matters</w:t>
        </w:r>
      </w:hyperlink>
      <w:r>
        <w:rPr>
          <w:sz w:val="22"/>
          <w:szCs w:val="22"/>
        </w:rPr>
        <w:t xml:space="preserve">, plus our finance series: </w:t>
      </w:r>
      <w:hyperlink w:history="1" r:id="rId91bhssjlln-zkdyboykal">
        <w:r>
          <w:rPr>
            <w:rStyle w:val="Hyperlink"/>
            <w:sz w:val="22"/>
            <w:szCs w:val="22"/>
          </w:rPr>
          <w:t xml:space="preserve">Buying Loyalty in a Second Language</w:t>
        </w:r>
      </w:hyperlink>
      <w:r>
        <w:rPr>
          <w:sz w:val="22"/>
          <w:szCs w:val="22"/>
        </w:rPr>
        <w:t xml:space="preserve">, </w:t>
      </w:r>
      <w:hyperlink w:history="1" r:id="rIdlpdgnogyamrnpz1puh37d">
        <w:r>
          <w:rPr>
            <w:rStyle w:val="Hyperlink"/>
            <w:sz w:val="22"/>
            <w:szCs w:val="22"/>
          </w:rPr>
          <w:t xml:space="preserve">One Name, Six Spellings: KYC and Sanctions Screening</w:t>
        </w:r>
      </w:hyperlink>
      <w:r>
        <w:rPr>
          <w:sz w:val="22"/>
          <w:szCs w:val="22"/>
        </w:rPr>
        <w:t xml:space="preserve">, and </w:t>
      </w:r>
      <w:hyperlink w:history="1" r:id="rIdhkjwkznvawquqzkmbbrfu">
        <w:r>
          <w:rPr>
            <w:rStyle w:val="Hyperlink"/>
            <w:sz w:val="22"/>
            <w:szCs w:val="22"/>
          </w:rPr>
          <w:t xml:space="preserve">From Sponsor to Customer: Fintech's New Sports Playbook</w:t>
        </w:r>
      </w:hyperlink>
      <w:r>
        <w:rPr>
          <w:sz w:val="22"/>
          <w:szCs w:val="22"/>
        </w:rPr>
        <w:t xml:space="preserve"> </w:t>
      </w:r>
      <w:r>
        <w:rPr>
          <w:i/>
          <w:iCs/>
          <w:sz w:val="22"/>
          <w:szCs w:val="22"/>
        </w:rPr>
        <w:t xml:space="preserve">(Buying Loyalty URL is a placeholder)</w:t>
      </w:r>
      <w:r>
        <w:rPr>
          <w:sz w:val="22"/>
          <w:szCs w:val="22"/>
        </w:rPr>
        <w:t xml:space="preserve">.</w:t>
      </w:r>
    </w:p>
    <w:p>
      <w:pPr>
        <w:pBdr>
          <w:bottom w:val="single" w:color="CCCCCC" w:sz="6" w:space="1"/>
        </w:pBdr>
        <w:spacing w:after="120" w:before="120"/>
      </w:pPr>
      <w:r>
        <w:t xml:space="preserve"/>
      </w:r>
    </w:p>
    <w:p>
      <w:pPr>
        <w:spacing w:after="120" w:before="280"/>
      </w:pPr>
      <w:r>
        <w:rPr>
          <w:b/>
          <w:bCs/>
          <w:color w:val="4B3FBF"/>
          <w:sz w:val="28"/>
          <w:szCs w:val="28"/>
        </w:rPr>
        <w:t xml:space="preserve">Sources</w:t>
      </w:r>
    </w:p>
    <w:p>
      <w:pPr>
        <w:pStyle w:val="ListParagraph"/>
        <w:numPr>
          <w:ilvl w:val="0"/>
          <w:numId w:val="2"/>
        </w:numPr>
        <w:spacing w:after="100" w:line="288"/>
      </w:pPr>
      <w:r>
        <w:rPr>
          <w:sz w:val="22"/>
          <w:szCs w:val="22"/>
        </w:rPr>
        <w:t xml:space="preserve">CDC, </w:t>
      </w:r>
      <w:r>
        <w:rPr>
          <w:i/>
          <w:iCs/>
          <w:sz w:val="22"/>
          <w:szCs w:val="22"/>
        </w:rPr>
        <w:t xml:space="preserve">1 in 4 U.S. adults live with a disability</w:t>
      </w:r>
      <w:r>
        <w:rPr>
          <w:sz w:val="22"/>
          <w:szCs w:val="22"/>
        </w:rPr>
        <w:t xml:space="preserve"> (~61 million). </w:t>
      </w:r>
      <w:hyperlink w:history="1" r:id="rIdi7cskq7cjlimft527e9f6">
        <w:r>
          <w:rPr>
            <w:rStyle w:val="Hyperlink"/>
            <w:sz w:val="20"/>
            <w:szCs w:val="20"/>
          </w:rPr>
          <w:t xml:space="preserve">https://archive.cdc.gov/www_cdc_gov/media/releases/2018/p0816-disability.html</w:t>
        </w:r>
      </w:hyperlink>
    </w:p>
    <w:p>
      <w:pPr>
        <w:pStyle w:val="ListParagraph"/>
        <w:numPr>
          <w:ilvl w:val="0"/>
          <w:numId w:val="2"/>
        </w:numPr>
        <w:spacing w:after="100" w:line="288"/>
      </w:pPr>
      <w:r>
        <w:rPr>
          <w:sz w:val="22"/>
          <w:szCs w:val="22"/>
        </w:rPr>
        <w:t xml:space="preserve">The Valuable 500 (global movement to end disability exclusion; 1.3 billion people). </w:t>
      </w:r>
      <w:hyperlink w:history="1" r:id="rIdqvzkaxoxo-_nrjukjmqir">
        <w:r>
          <w:rPr>
            <w:rStyle w:val="Hyperlink"/>
            <w:sz w:val="20"/>
            <w:szCs w:val="20"/>
          </w:rPr>
          <w:t xml:space="preserve">https://www.thevaluable500.com/</w:t>
        </w:r>
      </w:hyperlink>
      <w:r>
        <w:rPr>
          <w:sz w:val="22"/>
          <w:szCs w:val="22"/>
        </w:rPr>
        <w:t xml:space="preserve"> · TransPerfect recognition: </w:t>
      </w:r>
      <w:hyperlink w:history="1" r:id="rIdujthgaeiqwpq9rm14kg5n">
        <w:r>
          <w:rPr>
            <w:rStyle w:val="Hyperlink"/>
            <w:sz w:val="20"/>
            <w:szCs w:val="20"/>
          </w:rPr>
          <w:t xml:space="preserve">https://www.transperfect.com/about/press/transperfect-recognized-valuable-500-directory-commitment-accessibility</w:t>
        </w:r>
      </w:hyperlink>
    </w:p>
    <w:p>
      <w:pPr>
        <w:pStyle w:val="ListParagraph"/>
        <w:numPr>
          <w:ilvl w:val="0"/>
          <w:numId w:val="2"/>
        </w:numPr>
        <w:spacing w:after="100" w:line="288"/>
      </w:pPr>
      <w:r>
        <w:rPr>
          <w:sz w:val="22"/>
          <w:szCs w:val="22"/>
        </w:rPr>
        <w:t xml:space="preserve">American Institutes for Research, </w:t>
      </w:r>
      <w:r>
        <w:rPr>
          <w:i/>
          <w:iCs/>
          <w:sz w:val="22"/>
          <w:szCs w:val="22"/>
        </w:rPr>
        <w:t xml:space="preserve">A Hidden Market: The Purchasing Power of Working-Age Adults With Disabilities</w:t>
      </w:r>
      <w:r>
        <w:rPr>
          <w:sz w:val="22"/>
          <w:szCs w:val="22"/>
        </w:rPr>
        <w:t xml:space="preserve"> (~$490B disposable income). </w:t>
      </w:r>
      <w:hyperlink w:history="1" r:id="rIdvpancxfjnco5nwm6frbvz">
        <w:r>
          <w:rPr>
            <w:rStyle w:val="Hyperlink"/>
            <w:sz w:val="20"/>
            <w:szCs w:val="20"/>
          </w:rPr>
          <w:t xml:space="preserve">https://www.air.org/sites/default/files/2022-03/Hidden-Market-Spending-Power-of-People-with-Disabilities-April-2018.pdf</w:t>
        </w:r>
      </w:hyperlink>
    </w:p>
    <w:p>
      <w:pPr>
        <w:pStyle w:val="ListParagraph"/>
        <w:numPr>
          <w:ilvl w:val="0"/>
          <w:numId w:val="2"/>
        </w:numPr>
        <w:spacing w:after="100" w:line="288"/>
      </w:pPr>
      <w:r>
        <w:rPr>
          <w:sz w:val="22"/>
          <w:szCs w:val="22"/>
        </w:rPr>
        <w:t xml:space="preserve">European Accessibility Act (effective June 28, 2025; banking in scope; EN 301 549 / WCAG AA): </w:t>
      </w:r>
      <w:hyperlink w:history="1" r:id="rIdrtpvrhi41wipbflw19vlg">
        <w:r>
          <w:rPr>
            <w:rStyle w:val="Hyperlink"/>
            <w:sz w:val="22"/>
            <w:szCs w:val="22"/>
          </w:rPr>
          <w:t xml:space="preserve">Accessible.org</w:t>
        </w:r>
      </w:hyperlink>
      <w:r>
        <w:rPr>
          <w:sz w:val="22"/>
          <w:szCs w:val="22"/>
        </w:rPr>
        <w:t xml:space="preserve"> · </w:t>
      </w:r>
      <w:hyperlink w:history="1" r:id="rIddznsfksknazbn2qrw2q6z">
        <w:r>
          <w:rPr>
            <w:rStyle w:val="Hyperlink"/>
            <w:sz w:val="22"/>
            <w:szCs w:val="22"/>
          </w:rPr>
          <w:t xml:space="preserve">Level Access</w:t>
        </w:r>
      </w:hyperlink>
    </w:p>
    <w:p>
      <w:pPr>
        <w:pStyle w:val="ListParagraph"/>
        <w:numPr>
          <w:ilvl w:val="0"/>
          <w:numId w:val="2"/>
        </w:numPr>
        <w:spacing w:after="100" w:line="288"/>
      </w:pPr>
      <w:r>
        <w:rPr>
          <w:sz w:val="22"/>
          <w:szCs w:val="22"/>
        </w:rPr>
        <w:t xml:space="preserve">ADA web-accessibility litigation trends (thousands per year; 2025 rebound to 3,100+ federal; overlays cited as barriers): </w:t>
      </w:r>
      <w:hyperlink w:history="1" r:id="rIdcgfj99bbimxtrdmuc5y4q">
        <w:r>
          <w:rPr>
            <w:rStyle w:val="Hyperlink"/>
            <w:sz w:val="22"/>
            <w:szCs w:val="22"/>
          </w:rPr>
          <w:t xml:space="preserve">Accessibility.Works</w:t>
        </w:r>
      </w:hyperlink>
      <w:r>
        <w:rPr>
          <w:sz w:val="22"/>
          <w:szCs w:val="22"/>
        </w:rPr>
        <w:t xml:space="preserve"> · </w:t>
      </w:r>
      <w:hyperlink w:history="1" r:id="rIddvw4ehjuudxqn-vhua9f4">
        <w:r>
          <w:rPr>
            <w:rStyle w:val="Hyperlink"/>
            <w:sz w:val="22"/>
            <w:szCs w:val="22"/>
          </w:rPr>
          <w:t xml:space="preserve">WCAGsafe</w:t>
        </w:r>
      </w:hyperlink>
    </w:p>
    <w:p>
      <w:pPr>
        <w:pStyle w:val="ListParagraph"/>
        <w:numPr>
          <w:ilvl w:val="0"/>
          <w:numId w:val="2"/>
        </w:numPr>
        <w:spacing w:after="100" w:line="288"/>
      </w:pPr>
      <w:r>
        <w:rPr>
          <w:sz w:val="22"/>
          <w:szCs w:val="22"/>
        </w:rPr>
        <w:t xml:space="preserve">Morgan Lewis, </w:t>
      </w:r>
      <w:r>
        <w:rPr>
          <w:i/>
          <w:iCs/>
          <w:sz w:val="22"/>
          <w:szCs w:val="22"/>
        </w:rPr>
        <w:t xml:space="preserve">ADA Compliant Websites: Uptick in Litigation Against Financial Services Firms</w:t>
      </w:r>
      <w:r>
        <w:rPr>
          <w:sz w:val="22"/>
          <w:szCs w:val="22"/>
        </w:rPr>
        <w:t xml:space="preserve"> (2024). </w:t>
      </w:r>
      <w:hyperlink w:history="1" r:id="rIdnxlknltylycy24r-8ugxg">
        <w:r>
          <w:rPr>
            <w:rStyle w:val="Hyperlink"/>
            <w:sz w:val="20"/>
            <w:szCs w:val="20"/>
          </w:rPr>
          <w:t xml:space="preserve">https://www.morganlewis.com/pubs/2024/11/ada-compliant-websites-uptick-in-litigation-against-financial-services-firms-increased-regulatory-attention</w:t>
        </w:r>
      </w:hyperlink>
    </w:p>
    <w:p>
      <w:pPr>
        <w:pStyle w:val="ListParagraph"/>
        <w:numPr>
          <w:ilvl w:val="0"/>
          <w:numId w:val="2"/>
        </w:numPr>
        <w:spacing w:after="100" w:line="288"/>
      </w:pPr>
      <w:r>
        <w:rPr>
          <w:sz w:val="22"/>
          <w:szCs w:val="22"/>
        </w:rPr>
        <w:t xml:space="preserve">W3C, </w:t>
      </w:r>
      <w:r>
        <w:rPr>
          <w:i/>
          <w:iCs/>
          <w:sz w:val="22"/>
          <w:szCs w:val="22"/>
        </w:rPr>
        <w:t xml:space="preserve">Web Content Accessibility Guidelines (WCAG) 2.2</w:t>
      </w:r>
      <w:r>
        <w:rPr>
          <w:sz w:val="22"/>
          <w:szCs w:val="22"/>
        </w:rPr>
        <w:t xml:space="preserve">. </w:t>
      </w:r>
      <w:hyperlink w:history="1" r:id="rIdficx9begr0ynpnx01efr9">
        <w:r>
          <w:rPr>
            <w:rStyle w:val="Hyperlink"/>
            <w:sz w:val="20"/>
            <w:szCs w:val="20"/>
          </w:rPr>
          <w:t xml:space="preserve">https://www.w3.org/TR/WCAG22/</w:t>
        </w:r>
      </w:hyperlink>
    </w:p>
    <w:p>
      <w:pPr>
        <w:pStyle w:val="ListParagraph"/>
        <w:numPr>
          <w:ilvl w:val="0"/>
          <w:numId w:val="2"/>
        </w:numPr>
        <w:spacing w:after="100" w:line="288"/>
      </w:pPr>
      <w:r>
        <w:rPr>
          <w:sz w:val="22"/>
          <w:szCs w:val="22"/>
        </w:rPr>
        <w:t xml:space="preserve">Regions Bank, </w:t>
      </w:r>
      <w:r>
        <w:rPr>
          <w:i/>
          <w:iCs/>
          <w:sz w:val="22"/>
          <w:szCs w:val="22"/>
        </w:rPr>
        <w:t xml:space="preserve">Accessible Banking</w:t>
      </w:r>
      <w:r>
        <w:rPr>
          <w:sz w:val="22"/>
          <w:szCs w:val="22"/>
        </w:rPr>
        <w:t xml:space="preserve"> (public text-to-speech statements, ASL interpreters, WCAG 2.2 AA). </w:t>
      </w:r>
      <w:hyperlink w:history="1" r:id="rIdmwpmhlokv3vamyj_kx7hq">
        <w:r>
          <w:rPr>
            <w:rStyle w:val="Hyperlink"/>
            <w:sz w:val="20"/>
            <w:szCs w:val="20"/>
          </w:rPr>
          <w:t xml:space="preserve">https://www.regions.com/about-regions/accessible-banking</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ukqrrd0gzaxpsukdkqbw" Type="http://schemas.openxmlformats.org/officeDocument/2006/relationships/hyperlink" Target="https://archive.cdc.gov/www_cdc_gov/media/releases/2018/p0816-disability.html" TargetMode="External"/><Relationship Id="rIduxo8qgiwwm-yzgkfnc9ca" Type="http://schemas.openxmlformats.org/officeDocument/2006/relationships/hyperlink" Target="https://www.thevaluable500.com/" TargetMode="External"/><Relationship Id="rId71-iah0kmelwos25xbcci" Type="http://schemas.openxmlformats.org/officeDocument/2006/relationships/hyperlink" Target="https://www.air.org/sites/default/files/2022-03/Hidden-Market-Spending-Power-of-People-with-Disabilities-April-2018.pdf" TargetMode="External"/><Relationship Id="rIdtl0yk9pulnrolhzyu0sft" Type="http://schemas.openxmlformats.org/officeDocument/2006/relationships/hyperlink" Target="https://www.transperfect.com/about/press/transperfect-recognized-valuable-500-directory-commitment-accessibility" TargetMode="External"/><Relationship Id="rIdpr1hya8th-srzdjkbgd40" Type="http://schemas.openxmlformats.org/officeDocument/2006/relationships/hyperlink" Target="https://accessible.org/online-banking-accessibilityeaa/" TargetMode="External"/><Relationship Id="rIdwhnpevnhsqeqxyid39wj1" Type="http://schemas.openxmlformats.org/officeDocument/2006/relationships/hyperlink" Target="https://www.levelaccess.com/blog/eu-accessibility-requirements-and-eaa-compliance/" TargetMode="External"/><Relationship Id="rIdvdzn_lmhsc1jvgt9wctid" Type="http://schemas.openxmlformats.org/officeDocument/2006/relationships/hyperlink" Target="https://www.accessibility.works/blog/ada-lawsuit-trends-statistics-2024-summary/" TargetMode="External"/><Relationship Id="rIdcole6ieyrgnyssn_-emv6" Type="http://schemas.openxmlformats.org/officeDocument/2006/relationships/hyperlink" Target="https://wcagsafe.com/blog/ada-lawsuit-statistics" TargetMode="External"/><Relationship Id="rId_3ly1dr4p6zclacl9deho" Type="http://schemas.openxmlformats.org/officeDocument/2006/relationships/hyperlink" Target="https://www.morganlewis.com/pubs/2024/11/ada-compliant-websites-uptick-in-litigation-against-financial-services-firms-increased-regulatory-attention" TargetMode="External"/><Relationship Id="rIddf58lwex-_6g60xkad-bm" Type="http://schemas.openxmlformats.org/officeDocument/2006/relationships/hyperlink" Target="https://www.accessibility.works/blog/ada-lawsuit-trends-statistics-2024-summary/" TargetMode="External"/><Relationship Id="rIdra7hmgqzwiseyptojxz28" Type="http://schemas.openxmlformats.org/officeDocument/2006/relationships/hyperlink" Target="https://www.w3.org/TR/WCAG22/" TargetMode="External"/><Relationship Id="rIdalbpmeas3lmpntmtlyb4f" Type="http://schemas.openxmlformats.org/officeDocument/2006/relationships/hyperlink" Target="https://www.transperfect.com/blog/ai-and-healthcare-accessibility-audits-why-human-expertise-still-matters" TargetMode="External"/><Relationship Id="rIdwjf2_rqq4vbxsiqtnivej" Type="http://schemas.openxmlformats.org/officeDocument/2006/relationships/hyperlink" Target="https://www.regions.com/about-regions/accessible-banking" TargetMode="External"/><Relationship Id="rIdo9wibzdgurj5ipwke2a21" Type="http://schemas.openxmlformats.org/officeDocument/2006/relationships/hyperlink" Target="https://www.transperfect.com/blog/accessibility-2026-heres-where-we-are-and-what-means-you" TargetMode="External"/><Relationship Id="rId1ze-dunbdajtey_e_srh0" Type="http://schemas.openxmlformats.org/officeDocument/2006/relationships/hyperlink" Target="https://www.transperfect.com/blog/ai-and-healthcare-accessibility-audits-why-human-expertise-still-matters" TargetMode="External"/><Relationship Id="rId91bhssjlln-zkdyboykal" Type="http://schemas.openxmlformats.org/officeDocument/2006/relationships/hyperlink" Target="https://www.transperfect.com/blog/buying-loyalty-in-a-second-language" TargetMode="External"/><Relationship Id="rIdlpdgnogyamrnpz1puh37d" Type="http://schemas.openxmlformats.org/officeDocument/2006/relationships/hyperlink" Target="https://www.transperfect.com/blog/one-name-six-spellings-blind-spot-kyc-and-sanctions-screening" TargetMode="External"/><Relationship Id="rIdhkjwkznvawquqzkmbbrfu" Type="http://schemas.openxmlformats.org/officeDocument/2006/relationships/hyperlink" Target="https://www.transperfect.com/blog/sponsor-customer-viamericas-revolut-and-fintechs-new-sports-playbook" TargetMode="External"/><Relationship Id="rIdi7cskq7cjlimft527e9f6" Type="http://schemas.openxmlformats.org/officeDocument/2006/relationships/hyperlink" Target="https://archive.cdc.gov/www_cdc_gov/media/releases/2018/p0816-disability.html" TargetMode="External"/><Relationship Id="rIdqvzkaxoxo-_nrjukjmqir" Type="http://schemas.openxmlformats.org/officeDocument/2006/relationships/hyperlink" Target="https://www.thevaluable500.com/" TargetMode="External"/><Relationship Id="rIdujthgaeiqwpq9rm14kg5n" Type="http://schemas.openxmlformats.org/officeDocument/2006/relationships/hyperlink" Target="https://www.transperfect.com/about/press/transperfect-recognized-valuable-500-directory-commitment-accessibility" TargetMode="External"/><Relationship Id="rIdvpancxfjnco5nwm6frbvz" Type="http://schemas.openxmlformats.org/officeDocument/2006/relationships/hyperlink" Target="https://www.air.org/sites/default/files/2022-03/Hidden-Market-Spending-Power-of-People-with-Disabilities-April-2018.pdf" TargetMode="External"/><Relationship Id="rIdrtpvrhi41wipbflw19vlg" Type="http://schemas.openxmlformats.org/officeDocument/2006/relationships/hyperlink" Target="https://accessible.org/online-banking-accessibilityeaa/" TargetMode="External"/><Relationship Id="rIddznsfksknazbn2qrw2q6z" Type="http://schemas.openxmlformats.org/officeDocument/2006/relationships/hyperlink" Target="https://www.levelaccess.com/blog/eu-accessibility-requirements-and-eaa-compliance/" TargetMode="External"/><Relationship Id="rIdcgfj99bbimxtrdmuc5y4q" Type="http://schemas.openxmlformats.org/officeDocument/2006/relationships/hyperlink" Target="https://www.accessibility.works/blog/ada-lawsuit-trends-statistics-2024-summary/" TargetMode="External"/><Relationship Id="rIddvw4ehjuudxqn-vhua9f4" Type="http://schemas.openxmlformats.org/officeDocument/2006/relationships/hyperlink" Target="https://wcagsafe.com/blog/ada-lawsuit-statistics" TargetMode="External"/><Relationship Id="rIdnxlknltylycy24r-8ugxg" Type="http://schemas.openxmlformats.org/officeDocument/2006/relationships/hyperlink" Target="https://www.morganlewis.com/pubs/2024/11/ada-compliant-websites-uptick-in-litigation-against-financial-services-firms-increased-regulatory-attention" TargetMode="External"/><Relationship Id="rIdficx9begr0ynpnx01efr9" Type="http://schemas.openxmlformats.org/officeDocument/2006/relationships/hyperlink" Target="https://www.w3.org/TR/WCAG22/" TargetMode="External"/><Relationship Id="rIdmwpmhlokv3vamyj_kx7hq" Type="http://schemas.openxmlformats.org/officeDocument/2006/relationships/hyperlink" Target="https://www.regions.com/about-regions/accessible-bankin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2026-09-22T13:43:01.785Z</dcterms:created>
  <dcterms:modified xsi:type="dcterms:W3CDTF">2026-09-22T13:43:01.785Z</dcterms:modified>
</cp:coreProperties>
</file>

<file path=docProps/custom.xml><?xml version="1.0" encoding="utf-8"?>
<Properties xmlns="http://schemas.openxmlformats.org/officeDocument/2006/custom-properties" xmlns:vt="http://schemas.openxmlformats.org/officeDocument/2006/docPropsVTypes"/>
</file>