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The Language Trust Layer: Why Language Is the Verification Problem Fintech Keeps Deferring</w:t>
      </w:r>
    </w:p>
    <w:p>
      <w:pPr>
        <w:spacing w:after="160" w:line="288"/>
      </w:pPr>
      <w:r>
        <w:rPr>
          <w:b/>
          <w:bCs/>
          <w:sz w:val="22"/>
          <w:szCs w:val="22"/>
        </w:rPr>
        <w:t xml:space="preserve">Submitted to the DC Fintech Week 2026 Call for Papers</w:t>
      </w:r>
      <w:r>
        <w:rPr>
          <w:sz w:val="22"/>
          <w:szCs w:val="22"/>
        </w:rPr>
        <w:t xml:space="preserve"> </w:t>
      </w:r>
      <w:r>
        <w:rPr>
          <w:b/>
          <w:bCs/>
          <w:sz w:val="22"/>
          <w:szCs w:val="22"/>
        </w:rPr>
        <w:t xml:space="preserve">Track: Trust, Identity, and Verification Layers in Digital Finance</w:t>
      </w:r>
      <w:r>
        <w:rPr>
          <w:sz w:val="22"/>
          <w:szCs w:val="22"/>
        </w:rPr>
        <w:t xml:space="preserve"> (with relevance to </w:t>
      </w:r>
      <w:r>
        <w:rPr>
          <w:i/>
          <w:iCs/>
          <w:sz w:val="22"/>
          <w:szCs w:val="22"/>
        </w:rPr>
        <w:t xml:space="preserve">AI and Market Access</w:t>
      </w:r>
      <w:r>
        <w:rPr>
          <w:sz w:val="22"/>
          <w:szCs w:val="22"/>
        </w:rPr>
        <w:t xml:space="preserve">, </w:t>
      </w:r>
      <w:r>
        <w:rPr>
          <w:i/>
          <w:iCs/>
          <w:sz w:val="22"/>
          <w:szCs w:val="22"/>
        </w:rPr>
        <w:t xml:space="preserve">Agentic Commerce</w:t>
      </w:r>
      <w:r>
        <w:rPr>
          <w:sz w:val="22"/>
          <w:szCs w:val="22"/>
        </w:rPr>
        <w:t xml:space="preserve">, and </w:t>
      </w:r>
      <w:r>
        <w:rPr>
          <w:i/>
          <w:iCs/>
          <w:sz w:val="22"/>
          <w:szCs w:val="22"/>
        </w:rPr>
        <w:t xml:space="preserve">Interoperability across Payment Systems, Open Banking, and Digital Identity</w:t>
      </w:r>
      <w:r>
        <w:rPr>
          <w:sz w:val="22"/>
          <w:szCs w:val="22"/>
        </w:rPr>
        <w:t xml:space="preserve">)</w:t>
      </w:r>
    </w:p>
    <w:p>
      <w:pPr>
        <w:spacing w:after="160" w:line="288"/>
      </w:pPr>
      <w:r>
        <w:rPr>
          <w:i/>
          <w:iCs/>
          <w:sz w:val="22"/>
          <w:szCs w:val="22"/>
        </w:rPr>
        <w:t xml:space="preserve">Draft, 2026-08-13. Unpublished.</w:t>
      </w:r>
    </w:p>
    <w:p>
      <w:pPr>
        <w:pBdr>
          <w:bottom w:val="single" w:color="CCCCCC" w:sz="6" w:space="1"/>
        </w:pBdr>
        <w:spacing w:after="120" w:before="120"/>
      </w:pPr>
      <w:r>
        <w:t xml:space="preserve"/>
      </w:r>
    </w:p>
    <w:p>
      <w:pPr>
        <w:spacing w:after="120" w:before="280"/>
      </w:pPr>
      <w:r>
        <w:rPr>
          <w:b/>
          <w:bCs/>
          <w:color w:val="4B3FBF"/>
          <w:sz w:val="28"/>
          <w:szCs w:val="28"/>
        </w:rPr>
        <w:t xml:space="preserve">Abstract</w:t>
      </w:r>
    </w:p>
    <w:p>
      <w:pPr>
        <w:spacing w:after="160" w:line="288"/>
      </w:pPr>
      <w:r>
        <w:rPr>
          <w:sz w:val="22"/>
          <w:szCs w:val="22"/>
        </w:rPr>
        <w:t xml:space="preserve">Digital finance treats language as a localization task: a cosmetic layer added late, after the product, the risk model, and the growth plan are built. This paper argues that framing is a category error with measurable costs. Language is not a translation of the trust relationship; it is one of its load-bearing layers. It determines whether a prospect converts, whether an onboarding identity check succeeds or fails, whether a sanctions screen catches a real hit or drowns in false positives, and whether disclosures create informed consent or legal exposure. Using consumer research, U.S. and EU regulatory guidance, sanctions-screening practice, and recent enforcement, we show that the language layer spans the entire customer lifecycle, from acquisition through verification, servicing, and compliance, and that fintechs consistently underinvest in it until failure forces the issue. We propose treating language as verification infrastructure, offer a lifecycle framework, and set out implications for firms, regulators, and standard-setters as identity, screening, and increasingly autonomous agents cross linguistic and script boundaries.</w:t>
      </w:r>
    </w:p>
    <w:p>
      <w:pPr>
        <w:spacing w:after="120" w:before="280"/>
      </w:pPr>
      <w:r>
        <w:rPr>
          <w:b/>
          <w:bCs/>
          <w:color w:val="4B3FBF"/>
          <w:sz w:val="28"/>
          <w:szCs w:val="28"/>
        </w:rPr>
        <w:t xml:space="preserve">1. Introduction</w:t>
      </w:r>
    </w:p>
    <w:p>
      <w:pPr>
        <w:spacing w:after="160" w:line="288"/>
      </w:pPr>
      <w:r>
        <w:rPr>
          <w:sz w:val="22"/>
          <w:szCs w:val="22"/>
        </w:rPr>
        <w:t xml:space="preserve">Ask a fintech founder when they will localize, and the honest answer is usually "after product-market fit." Language sits on the roadmap as a growth-stage chore: swap the strings, add Spanish, ship it. This paper contends that the sequencing is backwards. In financial services, language is not downstream of trust; it is a component of it. The moment a customer cannot read a disclosure, cannot complete onboarding because their name was transliterated in a way the system did not anticipate, or cannot dispute a charge in the language they think in, the trust relationship has already degraded, regardless of how good the underlying product is.</w:t>
      </w:r>
    </w:p>
    <w:p>
      <w:pPr>
        <w:spacing w:after="160" w:line="288"/>
      </w:pPr>
      <w:r>
        <w:rPr>
          <w:sz w:val="22"/>
          <w:szCs w:val="22"/>
        </w:rPr>
        <w:t xml:space="preserve">The DC Fintech Week 2026 call asks for work on trust, identity, and verification layers in digital finance. We take the word "layer" seriously and argue that language is a missing one. Our claim is not merely that multilingual service is nice, or even that it is legally advisable. It is that language operates as verification infrastructure: the correctness of a name match, the validity of consent, and the reachability of a customer are all functions of how language is handled. When language is treated as decoration, it fails silently until it fails expensively.</w:t>
      </w:r>
    </w:p>
    <w:p>
      <w:pPr>
        <w:spacing w:after="160" w:line="288"/>
      </w:pPr>
      <w:r>
        <w:rPr>
          <w:sz w:val="22"/>
          <w:szCs w:val="22"/>
        </w:rPr>
        <w:t xml:space="preserve">The contribution is a reframing and a synthesis rather than a new dataset. Each fact we cite is individually familiar to some specialist community: marketers know the consumer-preference research, AML teams know the transliteration problem, compliance counsel know the CFPB's guidance. What is missing is the recognition that these are the same problem observed at different points in the customer lifecycle. Naming that problem, the language trust layer, and showing that it is continuous rather than compartmentalized, is the point.</w:t>
      </w:r>
    </w:p>
    <w:p>
      <w:pPr>
        <w:spacing w:after="160" w:line="288"/>
      </w:pPr>
      <w:r>
        <w:rPr>
          <w:sz w:val="22"/>
          <w:szCs w:val="22"/>
        </w:rPr>
        <w:t xml:space="preserve">We proceed as follows. Section 2 sets out a lifecycle framework for the language trust layer. Section 3 examines acquisition, where language is a market-access variable, including its distinctive role for community and small-bank finance. Section 4 turns to the technical core, verification and sanctions screening, where transliteration is a first-order source of both missed matches and false positives. Section 5 covers servicing, disclosure, and fairness, where language is a compliance obligation. Section 6 proposes how to measure the language layer. Section 7 addresses the AI inflection point, including agentic commerce, and offers policy recommendations. Section 8 concludes.</w:t>
      </w:r>
    </w:p>
    <w:p>
      <w:pPr>
        <w:spacing w:after="120" w:before="280"/>
      </w:pPr>
      <w:r>
        <w:rPr>
          <w:b/>
          <w:bCs/>
          <w:color w:val="4B3FBF"/>
          <w:sz w:val="28"/>
          <w:szCs w:val="28"/>
        </w:rPr>
        <w:t xml:space="preserve">2. A lifecycle framework: language as a trust layer</w:t>
      </w:r>
    </w:p>
    <w:p>
      <w:pPr>
        <w:spacing w:after="160" w:line="288"/>
      </w:pPr>
      <w:r>
        <w:rPr>
          <w:sz w:val="22"/>
          <w:szCs w:val="22"/>
        </w:rPr>
        <w:t xml:space="preserve">It helps to be precise about where language does work in a financial relationship. We distinguish four stages, each with a distinct failure mode when the language layer is thin.</w:t>
      </w:r>
    </w:p>
    <w:p>
      <w:pPr>
        <w:spacing w:after="160" w:line="288"/>
      </w:pPr>
      <w:r>
        <w:rPr>
          <w:b/>
          <w:bCs/>
          <w:sz w:val="22"/>
          <w:szCs w:val="22"/>
        </w:rPr>
        <w:t xml:space="preserve">Acquisition.</w:t>
      </w:r>
      <w:r>
        <w:rPr>
          <w:sz w:val="22"/>
          <w:szCs w:val="22"/>
        </w:rPr>
        <w:t xml:space="preserve"> Before any relationship exists, language determines whether a prospect engages at all. The failure mode is invisible: customers who never convert leave no error log. The cost is a forfeited addressable market.</w:t>
      </w:r>
    </w:p>
    <w:p>
      <w:pPr>
        <w:spacing w:after="160" w:line="288"/>
      </w:pPr>
      <w:r>
        <w:rPr>
          <w:b/>
          <w:bCs/>
          <w:sz w:val="22"/>
          <w:szCs w:val="22"/>
        </w:rPr>
        <w:t xml:space="preserve">Verification (KYC and screening).</w:t>
      </w:r>
      <w:r>
        <w:rPr>
          <w:sz w:val="22"/>
          <w:szCs w:val="22"/>
        </w:rPr>
        <w:t xml:space="preserve"> At onboarding, language becomes a data-matching problem. A single human being can be represented by several legitimate spellings across scripts, and identity checks, sanctions screening, and politically-exposed-person (PEP) matching must resolve that ambiguity. The failure mode is two-sided: real hits slip through under an unanticipated spelling, and legitimate customers are blocked by false positives.</w:t>
      </w:r>
    </w:p>
    <w:p>
      <w:pPr>
        <w:spacing w:after="160" w:line="288"/>
      </w:pPr>
      <w:r>
        <w:rPr>
          <w:b/>
          <w:bCs/>
          <w:sz w:val="22"/>
          <w:szCs w:val="22"/>
        </w:rPr>
        <w:t xml:space="preserve">Servicing and retention.</w:t>
      </w:r>
      <w:r>
        <w:rPr>
          <w:sz w:val="22"/>
          <w:szCs w:val="22"/>
        </w:rPr>
        <w:t xml:space="preserve"> Once onboarded, language governs whether a customer can use the product, resolve problems, and understand what they agreed to. The failure mode is churn, "sock-drawer" attrition, and complaints.</w:t>
      </w:r>
    </w:p>
    <w:p>
      <w:pPr>
        <w:spacing w:after="160" w:line="288"/>
      </w:pPr>
      <w:r>
        <w:rPr>
          <w:b/>
          <w:bCs/>
          <w:sz w:val="22"/>
          <w:szCs w:val="22"/>
        </w:rPr>
        <w:t xml:space="preserve">Compliance and fairness.</w:t>
      </w:r>
      <w:r>
        <w:rPr>
          <w:sz w:val="22"/>
          <w:szCs w:val="22"/>
        </w:rPr>
        <w:t xml:space="preserve"> Cutting across all three, language is a legal surface. Disclosures, adverse-action notices, and fraud communications carry regulatory weight in whatever language they are, or are not, delivered.</w:t>
      </w:r>
    </w:p>
    <w:p>
      <w:pPr>
        <w:spacing w:after="160" w:line="288"/>
      </w:pPr>
      <w:r>
        <w:rPr>
          <w:sz w:val="22"/>
          <w:szCs w:val="22"/>
        </w:rPr>
        <w:t xml:space="preserve">The central observation is that these are not four separate problems solved by four separate teams. They are one layer, and weakness at any stage propagates. A brand can win acquisition with a bilingual campaign and then lose the customer at an English-only verification wall. It can nail onboarding and then create liability with a mistranslated disclosure. Treating language as a lifecycle layer, rather than a page-level translation task, is the reframing this paper urges.</w:t>
      </w:r>
    </w:p>
    <w:p>
      <w:pPr>
        <w:spacing w:after="120" w:before="280"/>
      </w:pPr>
      <w:r>
        <w:rPr>
          <w:b/>
          <w:bCs/>
          <w:color w:val="4B3FBF"/>
          <w:sz w:val="28"/>
          <w:szCs w:val="28"/>
        </w:rPr>
        <w:t xml:space="preserve">3. Acquisition: language as market access</w:t>
      </w:r>
    </w:p>
    <w:p>
      <w:pPr>
        <w:spacing w:after="160" w:line="288"/>
      </w:pPr>
      <w:r>
        <w:rPr>
          <w:sz w:val="22"/>
          <w:szCs w:val="22"/>
        </w:rPr>
        <w:t xml:space="preserve">The consumer evidence is unambiguous and has been stable for years. In CSA Research's multi-country study of 8,709 consumers across 29 countries, 76% preferred to buy products with information in their own language and 40% said they would never buy from a website in another language [1]. The firm frames the implication bluntly: companies that do not localize the buying experience risk forfeiting 40% or more of their addressable market [1]. For a commodity product like a deposit account or a card, where differentiation is thin, that is not a rounding error; it is the difference between growth and stagnation.</w:t>
      </w:r>
    </w:p>
    <w:p>
      <w:pPr>
        <w:spacing w:after="160" w:line="288"/>
      </w:pPr>
      <w:r>
        <w:rPr>
          <w:sz w:val="22"/>
          <w:szCs w:val="22"/>
        </w:rPr>
        <w:t xml:space="preserve">In the United States, the affected population is large and concentrated. About 25.6 million residents, roughly 8% of people aged five and older, speak English less than "very well," and Spanish speakers are by far the largest such group, at around 16 million [2]. These are not marginal consumers. They overlap heavily with the segments fintechs claim to want most: the underbanked and the newly-forming household. Per the FDIC's 2023 survey, 9.5% of Hispanic households were unbanked, more than double the 4.2% national rate, and roughly one in five were underbanked [3]. And these communities are ascending, not static. NAHREP reports Hispanics reached a record 10.2 million homeowners in 2025, a net gain of 441,000 in a year when most other groups declined [5]; AREAA documents a parallel, multi-year rise in AAPI homeownership [6]. A customer acquired early, in their language, is a decade of deposits, credit, and cross-sell.</w:t>
      </w:r>
    </w:p>
    <w:p>
      <w:pPr>
        <w:spacing w:after="160" w:line="288"/>
      </w:pPr>
      <w:r>
        <w:rPr>
          <w:sz w:val="22"/>
          <w:szCs w:val="22"/>
        </w:rPr>
        <w:t xml:space="preserve">This is why sports has become the fashionable acquisition front door for financial brands courting multicultural audiences. Capital One's roughly $125 million, five-year deal to become Major League Baseball's official bank and credit card partner is an acquisition play at heart [12], as is New York City FC's 2026 naming of the remittance provider Viamericas, which serves families across 95 countries, as its official money-transfer partner [13]. These deals buy reach into passionate, diverse communities. But reach is only the top of the funnel. A sponsorship that delivers a Spanish-dominant prospect to an English-only application has converted attention into abandonment. Acquisition spending and language investment are complements; spending on the former while starving the latter is how firms pay premium prices to leak the customers they just bought.</w:t>
      </w:r>
    </w:p>
    <w:p>
      <w:pPr>
        <w:spacing w:after="100" w:before="200"/>
      </w:pPr>
      <w:r>
        <w:rPr>
          <w:b/>
          <w:bCs/>
          <w:color w:val="4B3FBF"/>
          <w:sz w:val="24"/>
          <w:szCs w:val="24"/>
        </w:rPr>
        <w:t xml:space="preserve">3.1 Community and small-bank finance: language as an equalizer</w:t>
      </w:r>
    </w:p>
    <w:p>
      <w:pPr>
        <w:spacing w:after="160" w:line="288"/>
      </w:pPr>
      <w:r>
        <w:rPr>
          <w:sz w:val="22"/>
          <w:szCs w:val="22"/>
        </w:rPr>
        <w:t xml:space="preserve">The acquisition argument has a distributional edge that is easy to miss. Large incumbents can afford both the sponsorship and the localization. For community banks, credit unions, minority depository institutions, and early-stage fintechs, language is often the one dimension on which they can out-compete a national brand, because trust in these institutions is frequently rooted in a specific community and its language. A neighborhood institution that serves its members in Spanish, Vietnamese, or Haitian Creole holds an advantage no national advertising budget can easily buy. The same logic runs in reverse: a small institution that lets its digital stack default to English forfeits its structural advantage precisely where it is strongest. As tokenization and AI lower the cost of sophisticated products for smaller players, the differentiator that remains defensible is relationship, and relationship is conducted in language. For this segment, the language layer is not a cost of scaling; it is the moat.</w:t>
      </w:r>
    </w:p>
    <w:p>
      <w:pPr>
        <w:spacing w:after="120" w:before="280"/>
      </w:pPr>
      <w:r>
        <w:rPr>
          <w:b/>
          <w:bCs/>
          <w:color w:val="4B3FBF"/>
          <w:sz w:val="28"/>
          <w:szCs w:val="28"/>
        </w:rPr>
        <w:t xml:space="preserve">4. Verification: transliteration as a first-order screening problem</w:t>
      </w:r>
    </w:p>
    <w:p>
      <w:pPr>
        <w:spacing w:after="160" w:line="288"/>
      </w:pPr>
      <w:r>
        <w:rPr>
          <w:sz w:val="22"/>
          <w:szCs w:val="22"/>
        </w:rPr>
        <w:t xml:space="preserve">If acquisition is where the language layer is quietly lucrative, verification is where it is loudly technical. Here language stops being about persuasion and becomes about correctness.</w:t>
      </w:r>
    </w:p>
    <w:p>
      <w:pPr>
        <w:spacing w:after="160" w:line="288"/>
      </w:pPr>
      <w:r>
        <w:rPr>
          <w:sz w:val="22"/>
          <w:szCs w:val="22"/>
        </w:rPr>
        <w:t xml:space="preserve">Consider the core difficulty. A name that originates in Arabic, Cyrillic, or a CJK script has no single canonical English spelling. OFAC's own guidance offers the textbook example: the same individual appears as Gaddafi, Qaddafi, and Kadafi depending on transliteration, and a screen that performs only exact matching would miss all but one spelling [7]. To compensate, OFAC's Sanctions List Search applies fuzzy logic to the name field, combining the Jaro-Winkler string-distance algorithm with the Soundex phonetic algorithm, and explicitly advises users to try multiple transliteration options, such as Alexey and Aleksey, because a name may be recorded differently in different sources [7]. Notably, OFAC declines to recommend a match threshold, leaving each institution to set its own based on its risk assessment [7]. The regulator has, in effect, told the industry that transliteration is its problem to solve.</w:t>
      </w:r>
    </w:p>
    <w:p>
      <w:pPr>
        <w:spacing w:after="160" w:line="288"/>
      </w:pPr>
      <w:r>
        <w:rPr>
          <w:sz w:val="22"/>
          <w:szCs w:val="22"/>
        </w:rPr>
        <w:t xml:space="preserve">The consequences of solving it poorly run in both directions. On one side, true matches are missed when a sanctioned or PEP name arrives under a spelling the system did not model. On the other, over-broad fuzzy matching buries analysts in noise: financial institutions routinely report false-positive rates above 90-95% in sanctions screening, with common surnames, transliteration variants, and thin identifying data as leading causes [8]. Both failures are expensive. Missed matches are a regulatory and reputational catastrophe; excess false positives impose a large, recurring operational tax, forcing firms to staff review teams whose time is spent almost entirely on names that were never risks.</w:t>
      </w:r>
    </w:p>
    <w:p>
      <w:pPr>
        <w:spacing w:after="160" w:line="288"/>
      </w:pPr>
      <w:r>
        <w:rPr>
          <w:sz w:val="22"/>
          <w:szCs w:val="22"/>
        </w:rPr>
        <w:t xml:space="preserve">A simplified example shows why this is not tunable away with a single threshold. Imagine an institution screening a stream of onboarding names against a watchlist. Raising the fuzzy-match threshold to catch more transliteration variants of a sanctioned name will, by construction, also flag more unrelated customers who happen to share a common romanized surname, so recall improves but the false-positive queue swells. Lowering the threshold to spare the review team will let more genuine variants through. There is no single number that resolves this, which is exactly why OFAC declines to recommend one [7]. The tension is only relieved by better information, richer secondary identifiers, script-aware normalization, and transliteration models tuned to the specific languages in the book of business, rather than by turning a single sensitivity dial. In other words, the escape from the recall-versus-precision trap is linguistic, not merely algorithmic. This is the sense in which language is verification infrastructure: the quality of the language handling sets the ceiling on how good the screening can be, no matter how sophisticated the matching engine sitting on top of it.</w:t>
      </w:r>
    </w:p>
    <w:p>
      <w:pPr>
        <w:spacing w:after="160" w:line="288"/>
      </w:pPr>
      <w:r>
        <w:rPr>
          <w:sz w:val="22"/>
          <w:szCs w:val="22"/>
        </w:rPr>
        <w:t xml:space="preserve">It is worth being explicit about why generic tooling underperforms here. Off-the-shelf matching engines tend to treat all scripts with the same phonetic and string-distance heuristics, but transliteration conventions are language-specific: the rules that map Arabic to Latin characters are not the rules that map Korean or Russian, and a Soundex-style phonetic model calibrated on English can actively mislead on names from other language families. Data quality compounds the problem, because the same customer may have been entered in different scripts or spellings across systems and time. A firm that has not invested in the language layer is asking a general-purpose algorithm to compensate for missing linguistic knowledge, and then staffing a large team to clean up the resulting noise.</w:t>
      </w:r>
    </w:p>
    <w:p>
      <w:pPr>
        <w:spacing w:after="160" w:line="288"/>
      </w:pPr>
      <w:r>
        <w:rPr>
          <w:sz w:val="22"/>
          <w:szCs w:val="22"/>
        </w:rPr>
        <w:t xml:space="preserve">The enforcement record makes the downside concrete. In August 2026, FinCEN assessed a historic $125 million penalty against UBS Financial Services for recidivist Bank Secrecy Act violations, its largest ever against a broker-dealer, after the firm left tens of thousands of foreign-currency wires inadequately monitored years after settling over the same weakness [9]. It is the latest in a decade of nine- and ten-figure actions tied to screening and monitoring gaps: TD Bank paid about $3.09 billion in 2024, the largest BSA penalty on record; Standard Chartered $1.1 billion in 2019 for processing transactions tied to sanctioned countries; and BNP Paribas nearly $9 billion in 2014 for concealing sanctioned-party transactions [10]. Not all of these turn on transliteration specifically, but they share a root: monitoring and screening systems that failed to see what they should have seen. Names that do not match cleanly are precisely the inputs that make screening hard.</w:t>
      </w:r>
    </w:p>
    <w:p>
      <w:pPr>
        <w:spacing w:after="160" w:line="288"/>
      </w:pPr>
      <w:r>
        <w:rPr>
          <w:sz w:val="22"/>
          <w:szCs w:val="22"/>
        </w:rPr>
        <w:t xml:space="preserve">The regulatory trajectory raises the stakes further. The European Union's new Anti-Money Laundering Authority (AMLA) began operating from Frankfurt in July 2025, and a directly applicable "single rulebook" takes effect across all 27 member states from July 2027, introducing perpetual KYC, an expectation of continuous rather than point-in-time verification [11]. For a digital bank scaling across European markets, this means screening is no longer a one-time gate but an always-on obligation, applied to a customer base whose names span every European script. The more locales a firm serves, the more transliteration ambiguity it absorbs, and the more a thin language layer compounds into systemic risk. Verification, in short, is a language problem wearing a compliance costume.</w:t>
      </w:r>
    </w:p>
    <w:p>
      <w:pPr>
        <w:spacing w:after="120" w:before="280"/>
      </w:pPr>
      <w:r>
        <w:rPr>
          <w:b/>
          <w:bCs/>
          <w:color w:val="4B3FBF"/>
          <w:sz w:val="28"/>
          <w:szCs w:val="28"/>
        </w:rPr>
        <w:t xml:space="preserve">5. Servicing, disclosure, and the fairness surface</w:t>
      </w:r>
    </w:p>
    <w:p>
      <w:pPr>
        <w:spacing w:after="160" w:line="288"/>
      </w:pPr>
      <w:r>
        <w:rPr>
          <w:sz w:val="22"/>
          <w:szCs w:val="22"/>
        </w:rPr>
        <w:t xml:space="preserve">Between onboarding and enforcement lies the quieter terrain of servicing, where language failures show up as attrition and, increasingly, as legal risk. A cardholder who cannot dispute a charge, understand a fraud alert, or interpret a fee in their own language does not stay at the same rate as one who can. The product is technically available but functionally out of reach.</w:t>
      </w:r>
    </w:p>
    <w:p>
      <w:pPr>
        <w:spacing w:after="160" w:line="288"/>
      </w:pPr>
      <w:r>
        <w:rPr>
          <w:sz w:val="22"/>
          <w:szCs w:val="22"/>
        </w:rPr>
        <w:t xml:space="preserve">The economics here are unforgiving in a way that acquisition metrics tend to hide. Customer acquisition cost is paid up front and recovered only over the life of the relationship, so a language gap that raises early attrition does not just lose a customer; it strands the acquisition spend before it has amortized. Worse, the customers most exposed to servicing-language friction are often the ones a multicultural growth strategy was designed to win, which means the leak is concentrated precisely in the cohort the firm invested most to acquire. The mirror image is the trust dividend: a customer served consistently in their language is not only retained but becomes a referral channel, and in tight-knit language communities word of mouth is a materially cheaper acquisition path than paid media. Language investment therefore shows up twice on the ledger, once as retained revenue and once as reduced future acquisition cost.</w:t>
      </w:r>
    </w:p>
    <w:p>
      <w:pPr>
        <w:spacing w:after="160" w:line="288"/>
      </w:pPr>
      <w:r>
        <w:rPr>
          <w:sz w:val="22"/>
          <w:szCs w:val="22"/>
        </w:rPr>
        <w:t xml:space="preserve">In the United States, this is not only a customer-experience question; it is a regulatory one. In January 2021, the Consumer Financial Protection Bureau issued a Statement encouraging financial institutions to serve consumers with limited English proficiency and setting out guidelines to help them do so consistent with the Dodd-Frank Act, the Equal Credit Opportunity Act, and prohibitions on unfair, deceptive, or abusive acts or practices [4]. The Bureau specifically encouraged clear, timely disclosures, in non-English languages, describing the extent and limits of any language services offered across the product lifecycle [4]. The subtext is important: offering a product in a second language while burying its terms in an untranslated or poorly translated disclosure is itself a source of fair-lending and UDAAP risk. A mistranslated APR, fee schedule, or adverse-action notice is not a copywriting slip; it is a compliance exposure and, potentially, a violation.</w:t>
      </w:r>
    </w:p>
    <w:p>
      <w:pPr>
        <w:spacing w:after="160" w:line="288"/>
      </w:pPr>
      <w:r>
        <w:rPr>
          <w:sz w:val="22"/>
          <w:szCs w:val="22"/>
        </w:rPr>
        <w:t xml:space="preserve">This closes the loop on the trust-layer argument. Acquisition, verification, servicing, and disclosure are not governed by separate logics. Each is a place where the same underlying variable, whether the institution can operate correctly in the customer's language, determines the outcome. A firm that treats language as a marketing asset in acquisition but a cost center everywhere else will produce exactly the pattern regulators are now watching for: inconsistent treatment of LEP consumers across the lifecycle.</w:t>
      </w:r>
    </w:p>
    <w:p>
      <w:pPr>
        <w:spacing w:after="120" w:before="280"/>
      </w:pPr>
      <w:r>
        <w:rPr>
          <w:b/>
          <w:bCs/>
          <w:color w:val="4B3FBF"/>
          <w:sz w:val="28"/>
          <w:szCs w:val="28"/>
        </w:rPr>
        <w:t xml:space="preserve">6. Measuring the language layer</w:t>
      </w:r>
    </w:p>
    <w:p>
      <w:pPr>
        <w:spacing w:after="160" w:line="288"/>
      </w:pPr>
      <w:r>
        <w:rPr>
          <w:sz w:val="22"/>
          <w:szCs w:val="22"/>
        </w:rPr>
        <w:t xml:space="preserve">A layer that cannot be measured will be underfunded, and part of why language is deferred is that firms rarely instrument it. Because the acquisition failure is invisible, the prospect who bounces off an English-only page leaves no trace in a funnel dashboard that only counts the people who made it through. Making the language layer legible requires a small set of deliberately chosen indicators spanning the lifecycle.</w:t>
      </w:r>
    </w:p>
    <w:p>
      <w:pPr>
        <w:spacing w:after="160" w:line="288"/>
      </w:pPr>
      <w:r>
        <w:rPr>
          <w:sz w:val="22"/>
          <w:szCs w:val="22"/>
        </w:rPr>
        <w:t xml:space="preserve">At acquisition, firms can measure conversion by language preference, comparing completion rates for flows served in the customer's dominant language against those that are not, and can size the forfeited market by cross-referencing their footprint against local LEP demographics [2]. At verification, the informative metrics are not just the raw false-positive rate but its decomposition: what share of alerts trace to transliteration and spelling variance, and how match performance differs across scripts. A screening program that reports a single blended accuracy number is hiding exactly the variation that matters, much as one regulator's testing found strong accuracy on cleanly spelled entries but sharp degradation on aliases and transliterations. At servicing, language-segmented retention, complaint, and dispute-resolution rates reveal whether the product is functionally reachable for LEP customers. And at the compliance layer, disclosure coverage, the proportion of required disclosures actually delivered in the customer's language, and translation-defect tracking convert a vague obligation into an auditable control.</w:t>
      </w:r>
    </w:p>
    <w:p>
      <w:pPr>
        <w:spacing w:after="160" w:line="288"/>
      </w:pPr>
      <w:r>
        <w:rPr>
          <w:sz w:val="22"/>
          <w:szCs w:val="22"/>
        </w:rPr>
        <w:t xml:space="preserve">The point of measurement is not metrics for their own sake. It is to move language out of the category of untracked overhead and into the category of managed infrastructure, where investment decisions can be made on evidence rather than deferred by default.</w:t>
      </w:r>
    </w:p>
    <w:p>
      <w:pPr>
        <w:spacing w:after="120" w:before="280"/>
      </w:pPr>
      <w:r>
        <w:rPr>
          <w:b/>
          <w:bCs/>
          <w:color w:val="4B3FBF"/>
          <w:sz w:val="28"/>
          <w:szCs w:val="28"/>
        </w:rPr>
        <w:t xml:space="preserve">7. The AI inflection, agentic commerce, and policy implications</w:t>
      </w:r>
    </w:p>
    <w:p>
      <w:pPr>
        <w:spacing w:after="160" w:line="288"/>
      </w:pPr>
      <w:r>
        <w:rPr>
          <w:sz w:val="22"/>
          <w:szCs w:val="22"/>
        </w:rPr>
        <w:t xml:space="preserve">Two developments make this the right moment to elevate the language layer from operational hygiene to design principle.</w:t>
      </w:r>
    </w:p>
    <w:p>
      <w:pPr>
        <w:spacing w:after="160" w:line="288"/>
      </w:pPr>
      <w:r>
        <w:rPr>
          <w:b/>
          <w:bCs/>
          <w:sz w:val="22"/>
          <w:szCs w:val="22"/>
        </w:rPr>
        <w:t xml:space="preserve">AI makes language scalable, and introduces new risk.</w:t>
      </w:r>
      <w:r>
        <w:rPr>
          <w:sz w:val="22"/>
          <w:szCs w:val="22"/>
        </w:rPr>
        <w:t xml:space="preserve"> Modern machine translation and large language models make it feasible to localize onboarding flows, servicing, and a constantly changing library of disclosures at a speed and volume that manual localization never could. That removes the historical excuse that multilingual service does not scale. But it introduces a new failure mode: a fluent-sounding yet subtly wrong translation of a rate, a legal term, or a fraud alert can be worse than none, because it is more convincing. The responsible architecture pairs AI translation for speed and coverage with human expert oversight and compliance governance for accuracy and accountability: automation where it is safe, human judgment where it is regulated. Language quality, in a regulated setting, is a governance problem, not merely a model-quality one.</w:t>
      </w:r>
    </w:p>
    <w:p>
      <w:pPr>
        <w:spacing w:after="160" w:line="288"/>
      </w:pPr>
      <w:r>
        <w:rPr>
          <w:b/>
          <w:bCs/>
          <w:sz w:val="22"/>
          <w:szCs w:val="22"/>
        </w:rPr>
        <w:t xml:space="preserve">Agentic commerce raises the identity-and-language stakes.</w:t>
      </w:r>
      <w:r>
        <w:rPr>
          <w:sz w:val="22"/>
          <w:szCs w:val="22"/>
        </w:rPr>
        <w:t xml:space="preserve"> As autonomous agents begin to initiate payments and transact on behalf of users, supervision and accountability depend on unambiguous identity resolution, and identity resolution depends on names and credentials that are frequently multilingual and multi-script. An agent that mis-resolves a counterparty because of a transliteration gap is an accountability failure, not just a UX one. The verification layer this paper describes becomes more, not less, important as humans are removed from the loop.</w:t>
      </w:r>
    </w:p>
    <w:p>
      <w:pPr>
        <w:spacing w:after="160" w:line="288"/>
      </w:pPr>
      <w:r>
        <w:rPr>
          <w:sz w:val="22"/>
          <w:szCs w:val="22"/>
        </w:rPr>
        <w:t xml:space="preserve">From this analysis we draw recommendations for three audiences.</w:t>
      </w:r>
    </w:p>
    <w:p>
      <w:pPr>
        <w:spacing w:after="160" w:line="288"/>
      </w:pPr>
      <w:r>
        <w:rPr>
          <w:i/>
          <w:iCs/>
          <w:sz w:val="22"/>
          <w:szCs w:val="22"/>
        </w:rPr>
        <w:t xml:space="preserve">For fintechs and banks:</w:t>
      </w:r>
      <w:r>
        <w:rPr>
          <w:sz w:val="22"/>
          <w:szCs w:val="22"/>
        </w:rPr>
        <w:t xml:space="preserve"> treat language as verification infrastructure from day one, not a growth-stage add-on. Instrument the acquisition-to-verification handoff, so the market you buy with sponsorship or advertising is not lost at an English-only wall. Own transliteration and multilingual name matching as a core screening capability, and localize disclosures with governance, not just fluency.</w:t>
      </w:r>
    </w:p>
    <w:p>
      <w:pPr>
        <w:spacing w:after="160" w:line="288"/>
      </w:pPr>
      <w:r>
        <w:rPr>
          <w:i/>
          <w:iCs/>
          <w:sz w:val="22"/>
          <w:szCs w:val="22"/>
        </w:rPr>
        <w:t xml:space="preserve">For regulators and supervisors:</w:t>
      </w:r>
      <w:r>
        <w:rPr>
          <w:sz w:val="22"/>
          <w:szCs w:val="22"/>
        </w:rPr>
        <w:t xml:space="preserve"> build on the CFPB's LEP guidance [4] and OFAC's transliteration guidance [7] toward clearer, more consistent expectations, so that language access and transliteration-robust screening are understood as baseline competencies rather than optional maturity. As AMLA's single rulebook and perpetual KYC take effect [11], supervisory clarity on multilingual and multi-script screening would reduce both under- and over-compliance.</w:t>
      </w:r>
    </w:p>
    <w:p>
      <w:pPr>
        <w:spacing w:after="160" w:line="288"/>
      </w:pPr>
      <w:r>
        <w:rPr>
          <w:i/>
          <w:iCs/>
          <w:sz w:val="22"/>
          <w:szCs w:val="22"/>
        </w:rPr>
        <w:t xml:space="preserve">For standard-setters:</w:t>
      </w:r>
      <w:r>
        <w:rPr>
          <w:sz w:val="22"/>
          <w:szCs w:val="22"/>
        </w:rPr>
        <w:t xml:space="preserve"> the interoperability agenda for payments, open banking, and digital identity should treat cross-script identity resolution as a first-class requirement. Identity that is interoperable only within one script is not interoperable.</w:t>
      </w:r>
    </w:p>
    <w:p>
      <w:pPr>
        <w:spacing w:after="120" w:before="280"/>
      </w:pPr>
      <w:r>
        <w:rPr>
          <w:b/>
          <w:bCs/>
          <w:color w:val="4B3FBF"/>
          <w:sz w:val="28"/>
          <w:szCs w:val="28"/>
        </w:rPr>
        <w:t xml:space="preserve">8. Conclusion</w:t>
      </w:r>
    </w:p>
    <w:p>
      <w:pPr>
        <w:spacing w:after="160" w:line="288"/>
      </w:pPr>
      <w:r>
        <w:rPr>
          <w:sz w:val="22"/>
          <w:szCs w:val="22"/>
        </w:rPr>
        <w:t xml:space="preserve">The recurring pattern in digital finance is that language is deferred, treated as a translation of the product rather than a component of the trust relationship, and revisited only after a conversion shortfall, a screening failure, a complaint, or an enforcement action makes it unavoidable. The evidence assembled here, from consumer preference [1] and market size [2, 3], to homeownership and wealth formation in the very communities fintechs court [5, 6], to the transliteration mechanics of sanctions screening [7, 8], the enforcement stakes [9, 10], the European regulatory turn [11], and U.S. fair-treatment guidance [4], points to a single conclusion. Language is a trust and verification layer that spans the customer lifecycle, and it is the layer fintechs most consistently underbuild. The firms and supervisors that recognize this before it is too late will not treat language as the thing you add once everything else works. They will treat it as one of the things that has to work first.</w:t>
      </w:r>
    </w:p>
    <w:p>
      <w:pPr>
        <w:pBdr>
          <w:bottom w:val="single" w:color="CCCCCC" w:sz="6" w:space="1"/>
        </w:pBdr>
        <w:spacing w:after="120" w:before="120"/>
      </w:pPr>
      <w:r>
        <w:t xml:space="preserve"/>
      </w:r>
    </w:p>
    <w:p>
      <w:pPr>
        <w:spacing w:after="120" w:before="280"/>
      </w:pPr>
      <w:r>
        <w:rPr>
          <w:b/>
          <w:bCs/>
          <w:color w:val="4B3FBF"/>
          <w:sz w:val="28"/>
          <w:szCs w:val="28"/>
        </w:rPr>
        <w:t xml:space="preserve">References</w:t>
      </w:r>
    </w:p>
    <w:p>
      <w:pPr>
        <w:spacing w:after="160" w:line="288"/>
      </w:pPr>
      <w:r>
        <w:rPr>
          <w:sz w:val="22"/>
          <w:szCs w:val="22"/>
        </w:rPr>
        <w:t xml:space="preserve">[1] CSA Research, </w:t>
      </w:r>
      <w:r>
        <w:rPr>
          <w:i/>
          <w:iCs/>
          <w:sz w:val="22"/>
          <w:szCs w:val="22"/>
        </w:rPr>
        <w:t xml:space="preserve">Can't Read, Won't Buy</w:t>
      </w:r>
      <w:r>
        <w:rPr>
          <w:sz w:val="22"/>
          <w:szCs w:val="22"/>
        </w:rPr>
        <w:t xml:space="preserve"> (survey of 8,709 consumers in 29 countries; 76% prefer their own language, 40% will not buy in another). </w:t>
      </w:r>
      <w:hyperlink w:history="1" r:id="rId517kg-m5_u5eidowzxmjm">
        <w:r>
          <w:rPr>
            <w:rStyle w:val="Hyperlink"/>
            <w:sz w:val="20"/>
            <w:szCs w:val="20"/>
          </w:rPr>
          <w:t xml:space="preserve">https://csa-research.com/l/media/Consumers-Prefer-their-Own-Language</w:t>
        </w:r>
      </w:hyperlink>
      <w:r>
        <w:rPr>
          <w:sz w:val="22"/>
          <w:szCs w:val="22"/>
        </w:rPr>
        <w:t xml:space="preserve"> · Coverage: </w:t>
      </w:r>
      <w:hyperlink w:history="1" r:id="rIdxnkvmpwppcfm1fxfmv5ew">
        <w:r>
          <w:rPr>
            <w:rStyle w:val="Hyperlink"/>
            <w:sz w:val="20"/>
            <w:szCs w:val="20"/>
          </w:rPr>
          <w:t xml:space="preserve">https://slator.com/third-global-survey-by-csa-research-finds-language-preference-of-consumers-in-29-countries/</w:t>
        </w:r>
      </w:hyperlink>
    </w:p>
    <w:p>
      <w:pPr>
        <w:spacing w:after="160" w:line="288"/>
      </w:pPr>
      <w:r>
        <w:rPr>
          <w:sz w:val="22"/>
          <w:szCs w:val="22"/>
        </w:rPr>
        <w:t xml:space="preserve">[2] U.S. Census Bureau, </w:t>
      </w:r>
      <w:r>
        <w:rPr>
          <w:i/>
          <w:iCs/>
          <w:sz w:val="22"/>
          <w:szCs w:val="22"/>
        </w:rPr>
        <w:t xml:space="preserve">People That Speak English Less Than "Very Well" in the United States</w:t>
      </w:r>
      <w:r>
        <w:rPr>
          <w:sz w:val="22"/>
          <w:szCs w:val="22"/>
        </w:rPr>
        <w:t xml:space="preserve"> (~25.6M, ~8%; Spanish ~16M). </w:t>
      </w:r>
      <w:hyperlink w:history="1" r:id="rId8z6jy77qojb7mty8be3yf">
        <w:r>
          <w:rPr>
            <w:rStyle w:val="Hyperlink"/>
            <w:sz w:val="20"/>
            <w:szCs w:val="20"/>
          </w:rPr>
          <w:t xml:space="preserve">https://www.census.gov/library/visualizations/interactive/people-that-speak-english-less-than-very-well.html</w:t>
        </w:r>
      </w:hyperlink>
      <w:r>
        <w:rPr>
          <w:sz w:val="22"/>
          <w:szCs w:val="22"/>
        </w:rPr>
        <w:t xml:space="preserve"> · Migration Policy Institute: </w:t>
      </w:r>
      <w:hyperlink w:history="1" r:id="rIdtzncx3iirzp_6vwja_9_9">
        <w:r>
          <w:rPr>
            <w:rStyle w:val="Hyperlink"/>
            <w:sz w:val="20"/>
            <w:szCs w:val="20"/>
          </w:rPr>
          <w:t xml:space="preserve">https://www.migrationpolicy.org/article/language-diversity-and-english-proficiency-united-states</w:t>
        </w:r>
      </w:hyperlink>
    </w:p>
    <w:p>
      <w:pPr>
        <w:spacing w:after="160" w:line="288"/>
      </w:pPr>
      <w:r>
        <w:rPr>
          <w:sz w:val="22"/>
          <w:szCs w:val="22"/>
        </w:rPr>
        <w:t xml:space="preserve">[3] FDIC, </w:t>
      </w:r>
      <w:r>
        <w:rPr>
          <w:i/>
          <w:iCs/>
          <w:sz w:val="22"/>
          <w:szCs w:val="22"/>
        </w:rPr>
        <w:t xml:space="preserve">2023 National Survey of Unbanked and Underbanked Households</w:t>
      </w:r>
      <w:r>
        <w:rPr>
          <w:sz w:val="22"/>
          <w:szCs w:val="22"/>
        </w:rPr>
        <w:t xml:space="preserve"> (Hispanic unbanked 9.5% vs. 4.2% national). </w:t>
      </w:r>
      <w:hyperlink w:history="1" r:id="rIdvataxuozd0ye3jchhzfpt">
        <w:r>
          <w:rPr>
            <w:rStyle w:val="Hyperlink"/>
            <w:sz w:val="20"/>
            <w:szCs w:val="20"/>
          </w:rPr>
          <w:t xml:space="preserve">https://www.fdic.gov/household-survey</w:t>
        </w:r>
      </w:hyperlink>
    </w:p>
    <w:p>
      <w:pPr>
        <w:spacing w:after="160" w:line="288"/>
      </w:pPr>
      <w:r>
        <w:rPr>
          <w:sz w:val="22"/>
          <w:szCs w:val="22"/>
        </w:rPr>
        <w:t xml:space="preserve">[4] Consumer Financial Protection Bureau, </w:t>
      </w:r>
      <w:r>
        <w:rPr>
          <w:i/>
          <w:iCs/>
          <w:sz w:val="22"/>
          <w:szCs w:val="22"/>
        </w:rPr>
        <w:t xml:space="preserve">Statement Regarding the Provision of Financial Products and Services to Consumers With Limited English Proficiency</w:t>
      </w:r>
      <w:r>
        <w:rPr>
          <w:sz w:val="22"/>
          <w:szCs w:val="22"/>
        </w:rPr>
        <w:t xml:space="preserve"> (Jan. 2021). </w:t>
      </w:r>
      <w:hyperlink w:history="1" r:id="rIdpqjhbh_icmdjmyczehswc">
        <w:r>
          <w:rPr>
            <w:rStyle w:val="Hyperlink"/>
            <w:sz w:val="20"/>
            <w:szCs w:val="20"/>
          </w:rPr>
          <w:t xml:space="preserve">https://www.federalregister.gov/documents/2021/01/21/2021-01116/statement-regarding-the-provision-of-financial-products-and-services-to-consumers-with-limited</w:t>
        </w:r>
      </w:hyperlink>
      <w:r>
        <w:rPr>
          <w:sz w:val="22"/>
          <w:szCs w:val="22"/>
        </w:rPr>
        <w:t xml:space="preserve"> · PDF: </w:t>
      </w:r>
      <w:hyperlink w:history="1" r:id="rIdlc1p8enij9jxvzdi6g7wx">
        <w:r>
          <w:rPr>
            <w:rStyle w:val="Hyperlink"/>
            <w:sz w:val="20"/>
            <w:szCs w:val="20"/>
          </w:rPr>
          <w:t xml:space="preserve">https://files.consumerfinance.gov/f/documents/cfpb_lep-statement_2021-01.pdf</w:t>
        </w:r>
      </w:hyperlink>
    </w:p>
    <w:p>
      <w:pPr>
        <w:spacing w:after="160" w:line="288"/>
      </w:pPr>
      <w:r>
        <w:rPr>
          <w:sz w:val="22"/>
          <w:szCs w:val="22"/>
        </w:rPr>
        <w:t xml:space="preserve">[5] NAHREP, </w:t>
      </w:r>
      <w:r>
        <w:rPr>
          <w:i/>
          <w:iCs/>
          <w:sz w:val="22"/>
          <w:szCs w:val="22"/>
        </w:rPr>
        <w:t xml:space="preserve">2025 State of Hispanic Homeownership Report</w:t>
      </w:r>
      <w:r>
        <w:rPr>
          <w:sz w:val="22"/>
          <w:szCs w:val="22"/>
        </w:rPr>
        <w:t xml:space="preserve"> (record 10.2M Hispanic homeowners). </w:t>
      </w:r>
      <w:hyperlink w:history="1" r:id="rIdvetgg3yqerrhcfqcprpjy">
        <w:r>
          <w:rPr>
            <w:rStyle w:val="Hyperlink"/>
            <w:sz w:val="20"/>
            <w:szCs w:val="20"/>
          </w:rPr>
          <w:t xml:space="preserve">https://nahrep.org/shhr/</w:t>
        </w:r>
      </w:hyperlink>
      <w:r>
        <w:rPr>
          <w:sz w:val="22"/>
          <w:szCs w:val="22"/>
        </w:rPr>
        <w:t xml:space="preserve"> · </w:t>
      </w:r>
      <w:hyperlink w:history="1" r:id="rIddvxetyobcgbygh_nptgvo">
        <w:r>
          <w:rPr>
            <w:rStyle w:val="Hyperlink"/>
            <w:sz w:val="20"/>
            <w:szCs w:val="20"/>
          </w:rPr>
          <w:t xml:space="preserve">https://nahrep.org/press-releases/2026/03/23/us-census-bureau-hispanics-reach-10-2-million-homeowners/</w:t>
        </w:r>
      </w:hyperlink>
    </w:p>
    <w:p>
      <w:pPr>
        <w:spacing w:after="160" w:line="288"/>
      </w:pPr>
      <w:r>
        <w:rPr>
          <w:sz w:val="22"/>
          <w:szCs w:val="22"/>
        </w:rPr>
        <w:t xml:space="preserve">[6] AREAA, </w:t>
      </w:r>
      <w:r>
        <w:rPr>
          <w:i/>
          <w:iCs/>
          <w:sz w:val="22"/>
          <w:szCs w:val="22"/>
        </w:rPr>
        <w:t xml:space="preserve">State of Asia America Report</w:t>
      </w:r>
      <w:r>
        <w:rPr>
          <w:sz w:val="22"/>
          <w:szCs w:val="22"/>
        </w:rPr>
        <w:t xml:space="preserve"> (AAPI homeownership). </w:t>
      </w:r>
      <w:hyperlink w:history="1" r:id="rIdcrvolfcg472gnms1albai">
        <w:r>
          <w:rPr>
            <w:rStyle w:val="Hyperlink"/>
            <w:sz w:val="20"/>
            <w:szCs w:val="20"/>
          </w:rPr>
          <w:t xml:space="preserve">https://www.areaa.org/resource-page</w:t>
        </w:r>
      </w:hyperlink>
      <w:r>
        <w:rPr>
          <w:sz w:val="22"/>
          <w:szCs w:val="22"/>
        </w:rPr>
        <w:t xml:space="preserve"> · NAR: </w:t>
      </w:r>
      <w:hyperlink w:history="1" r:id="rId2yribkaivnif4ut0ca24u">
        <w:r>
          <w:rPr>
            <w:rStyle w:val="Hyperlink"/>
            <w:sz w:val="20"/>
            <w:szCs w:val="20"/>
          </w:rPr>
          <w:t xml:space="preserve">https://www.nar.realtor/magazine/real-estate-news/report-remarkable-surge-in-aapi-homeownership</w:t>
        </w:r>
      </w:hyperlink>
    </w:p>
    <w:p>
      <w:pPr>
        <w:spacing w:after="160" w:line="288"/>
      </w:pPr>
      <w:r>
        <w:rPr>
          <w:sz w:val="22"/>
          <w:szCs w:val="22"/>
        </w:rPr>
        <w:t xml:space="preserve">[7] U.S. Department of the Treasury, OFAC, </w:t>
      </w:r>
      <w:r>
        <w:rPr>
          <w:i/>
          <w:iCs/>
          <w:sz w:val="22"/>
          <w:szCs w:val="22"/>
        </w:rPr>
        <w:t xml:space="preserve">How to Search OFAC's Sanctions Lists</w:t>
      </w:r>
      <w:r>
        <w:rPr>
          <w:sz w:val="22"/>
          <w:szCs w:val="22"/>
        </w:rPr>
        <w:t xml:space="preserve"> (fuzzy logic: Jaro-Winkler and Soundex; Gaddafi/Qaddafi/Kadafi; try transliteration variants; OFAC does not recommend thresholds). </w:t>
      </w:r>
      <w:hyperlink w:history="1" r:id="rId31xqshhfrzov2lxwdla_x">
        <w:r>
          <w:rPr>
            <w:rStyle w:val="Hyperlink"/>
            <w:sz w:val="20"/>
            <w:szCs w:val="20"/>
          </w:rPr>
          <w:t xml:space="preserve">https://ofac.treasury.gov/faqs/topic/1636</w:t>
        </w:r>
      </w:hyperlink>
    </w:p>
    <w:p>
      <w:pPr>
        <w:spacing w:after="160" w:line="288"/>
      </w:pPr>
      <w:r>
        <w:rPr>
          <w:sz w:val="22"/>
          <w:szCs w:val="22"/>
        </w:rPr>
        <w:t xml:space="preserve">[8] The problem of false positives in AML screening (90-95%+ false-positive rates; transliteration a key driver). </w:t>
      </w:r>
      <w:hyperlink w:history="1" r:id="rIdvevbtmmvfxxw8dhv29rvy">
        <w:r>
          <w:rPr>
            <w:rStyle w:val="Hyperlink"/>
            <w:sz w:val="20"/>
            <w:szCs w:val="20"/>
          </w:rPr>
          <w:t xml:space="preserve">https://www.sanctions.io/blog/the-problem-of-false-positives-in-aml-screening</w:t>
        </w:r>
      </w:hyperlink>
      <w:r>
        <w:rPr>
          <w:sz w:val="22"/>
          <w:szCs w:val="22"/>
        </w:rPr>
        <w:t xml:space="preserve"> · </w:t>
      </w:r>
      <w:hyperlink w:history="1" r:id="rIddnnpbrm5m3gxga6ce5hxu">
        <w:r>
          <w:rPr>
            <w:rStyle w:val="Hyperlink"/>
            <w:sz w:val="20"/>
            <w:szCs w:val="20"/>
          </w:rPr>
          <w:t xml:space="preserve">https://www.facctum.com/blog/sanctions-screening-statistics</w:t>
        </w:r>
      </w:hyperlink>
    </w:p>
    <w:p>
      <w:pPr>
        <w:spacing w:after="160" w:line="288"/>
      </w:pPr>
      <w:r>
        <w:rPr>
          <w:sz w:val="22"/>
          <w:szCs w:val="22"/>
        </w:rPr>
        <w:t xml:space="preserve">[9] FinCEN, </w:t>
      </w:r>
      <w:r>
        <w:rPr>
          <w:i/>
          <w:iCs/>
          <w:sz w:val="22"/>
          <w:szCs w:val="22"/>
        </w:rPr>
        <w:t xml:space="preserve">FinCEN Assesses Historic $125 Million Penalty Against UBS Financial Services Inc. for Recidivist BSA Violations</w:t>
      </w:r>
      <w:r>
        <w:rPr>
          <w:sz w:val="22"/>
          <w:szCs w:val="22"/>
        </w:rPr>
        <w:t xml:space="preserve"> (Aug. 3, 2026). </w:t>
      </w:r>
      <w:hyperlink w:history="1" r:id="rIdykick2cn0cc0mf7ss6r_e">
        <w:r>
          <w:rPr>
            <w:rStyle w:val="Hyperlink"/>
            <w:sz w:val="20"/>
            <w:szCs w:val="20"/>
          </w:rPr>
          <w:t xml:space="preserve">https://www.fincen.gov/news/news-releases/fincen-assesses-historic-125-million-penalty-against-ubs-financial-services-inc</w:t>
        </w:r>
      </w:hyperlink>
      <w:r>
        <w:rPr>
          <w:sz w:val="22"/>
          <w:szCs w:val="22"/>
        </w:rPr>
        <w:t xml:space="preserve"> · American Banker: </w:t>
      </w:r>
      <w:hyperlink w:history="1" r:id="rIdn5rvjhdaixbj62ugtf4gf">
        <w:r>
          <w:rPr>
            <w:rStyle w:val="Hyperlink"/>
            <w:sz w:val="20"/>
            <w:szCs w:val="20"/>
          </w:rPr>
          <w:t xml:space="preserve">https://www.americanbanker.com/news/fincen-fines-ubs-125m-for-money-laundering-recidivism</w:t>
        </w:r>
      </w:hyperlink>
    </w:p>
    <w:p>
      <w:pPr>
        <w:spacing w:after="160" w:line="288"/>
      </w:pPr>
      <w:r>
        <w:rPr>
          <w:sz w:val="22"/>
          <w:szCs w:val="22"/>
        </w:rPr>
        <w:t xml:space="preserve">[10] Largest AML/sanctions fines (TD Bank ~$3.09B, 2024; Standard Chartered $1.1B, 2019; BNP Paribas ~$9B, 2014). </w:t>
      </w:r>
      <w:hyperlink w:history="1" r:id="rIdrxq41ubfaqfgbvuyxllvr">
        <w:r>
          <w:rPr>
            <w:rStyle w:val="Hyperlink"/>
            <w:sz w:val="20"/>
            <w:szCs w:val="20"/>
          </w:rPr>
          <w:t xml:space="preserve">https://namescan.io/insights/the-5-largest-aml-penalties-in-2024/</w:t>
        </w:r>
      </w:hyperlink>
      <w:r>
        <w:rPr>
          <w:sz w:val="22"/>
          <w:szCs w:val="22"/>
        </w:rPr>
        <w:t xml:space="preserve"> · </w:t>
      </w:r>
      <w:hyperlink w:history="1" r:id="rIdosww7hgysayzg73ry4lbn">
        <w:r>
          <w:rPr>
            <w:rStyle w:val="Hyperlink"/>
            <w:sz w:val="20"/>
            <w:szCs w:val="20"/>
          </w:rPr>
          <w:t xml:space="preserve">https://www.enzuzo.com/blog/biggest-aml-fines</w:t>
        </w:r>
      </w:hyperlink>
    </w:p>
    <w:p>
      <w:pPr>
        <w:spacing w:after="160" w:line="288"/>
      </w:pPr>
      <w:r>
        <w:rPr>
          <w:sz w:val="22"/>
          <w:szCs w:val="22"/>
        </w:rPr>
        <w:t xml:space="preserve">[11] EU Anti-Money Laundering Authority (AMLA) and single rulebook / perpetual KYC. </w:t>
      </w:r>
      <w:hyperlink w:history="1" r:id="rIdkkwxr3ycnj-vcqc7qtqzs">
        <w:r>
          <w:rPr>
            <w:rStyle w:val="Hyperlink"/>
            <w:sz w:val="20"/>
            <w:szCs w:val="20"/>
          </w:rPr>
          <w:t xml:space="preserve">https://www.moodys.com/web/en/us/kyc/resources/insights/a-review-of-amla-and-amlr-2026.html</w:t>
        </w:r>
      </w:hyperlink>
      <w:r>
        <w:rPr>
          <w:sz w:val="22"/>
          <w:szCs w:val="22"/>
        </w:rPr>
        <w:t xml:space="preserve"> · PwC: </w:t>
      </w:r>
      <w:hyperlink w:history="1" r:id="rIdcbdnm1l9_ttbp14dxlhy3">
        <w:r>
          <w:rPr>
            <w:rStyle w:val="Hyperlink"/>
            <w:sz w:val="20"/>
            <w:szCs w:val="20"/>
          </w:rPr>
          <w:t xml:space="preserve">https://www.pwc.ie/services/audit-assurance/insights/eu-new-anti-money-laundering-authority.html</w:t>
        </w:r>
      </w:hyperlink>
    </w:p>
    <w:p>
      <w:pPr>
        <w:spacing w:after="160" w:line="288"/>
      </w:pPr>
      <w:r>
        <w:rPr>
          <w:sz w:val="22"/>
          <w:szCs w:val="22"/>
        </w:rPr>
        <w:t xml:space="preserve">[12] MLB reaches a $125M sponsorship deal with Capital One (CNBC, Mar. 28, 2022). </w:t>
      </w:r>
      <w:hyperlink w:history="1" r:id="rIdehxgwgheeo-og2ke8zh5e">
        <w:r>
          <w:rPr>
            <w:rStyle w:val="Hyperlink"/>
            <w:sz w:val="20"/>
            <w:szCs w:val="20"/>
          </w:rPr>
          <w:t xml:space="preserve">https://www.cnbc.com/2022/03/28/mlb-reaches-125-million-sponsorship-deal-with-capital-one.html</w:t>
        </w:r>
      </w:hyperlink>
      <w:r>
        <w:rPr>
          <w:sz w:val="22"/>
          <w:szCs w:val="22"/>
        </w:rPr>
        <w:t xml:space="preserve"> · Capital One Newsroom: </w:t>
      </w:r>
      <w:hyperlink w:history="1" r:id="rIdx4hfdm25yhkbeq7hthtrc">
        <w:r>
          <w:rPr>
            <w:rStyle w:val="Hyperlink"/>
            <w:sz w:val="20"/>
            <w:szCs w:val="20"/>
          </w:rPr>
          <w:t xml:space="preserve">https://www.capitalone.com/about/newsroom/mlb-partnership/</w:t>
        </w:r>
      </w:hyperlink>
    </w:p>
    <w:p>
      <w:pPr>
        <w:spacing w:after="160" w:line="288"/>
      </w:pPr>
      <w:r>
        <w:rPr>
          <w:sz w:val="22"/>
          <w:szCs w:val="22"/>
        </w:rPr>
        <w:t xml:space="preserve">[13] New York City FC Announce Viamericas as Official International Money Transfer &amp; Remittance Partner (Aug. 11, 2026). </w:t>
      </w:r>
      <w:hyperlink w:history="1" r:id="rIdwt0cnfqq-8hdg-mreuwku">
        <w:r>
          <w:rPr>
            <w:rStyle w:val="Hyperlink"/>
            <w:sz w:val="20"/>
            <w:szCs w:val="20"/>
          </w:rPr>
          <w:t xml:space="preserve">https://finance.yahoo.com/markets/currencies/articles/york-city-fc-announce-viamericas-150400467.html</w:t>
        </w:r>
      </w:hyperlink>
      <w:r>
        <w:rPr>
          <w:sz w:val="22"/>
          <w:szCs w:val="22"/>
        </w:rPr>
        <w:t xml:space="preserve"> · Viamericas (95 countries): </w:t>
      </w:r>
      <w:hyperlink w:history="1" r:id="rIdv3doj2zesodhklfdp5kqk">
        <w:r>
          <w:rPr>
            <w:rStyle w:val="Hyperlink"/>
            <w:sz w:val="20"/>
            <w:szCs w:val="20"/>
          </w:rPr>
          <w:t xml:space="preserve">https://corporate.viamericas.com/viamericas-raises-113-million-to-expand-global-remittance-network-serving-95-countries/</w:t>
        </w:r>
      </w:hyperlink>
    </w:p>
    <w:p>
      <w:pPr>
        <w:pBdr>
          <w:bottom w:val="single" w:color="CCCCCC" w:sz="6" w:space="1"/>
        </w:pBdr>
        <w:spacing w:after="120" w:before="120"/>
      </w:pPr>
      <w:r>
        <w:t xml:space="preserve"/>
      </w:r>
    </w:p>
    <w:p>
      <w:pPr>
        <w:spacing w:after="160" w:line="288"/>
      </w:pPr>
      <w:r>
        <w:rPr>
          <w:i/>
          <w:iCs/>
          <w:sz w:val="22"/>
          <w:szCs w:val="22"/>
        </w:rPr>
        <w:t xml:space="preserve">Related TransPerfect writing on this theme: [Buying Loyalty in a Second Language](https://www.transperfect.com/blog/buying-loyalty-in-a-second-language) and [One Name, Six Spellings: The Multilingual Blind Spot in KYC and Sanctions Screening](https://www.transperfect.com/blog/one-name-six-spellings-blind-spot-kyc-and-sanctions-screening) (Buying Loyalty URL is a placeholder).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17kg-m5_u5eidowzxmjm" Type="http://schemas.openxmlformats.org/officeDocument/2006/relationships/hyperlink" Target="https://csa-research.com/l/media/Consumers-Prefer-their-Own-Language" TargetMode="External"/><Relationship Id="rIdxnkvmpwppcfm1fxfmv5ew" Type="http://schemas.openxmlformats.org/officeDocument/2006/relationships/hyperlink" Target="https://slator.com/third-global-survey-by-csa-research-finds-language-preference-of-consumers-in-29-countries/" TargetMode="External"/><Relationship Id="rId8z6jy77qojb7mty8be3yf" Type="http://schemas.openxmlformats.org/officeDocument/2006/relationships/hyperlink" Target="https://www.census.gov/library/visualizations/interactive/people-that-speak-english-less-than-very-well.html" TargetMode="External"/><Relationship Id="rIdtzncx3iirzp_6vwja_9_9" Type="http://schemas.openxmlformats.org/officeDocument/2006/relationships/hyperlink" Target="https://www.migrationpolicy.org/article/language-diversity-and-english-proficiency-united-states" TargetMode="External"/><Relationship Id="rIdvataxuozd0ye3jchhzfpt" Type="http://schemas.openxmlformats.org/officeDocument/2006/relationships/hyperlink" Target="https://www.fdic.gov/household-survey" TargetMode="External"/><Relationship Id="rIdpqjhbh_icmdjmyczehswc" Type="http://schemas.openxmlformats.org/officeDocument/2006/relationships/hyperlink" Target="https://www.federalregister.gov/documents/2021/01/21/2021-01116/statement-regarding-the-provision-of-financial-products-and-services-to-consumers-with-limited" TargetMode="External"/><Relationship Id="rIdlc1p8enij9jxvzdi6g7wx" Type="http://schemas.openxmlformats.org/officeDocument/2006/relationships/hyperlink" Target="https://files.consumerfinance.gov/f/documents/cfpb_lep-statement_2021-01.pdf" TargetMode="External"/><Relationship Id="rIdvetgg3yqerrhcfqcprpjy" Type="http://schemas.openxmlformats.org/officeDocument/2006/relationships/hyperlink" Target="https://nahrep.org/shhr/" TargetMode="External"/><Relationship Id="rIddvxetyobcgbygh_nptgvo" Type="http://schemas.openxmlformats.org/officeDocument/2006/relationships/hyperlink" Target="https://nahrep.org/press-releases/2026/03/23/us-census-bureau-hispanics-reach-10-2-million-homeowners/" TargetMode="External"/><Relationship Id="rIdcrvolfcg472gnms1albai" Type="http://schemas.openxmlformats.org/officeDocument/2006/relationships/hyperlink" Target="https://www.areaa.org/resource-page" TargetMode="External"/><Relationship Id="rId2yribkaivnif4ut0ca24u" Type="http://schemas.openxmlformats.org/officeDocument/2006/relationships/hyperlink" Target="https://www.nar.realtor/magazine/real-estate-news/report-remarkable-surge-in-aapi-homeownership" TargetMode="External"/><Relationship Id="rId31xqshhfrzov2lxwdla_x" Type="http://schemas.openxmlformats.org/officeDocument/2006/relationships/hyperlink" Target="https://ofac.treasury.gov/faqs/topic/1636" TargetMode="External"/><Relationship Id="rIdvevbtmmvfxxw8dhv29rvy" Type="http://schemas.openxmlformats.org/officeDocument/2006/relationships/hyperlink" Target="https://www.sanctions.io/blog/the-problem-of-false-positives-in-aml-screening" TargetMode="External"/><Relationship Id="rIddnnpbrm5m3gxga6ce5hxu" Type="http://schemas.openxmlformats.org/officeDocument/2006/relationships/hyperlink" Target="https://www.facctum.com/blog/sanctions-screening-statistics" TargetMode="External"/><Relationship Id="rIdykick2cn0cc0mf7ss6r_e" Type="http://schemas.openxmlformats.org/officeDocument/2006/relationships/hyperlink" Target="https://www.fincen.gov/news/news-releases/fincen-assesses-historic-125-million-penalty-against-ubs-financial-services-inc" TargetMode="External"/><Relationship Id="rIdn5rvjhdaixbj62ugtf4gf" Type="http://schemas.openxmlformats.org/officeDocument/2006/relationships/hyperlink" Target="https://www.americanbanker.com/news/fincen-fines-ubs-125m-for-money-laundering-recidivism" TargetMode="External"/><Relationship Id="rIdrxq41ubfaqfgbvuyxllvr" Type="http://schemas.openxmlformats.org/officeDocument/2006/relationships/hyperlink" Target="https://namescan.io/insights/the-5-largest-aml-penalties-in-2024/" TargetMode="External"/><Relationship Id="rIdosww7hgysayzg73ry4lbn" Type="http://schemas.openxmlformats.org/officeDocument/2006/relationships/hyperlink" Target="https://www.enzuzo.com/blog/biggest-aml-fines" TargetMode="External"/><Relationship Id="rIdkkwxr3ycnj-vcqc7qtqzs" Type="http://schemas.openxmlformats.org/officeDocument/2006/relationships/hyperlink" Target="https://www.moodys.com/web/en/us/kyc/resources/insights/a-review-of-amla-and-amlr-2026.html" TargetMode="External"/><Relationship Id="rIdcbdnm1l9_ttbp14dxlhy3" Type="http://schemas.openxmlformats.org/officeDocument/2006/relationships/hyperlink" Target="https://www.pwc.ie/services/audit-assurance/insights/eu-new-anti-money-laundering-authority.html" TargetMode="External"/><Relationship Id="rIdehxgwgheeo-og2ke8zh5e" Type="http://schemas.openxmlformats.org/officeDocument/2006/relationships/hyperlink" Target="https://www.cnbc.com/2022/03/28/mlb-reaches-125-million-sponsorship-deal-with-capital-one.html" TargetMode="External"/><Relationship Id="rIdx4hfdm25yhkbeq7hthtrc" Type="http://schemas.openxmlformats.org/officeDocument/2006/relationships/hyperlink" Target="https://www.capitalone.com/about/newsroom/mlb-partnership/" TargetMode="External"/><Relationship Id="rIdwt0cnfqq-8hdg-mreuwku" Type="http://schemas.openxmlformats.org/officeDocument/2006/relationships/hyperlink" Target="https://finance.yahoo.com/markets/currencies/articles/york-city-fc-announce-viamericas-150400467.html" TargetMode="External"/><Relationship Id="rIdv3doj2zesodhklfdp5kqk" Type="http://schemas.openxmlformats.org/officeDocument/2006/relationships/hyperlink" Target="https://corporate.viamericas.com/viamericas-raises-113-million-to-expand-global-remittance-network-serving-95-countrie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2026-09-22T13:43:01.967Z</dcterms:created>
  <dcterms:modified xsi:type="dcterms:W3CDTF">2026-09-22T13:43:01.967Z</dcterms:modified>
</cp:coreProperties>
</file>

<file path=docProps/custom.xml><?xml version="1.0" encoding="utf-8"?>
<Properties xmlns="http://schemas.openxmlformats.org/officeDocument/2006/custom-properties" xmlns:vt="http://schemas.openxmlformats.org/officeDocument/2006/docPropsVTypes"/>
</file>