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b/>
          <w:bCs/>
          <w:color w:val="1A1A2E"/>
          <w:sz w:val="36"/>
          <w:szCs w:val="36"/>
        </w:rPr>
        <w:t xml:space="preserve">Under Attack and Understaffed: Resourcing the Bank's Highest-Stakes Work</w:t>
      </w:r>
    </w:p>
    <w:p>
      <w:pPr>
        <w:spacing w:after="160" w:line="288"/>
      </w:pPr>
      <w:r>
        <w:rPr>
          <w:i/>
          <w:iCs/>
          <w:sz w:val="22"/>
          <w:szCs w:val="22"/>
        </w:rPr>
        <w:t xml:space="preserve">Cyber and financial-crime pressure keeps climbing, the specialized skills to respond are scarce, and the projects at stake touch brand, share price, and regulators at once. The banks that stay ahead treat flexible, global expertise as core infrastructure.</w:t>
      </w:r>
    </w:p>
    <w:p>
      <w:pPr>
        <w:spacing w:after="160" w:line="288"/>
      </w:pPr>
      <w:r>
        <w:rPr>
          <w:i/>
          <w:iCs/>
          <w:sz w:val="22"/>
          <w:szCs w:val="22"/>
        </w:rPr>
        <w:t xml:space="preserve">Draft for the TransPerfect Financial Services blog · 2026-10-26</w:t>
      </w:r>
    </w:p>
    <w:p>
      <w:pPr>
        <w:pBdr>
          <w:bottom w:val="single" w:color="CCCCCC" w:sz="6" w:space="1"/>
        </w:pBdr>
        <w:spacing w:after="120" w:before="120"/>
      </w:pPr>
      <w:r>
        <w:t xml:space="preserve"/>
      </w:r>
    </w:p>
    <w:p>
      <w:pPr>
        <w:spacing w:after="160" w:line="288"/>
      </w:pPr>
      <w:r>
        <w:rPr>
          <w:sz w:val="22"/>
          <w:szCs w:val="22"/>
        </w:rPr>
        <w:t xml:space="preserve">The world's largest banks have never been more valuable targets, or more exposed. Financial services sits consistently among the most-attacked industries, and the cost of getting it wrong keeps climbing: the average data breach in financial services reached </w:t>
      </w:r>
      <w:hyperlink w:history="1" r:id="rIdolxxzv7hjk4j5ttad4x-o">
        <w:r>
          <w:rPr>
            <w:rStyle w:val="Hyperlink"/>
            <w:sz w:val="22"/>
            <w:szCs w:val="22"/>
          </w:rPr>
          <w:t xml:space="preserve">$6.29 million in 2026</w:t>
        </w:r>
      </w:hyperlink>
      <w:r>
        <w:rPr>
          <w:sz w:val="22"/>
          <w:szCs w:val="22"/>
        </w:rPr>
        <w:t xml:space="preserve">, well above the cross-industry average and second only to healthcare. The attack surface is widening faster than defenses can be staffed, with </w:t>
      </w:r>
      <w:hyperlink w:history="1" r:id="rIdhyzbdsuxn7ncblfjdgf8i">
        <w:r>
          <w:rPr>
            <w:rStyle w:val="Hyperlink"/>
            <w:sz w:val="22"/>
            <w:szCs w:val="22"/>
          </w:rPr>
          <w:t xml:space="preserve">AI-enabled attacks now behind a growing share of breaches</w:t>
        </w:r>
      </w:hyperlink>
      <w:r>
        <w:rPr>
          <w:sz w:val="22"/>
          <w:szCs w:val="22"/>
        </w:rPr>
        <w:t xml:space="preserve"> and financial services among the hardest hit. And cyber is only one front. Fraud, sanctions and anti-money-laundering obligations, cross-border investigations, and relentless regulatory scrutiny mean a global bank is, in effect, permanently responding to something.</w:t>
      </w:r>
    </w:p>
    <w:p>
      <w:pPr>
        <w:spacing w:after="120" w:before="280"/>
      </w:pPr>
      <w:r>
        <w:rPr>
          <w:b/>
          <w:bCs/>
          <w:color w:val="4B3FBF"/>
          <w:sz w:val="28"/>
          <w:szCs w:val="28"/>
        </w:rPr>
        <w:t xml:space="preserve">The work is no longer back-office</w:t>
      </w:r>
    </w:p>
    <w:p>
      <w:pPr>
        <w:spacing w:after="160" w:line="288"/>
      </w:pPr>
      <w:r>
        <w:rPr>
          <w:sz w:val="22"/>
          <w:szCs w:val="22"/>
        </w:rPr>
        <w:t xml:space="preserve">What has changed is not just the frequency of these events but their reach. A serious incident is no longer an IT problem contained to a server room. Under current SEC rules, a public company must </w:t>
      </w:r>
      <w:hyperlink w:history="1" r:id="rIdokzd_k95unh9cbuloed1y">
        <w:r>
          <w:rPr>
            <w:rStyle w:val="Hyperlink"/>
            <w:sz w:val="22"/>
            <w:szCs w:val="22"/>
          </w:rPr>
          <w:t xml:space="preserve">disclose a material cybersecurity incident within four business days</w:t>
        </w:r>
      </w:hyperlink>
      <w:r>
        <w:rPr>
          <w:sz w:val="22"/>
          <w:szCs w:val="22"/>
        </w:rPr>
        <w:t xml:space="preserve">, which turns a breach into an investor-facing, share-price event almost immediately. A regulatory remediation, a control failure, or a mishandled investigation lands on the same desk, touching brand and customer trust, market value, and standing with regulators at the same time. The work that follows an attack or a regulatory demand is not back-office anymore. It is board-level, and it is judged on how fast and how well it is executed.</w:t>
      </w:r>
    </w:p>
    <w:p>
      <w:pPr>
        <w:spacing w:after="120" w:before="280"/>
      </w:pPr>
      <w:r>
        <w:rPr>
          <w:b/>
          <w:bCs/>
          <w:color w:val="4B3FBF"/>
          <w:sz w:val="28"/>
          <w:szCs w:val="28"/>
        </w:rPr>
        <w:t xml:space="preserve">The real constraint is people</w:t>
      </w:r>
    </w:p>
    <w:p>
      <w:pPr>
        <w:spacing w:after="160" w:line="288"/>
      </w:pPr>
      <w:r>
        <w:rPr>
          <w:sz w:val="22"/>
          <w:szCs w:val="22"/>
        </w:rPr>
        <w:t xml:space="preserve">Which is where most institutions hit the real constraint: talent. The skills to respond are scarce and getting scarcer. In the latest industry workforce study, </w:t>
      </w:r>
      <w:hyperlink w:history="1" r:id="rId-xr4ltng9or_boew4johj">
        <w:r>
          <w:rPr>
            <w:rStyle w:val="Hyperlink"/>
            <w:sz w:val="22"/>
            <w:szCs w:val="22"/>
          </w:rPr>
          <w:t xml:space="preserve">88% of organizations reported at least one significant consequence from a cybersecurity skills shortage</w:t>
        </w:r>
      </w:hyperlink>
      <w:r>
        <w:rPr>
          <w:sz w:val="22"/>
          <w:szCs w:val="22"/>
        </w:rPr>
        <w:t xml:space="preserve">, and AI expertise was the single most-cited gap. The same scarcity shows up in financial-crime compliance, where global costs now run into the </w:t>
      </w:r>
      <w:hyperlink w:history="1" r:id="rId03x72c6ngfdmzqgvour_s">
        <w:r>
          <w:rPr>
            <w:rStyle w:val="Hyperlink"/>
            <w:sz w:val="22"/>
            <w:szCs w:val="22"/>
          </w:rPr>
          <w:t xml:space="preserve">hundreds of billions of dollars a year</w:t>
        </w:r>
      </w:hyperlink>
      <w:r>
        <w:rPr>
          <w:sz w:val="22"/>
          <w:szCs w:val="22"/>
        </w:rPr>
        <w:t xml:space="preserve"> and specialized reviewers, investigators, and analysts are in constant demand.</w:t>
      </w:r>
    </w:p>
    <w:p>
      <w:pPr>
        <w:spacing w:after="160" w:line="288"/>
      </w:pPr>
      <w:r>
        <w:rPr>
          <w:sz w:val="22"/>
          <w:szCs w:val="22"/>
        </w:rPr>
        <w:t xml:space="preserve">No bank can permanently hire its way through this. The need is episodic and uneven. A breach response or a regulatory lookback demands a large, expert team right now, for weeks or months. A multi-year transformation needs a sustained, specialized bench. Carrying all of it as permanent headcount is neither affordable nor wise, and trying to recruit it the moment a crisis hits is how deadlines slip and quality suffers on exactly the work that cannot afford either.</w:t>
      </w:r>
    </w:p>
    <w:p>
      <w:pPr>
        <w:spacing w:after="120" w:before="280"/>
      </w:pPr>
      <w:r>
        <w:rPr>
          <w:b/>
          <w:bCs/>
          <w:color w:val="4B3FBF"/>
          <w:sz w:val="28"/>
          <w:szCs w:val="28"/>
        </w:rPr>
        <w:t xml:space="preserve">Access to expertise is infrastructure</w:t>
      </w:r>
    </w:p>
    <w:p>
      <w:pPr>
        <w:spacing w:after="160" w:line="288"/>
      </w:pPr>
      <w:r>
        <w:rPr>
          <w:sz w:val="22"/>
          <w:szCs w:val="22"/>
        </w:rPr>
        <w:t xml:space="preserve">The institutions that cope best treat access to expertise as infrastructure rather than headcount. They keep a flexible, global resourcing model on call: the ability to stand up vetted, specialized teams quickly, scale them to the size of the problem, sustain them for as long as a program runs, and wind them down cleanly when it ends.</w:t>
      </w:r>
    </w:p>
    <w:p>
      <w:pPr>
        <w:spacing w:after="160" w:line="288"/>
      </w:pPr>
      <w:r>
        <w:rPr>
          <w:sz w:val="22"/>
          <w:szCs w:val="22"/>
        </w:rPr>
        <w:t xml:space="preserve">Crucially, that capacity has to be global and multilingual, because the work is. A cross-border investigation means reviewing millions of documents in a dozen languages. A remediation means screening transactions and communications across jurisdictions. An incident means notifying affected customers quickly and accurately in every language they speak, and standing up interpreter-supported contact centers to absorb the surge. A product or platform rollout means launching in many markets at once without the quality dropping in any of them. These are not tasks a bank can improvise under pressure, and they are rarely tasks a single internal team can carry alone.</w:t>
      </w:r>
    </w:p>
    <w:p>
      <w:pPr>
        <w:spacing w:after="160" w:line="288"/>
      </w:pPr>
      <w:r>
        <w:rPr>
          <w:sz w:val="22"/>
          <w:szCs w:val="22"/>
        </w:rPr>
        <w:t xml:space="preserve">This is the role a partner with genuine global infrastructure plays. TransPerfect brings a worldwide delivery network that operates around the clock, deep benches of vetted specialists, and the project management, technology, and security and confidentiality controls that regulated, high-stakes work demands, across both quick-turn assignments and long-term programs. From cross-border investigations and large-scale multilingual document review to regulatory remediation, customer communications, and the localization of products across markets, the model is the same: the right experts, in the right numbers, in the right languages, exactly when they are needed, without the bank having to build and carry every capability itself.</w:t>
      </w:r>
    </w:p>
    <w:p>
      <w:pPr>
        <w:spacing w:after="120" w:before="280"/>
      </w:pPr>
      <w:r>
        <w:rPr>
          <w:b/>
          <w:bCs/>
          <w:color w:val="4B3FBF"/>
          <w:sz w:val="28"/>
          <w:szCs w:val="28"/>
        </w:rPr>
        <w:t xml:space="preserve">Turning a permanent threat into a managed one</w:t>
      </w:r>
    </w:p>
    <w:p>
      <w:pPr>
        <w:spacing w:after="160" w:line="288"/>
      </w:pPr>
      <w:r>
        <w:rPr>
          <w:sz w:val="22"/>
          <w:szCs w:val="22"/>
        </w:rPr>
        <w:t xml:space="preserve">Banks will not stop being targets, and the obligations that come with scale will not get lighter. Resilience, then, is not only a matter of better defenses. It is the capacity to mobilize the right expertise at the right moment, again and again, on the work where brand, share price, and regulatory standing are all on the line at once. The institutions that build that capacity, or partner for it, turn a permanent state of being under attack into something they can actually manage.</w:t>
      </w:r>
    </w:p>
    <w:p>
      <w:pPr>
        <w:pBdr>
          <w:bottom w:val="single" w:color="CCCCCC" w:sz="6" w:space="1"/>
        </w:pBdr>
        <w:spacing w:after="120" w:before="120"/>
      </w:pPr>
      <w:r>
        <w:t xml:space="preserve"/>
      </w:r>
    </w:p>
    <w:p>
      <w:pPr>
        <w:spacing w:after="160" w:line="288"/>
      </w:pPr>
      <w:r>
        <w:rPr>
          <w:i/>
          <w:iCs/>
          <w:sz w:val="22"/>
          <w:szCs w:val="22"/>
        </w:rPr>
        <w:t xml:space="preserve">TransPerfect helps leading financial institutions resource high-stakes, regulated programs, from investigations and large-scale document review to regulatory remediation and multilingual customer communications, with global, vetted teams for both surge and sustained needs. [Explore our finance and banking solutions »](https://www.transperfect.com/industries/finance-and-banking)</w:t>
      </w:r>
    </w:p>
    <w:p>
      <w:pPr>
        <w:spacing w:after="160" w:line="288"/>
      </w:pPr>
      <w:r>
        <w:rPr>
          <w:b/>
          <w:bCs/>
          <w:sz w:val="22"/>
          <w:szCs w:val="22"/>
        </w:rPr>
        <w:t xml:space="preserve">Related reading:</w:t>
      </w:r>
      <w:r>
        <w:rPr>
          <w:sz w:val="22"/>
          <w:szCs w:val="22"/>
        </w:rPr>
        <w:t xml:space="preserve"> </w:t>
      </w:r>
      <w:hyperlink w:history="1" r:id="rIdvqger4welurvoxawm56kv">
        <w:r>
          <w:rPr>
            <w:rStyle w:val="Hyperlink"/>
            <w:sz w:val="22"/>
            <w:szCs w:val="22"/>
          </w:rPr>
          <w:t xml:space="preserve">One Name, Six Spellings: KYC and Sanctions Screening</w:t>
        </w:r>
      </w:hyperlink>
      <w:r>
        <w:rPr>
          <w:sz w:val="22"/>
          <w:szCs w:val="22"/>
        </w:rPr>
        <w:t xml:space="preserve"> and </w:t>
      </w:r>
      <w:hyperlink w:history="1" r:id="rIdlpsynik-z6ztbyjq_87qt">
        <w:r>
          <w:rPr>
            <w:rStyle w:val="Hyperlink"/>
            <w:sz w:val="22"/>
            <w:szCs w:val="22"/>
          </w:rPr>
          <w:t xml:space="preserve">Repriced Before the Robots Arrived: AI and the New Economics of CX</w:t>
        </w:r>
      </w:hyperlink>
      <w:r>
        <w:rPr>
          <w:sz w:val="22"/>
          <w:szCs w:val="22"/>
        </w:rPr>
        <w:t xml:space="preserve"> </w:t>
      </w:r>
      <w:r>
        <w:rPr>
          <w:i/>
          <w:iCs/>
          <w:sz w:val="22"/>
          <w:szCs w:val="22"/>
        </w:rPr>
        <w:t xml:space="preserve">(CX URL is a placeholder, swap for live)</w:t>
      </w:r>
      <w:r>
        <w:rPr>
          <w:sz w:val="22"/>
          <w:szCs w:val="22"/>
        </w:rPr>
        <w:t xml:space="preserve">.</w:t>
      </w:r>
    </w:p>
    <w:p>
      <w:pPr>
        <w:pBdr>
          <w:bottom w:val="single" w:color="CCCCCC" w:sz="6" w:space="1"/>
        </w:pBdr>
        <w:spacing w:after="120" w:before="120"/>
      </w:pPr>
      <w:r>
        <w:t xml:space="preserve"/>
      </w:r>
    </w:p>
    <w:p>
      <w:pPr>
        <w:spacing w:after="120" w:before="280"/>
      </w:pPr>
      <w:r>
        <w:rPr>
          <w:b/>
          <w:bCs/>
          <w:color w:val="4B3FBF"/>
          <w:sz w:val="28"/>
          <w:szCs w:val="28"/>
        </w:rPr>
        <w:t xml:space="preserve">Sources</w:t>
      </w:r>
    </w:p>
    <w:p>
      <w:pPr>
        <w:pStyle w:val="ListParagraph"/>
        <w:numPr>
          <w:ilvl w:val="0"/>
          <w:numId w:val="2"/>
        </w:numPr>
        <w:spacing w:after="100" w:line="288"/>
      </w:pPr>
      <w:r>
        <w:rPr>
          <w:sz w:val="22"/>
          <w:szCs w:val="22"/>
        </w:rPr>
        <w:t xml:space="preserve">IBM, Cost of a Data Breach 2026 (financial services averaged $6.29M; AI-enabled attacks rising): </w:t>
      </w:r>
      <w:hyperlink w:history="1" r:id="rIdei3djbpellrlqknngojzw">
        <w:r>
          <w:rPr>
            <w:rStyle w:val="Hyperlink"/>
            <w:sz w:val="22"/>
            <w:szCs w:val="22"/>
          </w:rPr>
          <w:t xml:space="preserve">IBM Newsroom</w:t>
        </w:r>
      </w:hyperlink>
      <w:r>
        <w:rPr>
          <w:sz w:val="22"/>
          <w:szCs w:val="22"/>
        </w:rPr>
        <w:t xml:space="preserve"> · </w:t>
      </w:r>
      <w:hyperlink w:history="1" r:id="rIdmbocm72sk_vp-cbpcmyqx">
        <w:r>
          <w:rPr>
            <w:rStyle w:val="Hyperlink"/>
            <w:sz w:val="22"/>
            <w:szCs w:val="22"/>
          </w:rPr>
          <w:t xml:space="preserve">Baker Donelson summary</w:t>
        </w:r>
      </w:hyperlink>
    </w:p>
    <w:p>
      <w:pPr>
        <w:pStyle w:val="ListParagraph"/>
        <w:numPr>
          <w:ilvl w:val="0"/>
          <w:numId w:val="2"/>
        </w:numPr>
        <w:spacing w:after="100" w:line="288"/>
      </w:pPr>
      <w:r>
        <w:rPr>
          <w:sz w:val="22"/>
          <w:szCs w:val="22"/>
        </w:rPr>
        <w:t xml:space="preserve">Financial services breach cost and SEC four-business-day disclosure requirement: </w:t>
      </w:r>
      <w:hyperlink w:history="1" r:id="rIdgj3ucnvgr0ey8fzslvxcy">
        <w:r>
          <w:rPr>
            <w:rStyle w:val="Hyperlink"/>
            <w:sz w:val="22"/>
            <w:szCs w:val="22"/>
          </w:rPr>
          <w:t xml:space="preserve">IncidentCost (Financial Services)</w:t>
        </w:r>
      </w:hyperlink>
    </w:p>
    <w:p>
      <w:pPr>
        <w:pStyle w:val="ListParagraph"/>
        <w:numPr>
          <w:ilvl w:val="0"/>
          <w:numId w:val="2"/>
        </w:numPr>
        <w:spacing w:after="100" w:line="288"/>
      </w:pPr>
      <w:r>
        <w:rPr>
          <w:sz w:val="22"/>
          <w:szCs w:val="22"/>
        </w:rPr>
        <w:t xml:space="preserve">2025 ISC2 Cybersecurity Workforce Study (88% saw a consequence from a skills shortage; AI the top skills gap): </w:t>
      </w:r>
      <w:hyperlink w:history="1" r:id="rIdvwz2x5m5xkskyy7-mbk9-">
        <w:r>
          <w:rPr>
            <w:rStyle w:val="Hyperlink"/>
            <w:sz w:val="22"/>
            <w:szCs w:val="22"/>
          </w:rPr>
          <w:t xml:space="preserve">ISC2</w:t>
        </w:r>
      </w:hyperlink>
    </w:p>
    <w:p>
      <w:pPr>
        <w:pStyle w:val="ListParagraph"/>
        <w:numPr>
          <w:ilvl w:val="0"/>
          <w:numId w:val="2"/>
        </w:numPr>
        <w:spacing w:after="100" w:line="288"/>
      </w:pPr>
      <w:r>
        <w:rPr>
          <w:sz w:val="22"/>
          <w:szCs w:val="22"/>
        </w:rPr>
        <w:t xml:space="preserve">LexisNexis Risk Solutions, True Cost of Financial Crime Compliance ($206.1B globally; ~$61B in the US and Canada): </w:t>
      </w:r>
      <w:hyperlink w:history="1" r:id="rIdooaei2_-4ukf9tveyu4vi">
        <w:r>
          <w:rPr>
            <w:rStyle w:val="Hyperlink"/>
            <w:sz w:val="22"/>
            <w:szCs w:val="22"/>
          </w:rPr>
          <w:t xml:space="preserve">LexisNexis Risk Solutions</w:t>
        </w:r>
      </w:hyperlink>
      <w:r>
        <w:rPr>
          <w:sz w:val="22"/>
          <w:szCs w:val="22"/>
        </w:rPr>
        <w:t xml:space="preserve"> · </w:t>
      </w:r>
      <w:hyperlink w:history="1" r:id="rIdwyhalpkiogg5hjie0har_">
        <w:r>
          <w:rPr>
            <w:rStyle w:val="Hyperlink"/>
            <w:sz w:val="22"/>
            <w:szCs w:val="22"/>
          </w:rPr>
          <w:t xml:space="preserve">InvestmentNews</w:t>
        </w:r>
      </w:hyperlink>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olxxzv7hjk4j5ttad4x-o" Type="http://schemas.openxmlformats.org/officeDocument/2006/relationships/hyperlink" Target="https://incidentcost.com/industries/financial-services" TargetMode="External"/><Relationship Id="rIdhyzbdsuxn7ncblfjdgf8i" Type="http://schemas.openxmlformats.org/officeDocument/2006/relationships/hyperlink" Target="https://newsroom.ibm.com/2026-07-29-ibm-study-one-in-four-malicious-breaches-are-ai-enabled,-costing-companies-6-million-on-average" TargetMode="External"/><Relationship Id="rIdokzd_k95unh9cbuloed1y" Type="http://schemas.openxmlformats.org/officeDocument/2006/relationships/hyperlink" Target="https://incidentcost.com/industries/financial-services" TargetMode="External"/><Relationship Id="rId-xr4ltng9or_boew4johj" Type="http://schemas.openxmlformats.org/officeDocument/2006/relationships/hyperlink" Target="https://www.isc2.org/Insights/2025/12/2025-ISC2-Cybersecurity-Workforce-Study" TargetMode="External"/><Relationship Id="rId03x72c6ngfdmzqgvour_s" Type="http://schemas.openxmlformats.org/officeDocument/2006/relationships/hyperlink" Target="https://risk.lexisnexis.com/about-us/press-room/press-release/20230926-global-financial-crime-compliance-costs" TargetMode="External"/><Relationship Id="rIdvqger4welurvoxawm56kv" Type="http://schemas.openxmlformats.org/officeDocument/2006/relationships/hyperlink" Target="https://www.transperfect.com/blog/one-name-six-spellings-blind-spot-kyc-and-sanctions-screening" TargetMode="External"/><Relationship Id="rIdlpsynik-z6ztbyjq_87qt" Type="http://schemas.openxmlformats.org/officeDocument/2006/relationships/hyperlink" Target="https://www.transperfect.com/blog/repriced-before-the-robots-arrived" TargetMode="External"/><Relationship Id="rIdei3djbpellrlqknngojzw" Type="http://schemas.openxmlformats.org/officeDocument/2006/relationships/hyperlink" Target="https://newsroom.ibm.com/2026-07-29-ibm-study-one-in-four-malicious-breaches-are-ai-enabled,-costing-companies-6-million-on-average" TargetMode="External"/><Relationship Id="rIdmbocm72sk_vp-cbpcmyqx" Type="http://schemas.openxmlformats.org/officeDocument/2006/relationships/hyperlink" Target="https://www.bakerdonelson.com/ten-takeaways-from-ibms-2026-cost-of-a-data-breach-report" TargetMode="External"/><Relationship Id="rIdgj3ucnvgr0ey8fzslvxcy" Type="http://schemas.openxmlformats.org/officeDocument/2006/relationships/hyperlink" Target="https://incidentcost.com/industries/financial-services" TargetMode="External"/><Relationship Id="rIdvwz2x5m5xkskyy7-mbk9-" Type="http://schemas.openxmlformats.org/officeDocument/2006/relationships/hyperlink" Target="https://www.isc2.org/Insights/2025/12/2025-ISC2-Cybersecurity-Workforce-Study" TargetMode="External"/><Relationship Id="rIdooaei2_-4ukf9tveyu4vi" Type="http://schemas.openxmlformats.org/officeDocument/2006/relationships/hyperlink" Target="https://risk.lexisnexis.com/about-us/press-room/press-release/20230926-global-financial-crime-compliance-costs" TargetMode="External"/><Relationship Id="rIdwyhalpkiogg5hjie0har_" Type="http://schemas.openxmlformats.org/officeDocument/2006/relationships/hyperlink" Target="https://www.investmentnews.com/regulation-legal-compliance/financial-crime-compliance-costs-reach-61b-for-financial-institutions/249818"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TransPerfect draft</dc:title>
  <dc:creator>TransPerfect Financial Services</dc:creator>
  <cp:lastModifiedBy>Un-named</cp:lastModifiedBy>
  <cp:revision>1</cp:revision>
  <dcterms:created xsi:type="dcterms:W3CDTF">2026-10-26T20:17:42.849Z</dcterms:created>
  <dcterms:modified xsi:type="dcterms:W3CDTF">2026-10-26T20:17:43.086Z</dcterms:modified>
</cp:coreProperties>
</file>

<file path=docProps/custom.xml><?xml version="1.0" encoding="utf-8"?>
<Properties xmlns="http://schemas.openxmlformats.org/officeDocument/2006/custom-properties" xmlns:vt="http://schemas.openxmlformats.org/officeDocument/2006/docPropsVTypes"/>
</file>