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2E"/>
          <w:sz w:val="40"/>
          <w:szCs w:val="40"/>
        </w:rPr>
        <w:t xml:space="preserve">Buying Loyalty in a Second Language</w:t>
      </w:r>
    </w:p>
    <w:p>
      <w:pPr>
        <w:spacing w:after="120"/>
      </w:pPr>
      <w:r>
        <w:rPr>
          <w:b/>
          <w:bCs/>
          <w:color w:val="4B3FBF"/>
          <w:sz w:val="30"/>
          <w:szCs w:val="30"/>
        </w:rPr>
        <w:t xml:space="preserve">What Capital One’s MLB Bet Teaches Banks About Multicultural Trust</w:t>
      </w:r>
    </w:p>
    <w:p>
      <w:pPr>
        <w:spacing w:after="160" w:line="288"/>
      </w:pPr>
      <w:r>
        <w:rPr>
          <w:i/>
          <w:iCs/>
          <w:color w:val="555555"/>
          <w:sz w:val="22"/>
          <w:szCs w:val="22"/>
        </w:rPr>
        <w:t xml:space="preserve">How financial brands turn a sponsorship moment into a funded, retained account — and why language is the conversion layer most issuers aren’t pricing.</w:t>
      </w:r>
    </w:p>
    <w:p>
      <w:pPr>
        <w:spacing w:after="160" w:line="288"/>
      </w:pPr>
      <w:r>
        <w:rPr>
          <w:i/>
          <w:iCs/>
          <w:color w:val="777777"/>
          <w:sz w:val="20"/>
          <w:szCs w:val="20"/>
        </w:rPr>
        <w:t xml:space="preserve">Draft for the TransPerfect Financial Services blog  ·  Last updated: 2026-08-04</w:t>
      </w:r>
    </w:p>
    <w:p>
      <w:pPr>
        <w:spacing w:after="140"/>
      </w:pPr>
      <w:r>
        <w:rPr>
          <w:i/>
          <w:iCs/>
          <w:color w:val="777777"/>
          <w:sz w:val="20"/>
          <w:szCs w:val="20"/>
        </w:rPr>
        <w:t xml:space="preserve">Source links are embedded inline on the underlined text; a full reference list follows at the end.</w:t>
      </w:r>
    </w:p>
    <w:p>
      <w:pPr>
        <w:pBdr>
          <w:bottom w:val="single" w:color="CCCCCC" w:sz="6" w:space="1"/>
        </w:pBdr>
        <w:spacing w:after="160" w:before="160"/>
      </w:pPr>
      <w:r>
        <w:t xml:space="preserve"/>
      </w:r>
    </w:p>
    <w:p>
      <w:pPr>
        <w:spacing w:after="160" w:line="288"/>
      </w:pPr>
      <w:r>
        <w:rPr>
          <w:sz w:val="22"/>
          <w:szCs w:val="22"/>
        </w:rPr>
        <w:t xml:space="preserve">When Capital One signed a five-year deal reported at roughly </w:t>
      </w:r>
      <w:hyperlink w:history="1" r:id="rIdbgo_qmxevj41ltgtpklyi">
        <w:r>
          <w:rPr>
            <w:rStyle w:val="Hyperlink"/>
            <w:sz w:val="22"/>
            <w:szCs w:val="22"/>
          </w:rPr>
          <w:t xml:space="preserve">$125 million</w:t>
        </w:r>
      </w:hyperlink>
      <w:r>
        <w:rPr>
          <w:sz w:val="22"/>
          <w:szCs w:val="22"/>
        </w:rPr>
        <w:t xml:space="preserve"> to become Major League Baseball’s </w:t>
      </w:r>
      <w:hyperlink w:history="1" r:id="rIdlznxsnxmfrm5eb5pvqg85">
        <w:r>
          <w:rPr>
            <w:rStyle w:val="Hyperlink"/>
            <w:sz w:val="22"/>
            <w:szCs w:val="22"/>
          </w:rPr>
          <w:t xml:space="preserve">official bank and credit card partner</w:t>
        </w:r>
      </w:hyperlink>
      <w:r>
        <w:rPr>
          <w:sz w:val="22"/>
          <w:szCs w:val="22"/>
        </w:rPr>
        <w:t xml:space="preserve"> — and the presenting sponsor of the World Series — it wasn’t buying ad inventory. It was buying a feeling. In a market where a Visa is a Visa and rewards tables have converged to the decimal point, the product itself no longer differentiates. Loyalty does. And loyalty, increasingly, is being </w:t>
      </w:r>
      <w:hyperlink w:history="1" r:id="rIdihzkvivutvtz6ocwh5nxz">
        <w:r>
          <w:rPr>
            <w:rStyle w:val="Hyperlink"/>
            <w:sz w:val="22"/>
            <w:szCs w:val="22"/>
          </w:rPr>
          <w:t xml:space="preserve">purchased through experience</w:t>
        </w:r>
      </w:hyperlink>
      <w:r>
        <w:rPr>
          <w:sz w:val="22"/>
          <w:szCs w:val="22"/>
        </w:rPr>
        <w:t xml:space="preserve">.</w:t>
      </w:r>
    </w:p>
    <w:p>
      <w:pPr>
        <w:spacing w:after="160" w:line="288"/>
      </w:pPr>
      <w:r>
        <w:rPr>
          <w:sz w:val="22"/>
          <w:szCs w:val="22"/>
        </w:rPr>
        <w:t xml:space="preserve">The scale of that bet was on full display this summer. Capital One’s All-Star Village in Philadelphia — the fifth straight year the bank has titled the event — drew a </w:t>
      </w:r>
      <w:hyperlink w:history="1" r:id="rIdvl_4vs3waytut7johnaly">
        <w:r>
          <w:rPr>
            <w:rStyle w:val="Hyperlink"/>
            <w:sz w:val="22"/>
            <w:szCs w:val="22"/>
          </w:rPr>
          <w:t xml:space="preserve">reported 111,616 visitors</w:t>
        </w:r>
      </w:hyperlink>
      <w:r>
        <w:rPr>
          <w:sz w:val="22"/>
          <w:szCs w:val="22"/>
        </w:rPr>
        <w:t xml:space="preserve"> over four days in July 2026, the highest since 2022 and </w:t>
      </w:r>
      <w:hyperlink w:history="1" r:id="rIdydp7w3rwmzdpiapnrscdo">
        <w:r>
          <w:rPr>
            <w:rStyle w:val="Hyperlink"/>
            <w:sz w:val="22"/>
            <w:szCs w:val="22"/>
          </w:rPr>
          <w:t xml:space="preserve">well past MLB’s own projections</w:t>
        </w:r>
      </w:hyperlink>
      <w:r>
        <w:rPr>
          <w:sz w:val="22"/>
          <w:szCs w:val="22"/>
        </w:rPr>
        <w:t xml:space="preserve">. That’s a lot of people voluntarily spending a summer afternoon inside a bank’s brand.</w:t>
      </w:r>
    </w:p>
    <w:p>
      <w:pPr>
        <w:spacing w:after="160" w:line="288"/>
      </w:pPr>
      <w:r>
        <w:rPr>
          <w:sz w:val="22"/>
          <w:szCs w:val="22"/>
        </w:rPr>
        <w:t xml:space="preserve">But there’s a quieter lesson inside the baseball bet that most issuers are missing — one that determines whether all that sponsorship spend compounds into revenue or evaporates the day after the game.</w:t>
      </w:r>
    </w:p>
    <w:p>
      <w:pPr>
        <w:spacing w:after="160" w:line="288"/>
      </w:pPr>
      <w:r>
        <w:rPr>
          <w:b/>
          <w:bCs/>
          <w:sz w:val="22"/>
          <w:szCs w:val="22"/>
        </w:rPr>
        <w:t xml:space="preserve">A sponsorship gets you the emotional moment. Localization is what converts it into a customer.</w:t>
      </w:r>
    </w:p>
    <w:p>
      <w:pPr>
        <w:pStyle w:val="Heading2"/>
        <w:spacing w:after="120" w:before="260"/>
      </w:pPr>
      <w:r>
        <w:rPr>
          <w:b/>
          <w:bCs/>
          <w:color w:val="4B3FBF"/>
          <w:sz w:val="26"/>
          <w:szCs w:val="26"/>
        </w:rPr>
        <w:t xml:space="preserve">The loyalty wars are really conversion wars</w:t>
      </w:r>
    </w:p>
    <w:p>
      <w:pPr>
        <w:spacing w:after="160" w:line="288"/>
      </w:pPr>
      <w:r>
        <w:rPr>
          <w:sz w:val="22"/>
          <w:szCs w:val="22"/>
        </w:rPr>
        <w:t xml:space="preserve">Every issuer chasing the “experience” strategy is betting on the same funnel: passion drives attention, attention drives an application, an application drives a funded account, and a funded account — nurtured well — drives a decade of interchange, deposits, and cross-sell. As cards commoditize, issuers are </w:t>
      </w:r>
      <w:hyperlink w:history="1" r:id="rIdzogcmiuc_afqn6uuygeqz">
        <w:r>
          <w:rPr>
            <w:rStyle w:val="Hyperlink"/>
            <w:sz w:val="22"/>
            <w:szCs w:val="22"/>
          </w:rPr>
          <w:t xml:space="preserve">racing to buy loyalty rather than earn it on rewards alone</w:t>
        </w:r>
      </w:hyperlink>
      <w:r>
        <w:rPr>
          <w:sz w:val="22"/>
          <w:szCs w:val="22"/>
        </w:rPr>
        <w:t xml:space="preserve">.</w:t>
      </w:r>
    </w:p>
    <w:p>
      <w:pPr>
        <w:spacing w:after="160" w:line="288"/>
      </w:pPr>
      <w:r>
        <w:rPr>
          <w:sz w:val="22"/>
          <w:szCs w:val="22"/>
        </w:rPr>
        <w:t xml:space="preserve">The problem is that most brands optimize the top and leak the bottom. They win the emotional moment in the stadium, then hand the new prospect an onboarding flow, a mobile app, a set of disclosures, and a servicing line that all assume one thing: that the customer’s most comfortable language is English.</w:t>
      </w:r>
    </w:p>
    <w:p>
      <w:pPr>
        <w:spacing w:after="160" w:line="288"/>
      </w:pPr>
      <w:r>
        <w:rPr>
          <w:sz w:val="22"/>
          <w:szCs w:val="22"/>
        </w:rPr>
        <w:t xml:space="preserve">For a meaningful and growing share of the exact fans these deals are designed to reach, that assumption is wrong — and it’s expensive.</w:t>
      </w:r>
    </w:p>
    <w:p>
      <w:pPr>
        <w:pStyle w:val="Heading2"/>
        <w:spacing w:after="120" w:before="260"/>
      </w:pPr>
      <w:r>
        <w:rPr>
          <w:b/>
          <w:bCs/>
          <w:color w:val="4B3FBF"/>
          <w:sz w:val="26"/>
          <w:szCs w:val="26"/>
        </w:rPr>
        <w:t xml:space="preserve">The signal hiding in the stands</w:t>
      </w:r>
    </w:p>
    <w:p>
      <w:pPr>
        <w:spacing w:after="160" w:line="288"/>
      </w:pPr>
      <w:r>
        <w:rPr>
          <w:sz w:val="22"/>
          <w:szCs w:val="22"/>
        </w:rPr>
        <w:t xml:space="preserve">Here’s the part that should reframe the whole strategy.</w:t>
      </w:r>
    </w:p>
    <w:p>
      <w:pPr>
        <w:spacing w:after="160" w:line="288"/>
      </w:pPr>
      <w:r>
        <w:rPr>
          <w:sz w:val="22"/>
          <w:szCs w:val="22"/>
        </w:rPr>
        <w:t xml:space="preserve">Baseball is one of the most Latino sports in America — on the field and in the seats. On 2025 Opening Day rosters, </w:t>
      </w:r>
      <w:hyperlink w:history="1" r:id="rIdbrd5n_y3ytl3_txwatelo">
        <w:r>
          <w:rPr>
            <w:rStyle w:val="Hyperlink"/>
            <w:sz w:val="22"/>
            <w:szCs w:val="22"/>
          </w:rPr>
          <w:t xml:space="preserve">28.6% of players identified as Latino and 27.8% were born outside the United States</w:t>
        </w:r>
      </w:hyperlink>
      <w:r>
        <w:rPr>
          <w:sz w:val="22"/>
          <w:szCs w:val="22"/>
        </w:rPr>
        <w:t xml:space="preserve">, led by 100 players from the Dominican Republic. In the stands, Hispanic fans make up roughly </w:t>
      </w:r>
      <w:hyperlink w:history="1" r:id="rIdyzx9sv9vp43i1_s08ho4y">
        <w:r>
          <w:rPr>
            <w:rStyle w:val="Hyperlink"/>
            <w:sz w:val="22"/>
            <w:szCs w:val="22"/>
          </w:rPr>
          <w:t xml:space="preserve">19% of the MLB fan base</w:t>
        </w:r>
      </w:hyperlink>
      <w:r>
        <w:rPr>
          <w:sz w:val="22"/>
          <w:szCs w:val="22"/>
        </w:rPr>
        <w:t xml:space="preserve">, and Latino sports fans overall skew dramatically younger and are among the </w:t>
      </w:r>
      <w:hyperlink w:history="1" r:id="rIdw7jzqdxbfu5jqsembwnjh">
        <w:r>
          <w:rPr>
            <w:rStyle w:val="Hyperlink"/>
            <w:sz w:val="22"/>
            <w:szCs w:val="22"/>
          </w:rPr>
          <w:t xml:space="preserve">fastest-growing commercial audiences in U.S. sports</w:t>
        </w:r>
      </w:hyperlink>
      <w:r>
        <w:rPr>
          <w:sz w:val="22"/>
          <w:szCs w:val="22"/>
        </w:rPr>
        <w:t xml:space="preserve">.</w:t>
      </w:r>
    </w:p>
    <w:p>
      <w:pPr>
        <w:spacing w:after="160" w:line="288"/>
      </w:pPr>
      <w:r>
        <w:rPr>
          <w:sz w:val="22"/>
          <w:szCs w:val="22"/>
        </w:rPr>
        <w:t xml:space="preserve">Now overlay that with where those consumers sit in the financial system. According to the FDIC’s 2023 national survey, </w:t>
      </w:r>
      <w:hyperlink w:history="1" r:id="rId_nbajvd223a_xuchnce0y">
        <w:r>
          <w:rPr>
            <w:rStyle w:val="Hyperlink"/>
            <w:sz w:val="22"/>
            <w:szCs w:val="22"/>
          </w:rPr>
          <w:t xml:space="preserve">9.5% of Hispanic households were unbanked</w:t>
        </w:r>
      </w:hyperlink>
      <w:r>
        <w:rPr>
          <w:sz w:val="22"/>
          <w:szCs w:val="22"/>
        </w:rPr>
        <w:t xml:space="preserve"> — more than double the 4.2% national rate — and roughly one in five Hispanic households were underbanked, versus 14.2% of households overall. These aren’t people who already carry five cards. Many are actively shopping for their first premium card, their first real banking relationship, their first credit-building product.</w:t>
      </w:r>
    </w:p>
    <w:p>
      <w:pPr>
        <w:spacing w:after="160" w:line="288"/>
      </w:pPr>
      <w:r>
        <w:rPr>
          <w:sz w:val="22"/>
          <w:szCs w:val="22"/>
        </w:rPr>
        <w:t xml:space="preserve">In other words, the sponsorship isn’t only reaching affluent travel-card holders. At its best, it’s reaching a high-lifetime-value, under-served, under-contested growth segment — the opposite of the zero-sum premium-card war everyone else is fighting.</w:t>
      </w:r>
    </w:p>
    <w:p>
      <w:pPr>
        <w:spacing w:after="160" w:line="288"/>
      </w:pPr>
      <w:r>
        <w:rPr>
          <w:sz w:val="22"/>
          <w:szCs w:val="22"/>
        </w:rPr>
        <w:t xml:space="preserve">Fandom is the acquisition signal. But you only capture the value if the follow-through earns trust — and in financial services, trust is built or broken in the customer’s own language.</w:t>
      </w:r>
    </w:p>
    <w:p>
      <w:pPr>
        <w:pStyle w:val="Heading2"/>
        <w:spacing w:after="120" w:before="260"/>
      </w:pPr>
      <w:r>
        <w:rPr>
          <w:b/>
          <w:bCs/>
          <w:color w:val="4B3FBF"/>
          <w:sz w:val="26"/>
          <w:szCs w:val="26"/>
        </w:rPr>
        <w:t xml:space="preserve">Why language is the conversion layer</w:t>
      </w:r>
    </w:p>
    <w:p>
      <w:pPr>
        <w:spacing w:after="160" w:line="288"/>
      </w:pPr>
      <w:r>
        <w:rPr>
          <w:sz w:val="22"/>
          <w:szCs w:val="22"/>
        </w:rPr>
        <w:t xml:space="preserve">The language gap is not a niche. About </w:t>
      </w:r>
      <w:hyperlink w:history="1" r:id="rId1nb55iq-trlpdymwbg6j-">
        <w:r>
          <w:rPr>
            <w:rStyle w:val="Hyperlink"/>
            <w:sz w:val="22"/>
            <w:szCs w:val="22"/>
          </w:rPr>
          <w:t xml:space="preserve">25.6 million U.S. residents — roughly 8% of people aged five and older — speak English less than “very well,”</w:t>
        </w:r>
      </w:hyperlink>
      <w:r>
        <w:rPr>
          <w:sz w:val="22"/>
          <w:szCs w:val="22"/>
        </w:rPr>
        <w:t xml:space="preserve"> and Spanish speakers are by far the largest such group, at around 16 million. A prospect who feels the brand at the ballpark and then hits an English-only application does not convert at the same rate. A cardholder who can’t get servicing, or dispute a charge, in their preferred language does not stay at the same rate.</w:t>
      </w:r>
    </w:p>
    <w:p>
      <w:pPr>
        <w:spacing w:after="160" w:line="288"/>
      </w:pPr>
      <w:r>
        <w:rPr>
          <w:sz w:val="22"/>
          <w:szCs w:val="22"/>
        </w:rPr>
        <w:t xml:space="preserve">This isn’t a brand-warmth argument. Localization shows up in the metrics issuers already report to the board:</w:t>
      </w:r>
    </w:p>
    <w:p>
      <w:pPr>
        <w:pStyle w:val="ListParagraph"/>
        <w:numPr>
          <w:ilvl w:val="0"/>
          <w:numId w:val="2"/>
        </w:numPr>
        <w:spacing w:after="90" w:line="288"/>
      </w:pPr>
      <w:r>
        <w:rPr>
          <w:b/>
          <w:bCs/>
          <w:sz w:val="22"/>
          <w:szCs w:val="22"/>
        </w:rPr>
        <w:t xml:space="preserve">Activation. </w:t>
      </w:r>
      <w:r>
        <w:rPr>
          <w:sz w:val="22"/>
          <w:szCs w:val="22"/>
        </w:rPr>
        <w:t xml:space="preserve">In-language, mobile-first onboarding reduces the drop-off between “approved” and “funded and actively using the card” — the most expensive gap in card economics.</w:t>
      </w:r>
    </w:p>
    <w:p>
      <w:pPr>
        <w:pStyle w:val="ListParagraph"/>
        <w:numPr>
          <w:ilvl w:val="0"/>
          <w:numId w:val="2"/>
        </w:numPr>
        <w:spacing w:after="90" w:line="288"/>
      </w:pPr>
      <w:r>
        <w:rPr>
          <w:b/>
          <w:bCs/>
          <w:sz w:val="22"/>
          <w:szCs w:val="22"/>
        </w:rPr>
        <w:t xml:space="preserve">Retention. </w:t>
      </w:r>
      <w:r>
        <w:rPr>
          <w:sz w:val="22"/>
          <w:szCs w:val="22"/>
        </w:rPr>
        <w:t xml:space="preserve">Servicing, disputes, and fraud alerts handled in the customer’s language reduce churn and the “sock-drawer” attrition where a card is opened and never used.</w:t>
      </w:r>
    </w:p>
    <w:p>
      <w:pPr>
        <w:pStyle w:val="ListParagraph"/>
        <w:numPr>
          <w:ilvl w:val="0"/>
          <w:numId w:val="2"/>
        </w:numPr>
        <w:spacing w:after="90" w:line="288"/>
      </w:pPr>
      <w:r>
        <w:rPr>
          <w:b/>
          <w:bCs/>
          <w:sz w:val="22"/>
          <w:szCs w:val="22"/>
        </w:rPr>
        <w:t xml:space="preserve">Compliance risk. </w:t>
      </w:r>
      <w:r>
        <w:rPr>
          <w:sz w:val="22"/>
          <w:szCs w:val="22"/>
        </w:rPr>
        <w:t xml:space="preserve">Clear, accurate disclosures aren’t just good CX. A mistranslated APR term, fee schedule, or fraud notice is a regulatory exposure, not a copy problem.</w:t>
      </w:r>
    </w:p>
    <w:p>
      <w:pPr>
        <w:pStyle w:val="ListParagraph"/>
        <w:numPr>
          <w:ilvl w:val="0"/>
          <w:numId w:val="2"/>
        </w:numPr>
        <w:spacing w:after="90" w:line="288"/>
      </w:pPr>
      <w:r>
        <w:rPr>
          <w:b/>
          <w:bCs/>
          <w:sz w:val="22"/>
          <w:szCs w:val="22"/>
        </w:rPr>
        <w:t xml:space="preserve">Referral growth. </w:t>
      </w:r>
      <w:r>
        <w:rPr>
          <w:sz w:val="22"/>
          <w:szCs w:val="22"/>
        </w:rPr>
        <w:t xml:space="preserve">In tight-knit multicultural communities, a trusted banking relationship travels by word of mouth. One well-served customer becomes a channel.</w:t>
      </w:r>
    </w:p>
    <w:p>
      <w:pPr>
        <w:spacing w:after="160" w:line="288"/>
      </w:pPr>
      <w:r>
        <w:rPr>
          <w:sz w:val="22"/>
          <w:szCs w:val="22"/>
        </w:rPr>
        <w:t xml:space="preserve">The sponsorship buys reach into the community. Language decides whether that reach becomes a relationship — a point TransPerfect has made about the broader </w:t>
      </w:r>
      <w:hyperlink w:history="1" r:id="rIdhu8sno5vmuw8cforyrpjk">
        <w:r>
          <w:rPr>
            <w:rStyle w:val="Hyperlink"/>
            <w:sz w:val="22"/>
            <w:szCs w:val="22"/>
          </w:rPr>
          <w:t xml:space="preserve">multicultural-banking growth opportunity</w:t>
        </w:r>
      </w:hyperlink>
      <w:r>
        <w:rPr>
          <w:sz w:val="22"/>
          <w:szCs w:val="22"/>
        </w:rPr>
        <w:t xml:space="preserve">.</w:t>
      </w:r>
    </w:p>
    <w:p>
      <w:pPr>
        <w:pStyle w:val="Heading2"/>
        <w:spacing w:after="120" w:before="260"/>
      </w:pPr>
      <w:r>
        <w:rPr>
          <w:b/>
          <w:bCs/>
          <w:color w:val="4B3FBF"/>
          <w:sz w:val="26"/>
          <w:szCs w:val="26"/>
        </w:rPr>
        <w:t xml:space="preserve">Doing it at scale — responsibly</w:t>
      </w:r>
    </w:p>
    <w:p>
      <w:pPr>
        <w:spacing w:after="160" w:line="288"/>
      </w:pPr>
      <w:r>
        <w:rPr>
          <w:sz w:val="22"/>
          <w:szCs w:val="22"/>
        </w:rPr>
        <w:t xml:space="preserve">The obvious objection is cost. Localizing an entire onboarding journey, a mobile app, real-time servicing, and a constantly changing library of disclosures across dozens of languages sounds like a program that can’t keep pace with the marketing.</w:t>
      </w:r>
    </w:p>
    <w:p>
      <w:pPr>
        <w:spacing w:after="160" w:line="288"/>
      </w:pPr>
      <w:r>
        <w:rPr>
          <w:sz w:val="22"/>
          <w:szCs w:val="22"/>
        </w:rPr>
        <w:t xml:space="preserve">It can now — but only with the right architecture. Modern AI and neural machine translation make it possible to </w:t>
      </w:r>
      <w:hyperlink w:history="1" r:id="rIdbeudsry1jx3wehqqbq-jl">
        <w:r>
          <w:rPr>
            <w:rStyle w:val="Hyperlink"/>
            <w:sz w:val="22"/>
            <w:szCs w:val="22"/>
          </w:rPr>
          <w:t xml:space="preserve">localize financial content at the speed and volume</w:t>
        </w:r>
      </w:hyperlink>
      <w:r>
        <w:rPr>
          <w:sz w:val="22"/>
          <w:szCs w:val="22"/>
        </w:rPr>
        <w:t xml:space="preserve"> these campaigns demand. The critical word is </w:t>
      </w:r>
      <w:r>
        <w:rPr>
          <w:i/>
          <w:iCs/>
          <w:sz w:val="22"/>
          <w:szCs w:val="22"/>
        </w:rPr>
        <w:t xml:space="preserve">responsibly</w:t>
      </w:r>
      <w:r>
        <w:rPr>
          <w:sz w:val="22"/>
          <w:szCs w:val="22"/>
        </w:rPr>
        <w:t xml:space="preserve">. In financial services, a fluent-sounding but subtly wrong translation of a rate, a legal term, or a fraud alert is worse than no translation at all. The model that works pairs AI-powered translation for scale and speed with </w:t>
      </w:r>
      <w:hyperlink w:history="1" r:id="rIdohkbetptbuom859rsspq0">
        <w:r>
          <w:rPr>
            <w:rStyle w:val="Hyperlink"/>
            <w:sz w:val="22"/>
            <w:szCs w:val="22"/>
          </w:rPr>
          <w:t xml:space="preserve">human expert oversight and compliance governance</w:t>
        </w:r>
      </w:hyperlink>
      <w:r>
        <w:rPr>
          <w:sz w:val="22"/>
          <w:szCs w:val="22"/>
        </w:rPr>
        <w:t xml:space="preserve"> for accuracy and accountability — automation where it’s safe, human judgment where it’s regulated.</w:t>
      </w:r>
    </w:p>
    <w:p>
      <w:pPr>
        <w:spacing w:after="160" w:line="288"/>
      </w:pPr>
      <w:r>
        <w:rPr>
          <w:sz w:val="22"/>
          <w:szCs w:val="22"/>
        </w:rPr>
        <w:t xml:space="preserve">That combination is what lets a bank match the tempo of a season-long sponsorship without turning its disclosures into liability.</w:t>
      </w:r>
    </w:p>
    <w:p>
      <w:pPr>
        <w:pStyle w:val="Heading2"/>
        <w:spacing w:after="120" w:before="260"/>
      </w:pPr>
      <w:r>
        <w:rPr>
          <w:b/>
          <w:bCs/>
          <w:color w:val="4B3FBF"/>
          <w:sz w:val="26"/>
          <w:szCs w:val="26"/>
        </w:rPr>
        <w:t xml:space="preserve">The takeaway for issuers</w:t>
      </w:r>
    </w:p>
    <w:p>
      <w:pPr>
        <w:spacing w:after="160" w:line="288"/>
      </w:pPr>
      <w:r>
        <w:rPr>
          <w:sz w:val="22"/>
          <w:szCs w:val="22"/>
        </w:rPr>
        <w:t xml:space="preserve">Capital One’s baseball bet is the right instinct for a commoditized market: when the product can’t differentiate, buy loyalty through experience. But experience is the top of the funnel, not the bottom. The brands that win the loyalty wars won’t just be the ones with the biggest activation at the All-Star Game — they’ll be the ones who meet the fan they just won in the language they actually trust, all the way through funding, servicing, and the next ten years of the relationship.</w:t>
      </w:r>
    </w:p>
    <w:p>
      <w:pPr>
        <w:spacing w:after="160" w:line="288"/>
      </w:pPr>
      <w:r>
        <w:rPr>
          <w:b/>
          <w:bCs/>
          <w:sz w:val="22"/>
          <w:szCs w:val="22"/>
        </w:rPr>
        <w:t xml:space="preserve">Passion gets you noticed. Language gets you kept.</w:t>
      </w:r>
    </w:p>
    <w:p>
      <w:pPr>
        <w:pBdr>
          <w:bottom w:val="single" w:color="CCCCCC" w:sz="6" w:space="1"/>
        </w:pBdr>
        <w:spacing w:after="160" w:before="160"/>
      </w:pPr>
      <w:r>
        <w:t xml:space="preserve"/>
      </w:r>
    </w:p>
    <w:p>
      <w:pPr>
        <w:spacing w:after="160" w:line="288"/>
      </w:pPr>
      <w:r>
        <w:rPr>
          <w:i/>
          <w:iCs/>
          <w:sz w:val="22"/>
          <w:szCs w:val="22"/>
        </w:rPr>
        <w:t xml:space="preserve">TransPerfect helps card issuers, retail banks, credit unions, and fintechs deliver secure, compliant, in-language customer experiences at scale — from multilingual onboarding and apps to servicing and disclosures. </w:t>
      </w:r>
      <w:hyperlink w:history="1" r:id="rIdqbjurq40gdbbdntrsl3um">
        <w:r>
          <w:rPr>
            <w:rStyle w:val="Hyperlink"/>
            <w:sz w:val="22"/>
            <w:szCs w:val="22"/>
          </w:rPr>
          <w:t xml:space="preserve">Explore our finance and banking language solutions »</w:t>
        </w:r>
      </w:hyperlink>
    </w:p>
    <w:p>
      <w:pPr>
        <w:pStyle w:val="Heading1"/>
        <w:pageBreakBefore/>
        <w:spacing w:after="120"/>
      </w:pPr>
      <w:r>
        <w:rPr>
          <w:b/>
          <w:bCs/>
          <w:color w:val="1A1A2E"/>
          <w:sz w:val="30"/>
          <w:szCs w:val="30"/>
        </w:rPr>
        <w:t xml:space="preserve">Full reference list</w:t>
      </w:r>
    </w:p>
    <w:p>
      <w:pPr>
        <w:spacing w:after="160" w:line="288"/>
      </w:pPr>
      <w:r>
        <w:rPr>
          <w:i/>
          <w:iCs/>
          <w:color w:val="777777"/>
          <w:sz w:val="20"/>
          <w:szCs w:val="20"/>
        </w:rPr>
        <w:t xml:space="preserve">Every claim above links inline to its source; the same references, with corroborating outlets, are collected here.</w:t>
      </w:r>
    </w:p>
    <w:p>
      <w:pPr>
        <w:pStyle w:val="ListParagraph"/>
        <w:numPr>
          <w:ilvl w:val="0"/>
          <w:numId w:val="2"/>
        </w:numPr>
        <w:spacing w:after="110" w:line="276"/>
      </w:pPr>
      <w:r>
        <w:rPr>
          <w:sz w:val="20"/>
          <w:szCs w:val="20"/>
        </w:rPr>
        <w:t xml:space="preserve">MLB reaches a $125M sponsorship deal with Capital One (CNBC, Mar 28 2022) — </w:t>
      </w:r>
      <w:hyperlink w:history="1" r:id="rIdfhoswtn7kb-_zgo_xcnaj">
        <w:r>
          <w:rPr>
            <w:rStyle w:val="Hyperlink"/>
            <w:sz w:val="20"/>
            <w:szCs w:val="20"/>
          </w:rPr>
          <w:t xml:space="preserve">https://www.cnbc.com/2022/03/28/mlb-reaches-125-million-sponsorship-deal-with-capital-one.html</w:t>
        </w:r>
      </w:hyperlink>
      <w:r>
        <w:rPr>
          <w:sz w:val="20"/>
          <w:szCs w:val="20"/>
        </w:rPr>
        <w:t xml:space="preserve">  ·  Capital One Newsroom: </w:t>
      </w:r>
      <w:hyperlink w:history="1" r:id="rIdzr9bq1xl0fvv4v3-wmaz7">
        <w:r>
          <w:rPr>
            <w:rStyle w:val="Hyperlink"/>
            <w:sz w:val="20"/>
            <w:szCs w:val="20"/>
          </w:rPr>
          <w:t xml:space="preserve">https://www.capitalone.com/about/newsroom/mlb-partnership/</w:t>
        </w:r>
      </w:hyperlink>
    </w:p>
    <w:p>
      <w:pPr>
        <w:pStyle w:val="ListParagraph"/>
        <w:numPr>
          <w:ilvl w:val="0"/>
          <w:numId w:val="2"/>
        </w:numPr>
        <w:spacing w:after="110" w:line="276"/>
      </w:pPr>
      <w:r>
        <w:rPr>
          <w:sz w:val="20"/>
          <w:szCs w:val="20"/>
        </w:rPr>
        <w:t xml:space="preserve">Capital One’s big bet on baseball and the credit card loyalty wars (Fortune, Jul 25 2026) — </w:t>
      </w:r>
      <w:hyperlink w:history="1" r:id="rId0mbaaswvph9q424quc_s2">
        <w:r>
          <w:rPr>
            <w:rStyle w:val="Hyperlink"/>
            <w:sz w:val="20"/>
            <w:szCs w:val="20"/>
          </w:rPr>
          <w:t xml:space="preserve">https://fortune.com/2026/07/25/capital-one-bet-mlb-baseball-think-can-help-win-credit-card-loyalty-wars/</w:t>
        </w:r>
      </w:hyperlink>
      <w:r>
        <w:rPr>
          <w:sz w:val="20"/>
          <w:szCs w:val="20"/>
        </w:rPr>
        <w:t xml:space="preserve">  ·  eMarketer: </w:t>
      </w:r>
      <w:hyperlink w:history="1" r:id="rIdpkbmxhicemvtcyib80vue">
        <w:r>
          <w:rPr>
            <w:rStyle w:val="Hyperlink"/>
            <w:sz w:val="20"/>
            <w:szCs w:val="20"/>
          </w:rPr>
          <w:t xml:space="preserve">https://www.emarketer.com/content/capital-one-strikes-deal-with-mlb-boost-cardholder-perks</w:t>
        </w:r>
      </w:hyperlink>
    </w:p>
    <w:p>
      <w:pPr>
        <w:pStyle w:val="ListParagraph"/>
        <w:numPr>
          <w:ilvl w:val="0"/>
          <w:numId w:val="2"/>
        </w:numPr>
        <w:spacing w:after="110" w:line="276"/>
      </w:pPr>
      <w:r>
        <w:rPr>
          <w:sz w:val="20"/>
          <w:szCs w:val="20"/>
        </w:rPr>
        <w:t xml:space="preserve">Capital One’s MLB partnership turning fan experiences into long-term value (Fortune, Jul 27 2026) — </w:t>
      </w:r>
      <w:hyperlink w:history="1" r:id="rIdoweite7vzva5cmwj_gogv">
        <w:r>
          <w:rPr>
            <w:rStyle w:val="Hyperlink"/>
            <w:sz w:val="20"/>
            <w:szCs w:val="20"/>
          </w:rPr>
          <w:t xml:space="preserve">https://fortune.com/2026/07/27/capital-one-mlb-partnership-turning-fan-experiences-into-long-term-customer-value/</w:t>
        </w:r>
      </w:hyperlink>
    </w:p>
    <w:p>
      <w:pPr>
        <w:pStyle w:val="ListParagraph"/>
        <w:numPr>
          <w:ilvl w:val="0"/>
          <w:numId w:val="2"/>
        </w:numPr>
        <w:spacing w:after="110" w:line="276"/>
      </w:pPr>
      <w:r>
        <w:rPr>
          <w:sz w:val="20"/>
          <w:szCs w:val="20"/>
        </w:rPr>
        <w:t xml:space="preserve">MLB All-Star Village breaks records with more than 111,000 visitors (Forbes, Jul 18 2026) — </w:t>
      </w:r>
      <w:hyperlink w:history="1" r:id="rIdyaw8sqxgeoeeiu1gsj109">
        <w:r>
          <w:rPr>
            <w:rStyle w:val="Hyperlink"/>
            <w:sz w:val="20"/>
            <w:szCs w:val="20"/>
          </w:rPr>
          <w:t xml:space="preserve">https://www.forbes.com/sites/danfreedman/2026/07/18/mlb-all-star-village-breaks-records-and-had-more-than-111000-visitors/</w:t>
        </w:r>
      </w:hyperlink>
    </w:p>
    <w:p>
      <w:pPr>
        <w:pStyle w:val="ListParagraph"/>
        <w:numPr>
          <w:ilvl w:val="0"/>
          <w:numId w:val="2"/>
        </w:numPr>
        <w:spacing w:after="110" w:line="276"/>
      </w:pPr>
      <w:r>
        <w:rPr>
          <w:sz w:val="20"/>
          <w:szCs w:val="20"/>
        </w:rPr>
        <w:t xml:space="preserve">Opening Day rosters feature 265 internationally born players — 27.8% of players; 28.6% Latino (MLB.com, 2025) — </w:t>
      </w:r>
      <w:hyperlink w:history="1" r:id="rIdgqv7cmzmpmuviktfhxw_i">
        <w:r>
          <w:rPr>
            <w:rStyle w:val="Hyperlink"/>
            <w:sz w:val="20"/>
            <w:szCs w:val="20"/>
          </w:rPr>
          <w:t xml:space="preserve">https://www.mlb.com/press-release/press-release-opening-day-rosters-feature-265-internationally-born-players</w:t>
        </w:r>
      </w:hyperlink>
    </w:p>
    <w:p>
      <w:pPr>
        <w:pStyle w:val="ListParagraph"/>
        <w:numPr>
          <w:ilvl w:val="0"/>
          <w:numId w:val="2"/>
        </w:numPr>
        <w:spacing w:after="110" w:line="276"/>
      </w:pPr>
      <w:r>
        <w:rPr>
          <w:sz w:val="20"/>
          <w:szCs w:val="20"/>
        </w:rPr>
        <w:t xml:space="preserve">Share of MLB fans by ethnicity, ~19% Hispanic (Statista, 2024) — </w:t>
      </w:r>
      <w:hyperlink w:history="1" r:id="rIdjwamvrg1t2rldx0bovxkd">
        <w:r>
          <w:rPr>
            <w:rStyle w:val="Hyperlink"/>
            <w:sz w:val="20"/>
            <w:szCs w:val="20"/>
          </w:rPr>
          <w:t xml:space="preserve">https://www.statista.com/statistics/1478858/mlb-fans-ethnicity/</w:t>
        </w:r>
      </w:hyperlink>
    </w:p>
    <w:p>
      <w:pPr>
        <w:pStyle w:val="ListParagraph"/>
        <w:numPr>
          <w:ilvl w:val="0"/>
          <w:numId w:val="2"/>
        </w:numPr>
        <w:spacing w:after="110" w:line="276"/>
      </w:pPr>
      <w:r>
        <w:rPr>
          <w:sz w:val="20"/>
          <w:szCs w:val="20"/>
        </w:rPr>
        <w:t xml:space="preserve">Unlocking the growing power of Latino fans (McKinsey) — </w:t>
      </w:r>
      <w:hyperlink w:history="1" r:id="rIdhik65k7ofgx9nyfp5s3y8">
        <w:r>
          <w:rPr>
            <w:rStyle w:val="Hyperlink"/>
            <w:sz w:val="20"/>
            <w:szCs w:val="20"/>
          </w:rPr>
          <w:t xml:space="preserve">https://www.mckinsey.com/institute-for-economic-mobility/our-insights/unlocking-the-growing-power-of-latino-fans-building-a-stronger-sports-economy</w:t>
        </w:r>
      </w:hyperlink>
      <w:r>
        <w:rPr>
          <w:sz w:val="20"/>
          <w:szCs w:val="20"/>
        </w:rPr>
        <w:t xml:space="preserve">  ·  Nielsen via Sportico: </w:t>
      </w:r>
      <w:hyperlink w:history="1" r:id="rIdoi2ai1dqunwkm2m6bc3ym">
        <w:r>
          <w:rPr>
            <w:rStyle w:val="Hyperlink"/>
            <w:sz w:val="20"/>
            <w:szCs w:val="20"/>
          </w:rPr>
          <w:t xml:space="preserve">https://www.sportico.com/business/commerce/2024/nielsen-study-latino-sports-fans-market-1234798334/</w:t>
        </w:r>
      </w:hyperlink>
    </w:p>
    <w:p>
      <w:pPr>
        <w:pStyle w:val="ListParagraph"/>
        <w:numPr>
          <w:ilvl w:val="0"/>
          <w:numId w:val="2"/>
        </w:numPr>
        <w:spacing w:after="110" w:line="276"/>
      </w:pPr>
      <w:r>
        <w:rPr>
          <w:sz w:val="20"/>
          <w:szCs w:val="20"/>
        </w:rPr>
        <w:t xml:space="preserve">2023 FDIC National Survey of Unbanked and Underbanked Households (FDIC) — </w:t>
      </w:r>
      <w:hyperlink w:history="1" r:id="rIdmhixxvnicnunqlmj7urwx">
        <w:r>
          <w:rPr>
            <w:rStyle w:val="Hyperlink"/>
            <w:sz w:val="20"/>
            <w:szCs w:val="20"/>
          </w:rPr>
          <w:t xml:space="preserve">https://www.fdic.gov/household-survey</w:t>
        </w:r>
      </w:hyperlink>
      <w:r>
        <w:rPr>
          <w:sz w:val="20"/>
          <w:szCs w:val="20"/>
        </w:rPr>
        <w:t xml:space="preserve">  ·  Press release: </w:t>
      </w:r>
      <w:hyperlink w:history="1" r:id="rIdphrvooklde7ush4qmhlum">
        <w:r>
          <w:rPr>
            <w:rStyle w:val="Hyperlink"/>
            <w:sz w:val="20"/>
            <w:szCs w:val="20"/>
          </w:rPr>
          <w:t xml:space="preserve">https://www.fdic.gov/news/press-releases/2024/fdic-survey-finds-96-percent-us-households-were-banked-2023</w:t>
        </w:r>
      </w:hyperlink>
    </w:p>
    <w:p>
      <w:pPr>
        <w:pStyle w:val="ListParagraph"/>
        <w:numPr>
          <w:ilvl w:val="0"/>
          <w:numId w:val="2"/>
        </w:numPr>
        <w:spacing w:after="110" w:line="276"/>
      </w:pPr>
      <w:r>
        <w:rPr>
          <w:sz w:val="20"/>
          <w:szCs w:val="20"/>
        </w:rPr>
        <w:t xml:space="preserve">People who speak English less than “very well,” ~25.6M / ~8% (U.S. Census Bureau) — </w:t>
      </w:r>
      <w:hyperlink w:history="1" r:id="rIdwxu_44mpueetxirgrz1od">
        <w:r>
          <w:rPr>
            <w:rStyle w:val="Hyperlink"/>
            <w:sz w:val="20"/>
            <w:szCs w:val="20"/>
          </w:rPr>
          <w:t xml:space="preserve">https://www.census.gov/library/visualizations/interactive/people-that-speak-english-less-than-very-well.html</w:t>
        </w:r>
      </w:hyperlink>
      <w:r>
        <w:rPr>
          <w:sz w:val="20"/>
          <w:szCs w:val="20"/>
        </w:rPr>
        <w:t xml:space="preserve">  ·  Migration Policy Institute: </w:t>
      </w:r>
      <w:hyperlink w:history="1" r:id="rId3zkzdvorfi4m-8lyrpyg1">
        <w:r>
          <w:rPr>
            <w:rStyle w:val="Hyperlink"/>
            <w:sz w:val="20"/>
            <w:szCs w:val="20"/>
          </w:rPr>
          <w:t xml:space="preserve">https://www.migrationpolicy.org/article/language-diversity-and-english-proficiency-united-states</w:t>
        </w:r>
      </w:hyperlink>
    </w:p>
    <w:p>
      <w:pPr>
        <w:pStyle w:val="ListParagraph"/>
        <w:numPr>
          <w:ilvl w:val="0"/>
          <w:numId w:val="2"/>
        </w:numPr>
        <w:spacing w:after="110" w:line="276"/>
      </w:pPr>
      <w:r>
        <w:rPr>
          <w:sz w:val="20"/>
          <w:szCs w:val="20"/>
        </w:rPr>
        <w:t xml:space="preserve">What New York’s minority banking push means for CX and growth (TransPerfect) — </w:t>
      </w:r>
      <w:hyperlink w:history="1" r:id="rIdiehch7endpwkqgayw9vey">
        <w:r>
          <w:rPr>
            <w:rStyle w:val="Hyperlink"/>
            <w:sz w:val="20"/>
            <w:szCs w:val="20"/>
          </w:rPr>
          <w:t xml:space="preserve">https://www.transperfect.com/blog/what-new-yorks-minority-banking-push-means-customer-experience-and-growth</w:t>
        </w:r>
      </w:hyperlink>
    </w:p>
    <w:p>
      <w:pPr>
        <w:pStyle w:val="ListParagraph"/>
        <w:numPr>
          <w:ilvl w:val="0"/>
          <w:numId w:val="2"/>
        </w:numPr>
        <w:spacing w:after="110" w:line="276"/>
      </w:pPr>
      <w:r>
        <w:rPr>
          <w:sz w:val="20"/>
          <w:szCs w:val="20"/>
        </w:rPr>
        <w:t xml:space="preserve">Future of FinTech: How to Monetize Multilingual (TransPerfect) — </w:t>
      </w:r>
      <w:hyperlink w:history="1" r:id="rIdaagpqw07fsakkea-yx62h">
        <w:r>
          <w:rPr>
            <w:rStyle w:val="Hyperlink"/>
            <w:sz w:val="20"/>
            <w:szCs w:val="20"/>
          </w:rPr>
          <w:t xml:space="preserve">https://www.transperfect.com/blog/future-fintech-how-monetize-multilingual</w:t>
        </w:r>
      </w:hyperlink>
    </w:p>
    <w:p>
      <w:pPr>
        <w:pStyle w:val="ListParagraph"/>
        <w:numPr>
          <w:ilvl w:val="0"/>
          <w:numId w:val="2"/>
        </w:numPr>
        <w:spacing w:after="110" w:line="276"/>
      </w:pPr>
      <w:r>
        <w:rPr>
          <w:sz w:val="20"/>
          <w:szCs w:val="20"/>
        </w:rPr>
        <w:t xml:space="preserve">AI in Financial Services — the 2026 horizon (TransPerfect) — </w:t>
      </w:r>
      <w:hyperlink w:history="1" r:id="rIdggntg15u82pk-8tby_4d9">
        <w:r>
          <w:rPr>
            <w:rStyle w:val="Hyperlink"/>
            <w:sz w:val="20"/>
            <w:szCs w:val="20"/>
          </w:rPr>
          <w:t xml:space="preserve">https://www.transperfect.com/blog/horizon-financial-services-2026</w:t>
        </w:r>
      </w:hyperlink>
    </w:p>
    <w:p>
      <w:pPr>
        <w:pStyle w:val="Heading2"/>
        <w:spacing w:after="120" w:before="260"/>
      </w:pPr>
      <w:r>
        <w:rPr>
          <w:b/>
          <w:bCs/>
          <w:color w:val="4B3FBF"/>
          <w:sz w:val="26"/>
          <w:szCs w:val="26"/>
        </w:rPr>
        <w:t xml:space="preserve">Sourcing notes (for the editor)</w:t>
      </w:r>
    </w:p>
    <w:p>
      <w:pPr>
        <w:pStyle w:val="ListParagraph"/>
        <w:numPr>
          <w:ilvl w:val="0"/>
          <w:numId w:val="2"/>
        </w:numPr>
        <w:spacing w:after="90" w:line="288"/>
      </w:pPr>
      <w:r>
        <w:rPr>
          <w:sz w:val="22"/>
          <w:szCs w:val="22"/>
        </w:rPr>
        <w:t xml:space="preserve">Every quantitative claim is hyperlinked in text to its source. Figures were cross-checked across at least two independent outlets before inclusion; primary sources (FDIC, U.S. Census Bureau, MLB.com, CNBC, Capital One Newsroom) are linked directly where available.</w:t>
      </w:r>
    </w:p>
    <w:p>
      <w:pPr>
        <w:pStyle w:val="ListParagraph"/>
        <w:numPr>
          <w:ilvl w:val="0"/>
          <w:numId w:val="2"/>
        </w:numPr>
        <w:spacing w:after="90" w:line="288"/>
      </w:pPr>
      <w:r>
        <w:rPr>
          <w:sz w:val="22"/>
          <w:szCs w:val="22"/>
        </w:rPr>
        <w:t xml:space="preserve">The $125M / five-year figure and the “official bank and credit card partner / World Series presenting sponsor” framing come from the March 2022 announcement (CNBC; Capital One Newsroom).</w:t>
      </w:r>
    </w:p>
    <w:p>
      <w:pPr>
        <w:pStyle w:val="ListParagraph"/>
        <w:numPr>
          <w:ilvl w:val="0"/>
          <w:numId w:val="2"/>
        </w:numPr>
        <w:spacing w:after="90" w:line="288"/>
      </w:pPr>
      <w:r>
        <w:rPr>
          <w:sz w:val="22"/>
          <w:szCs w:val="22"/>
        </w:rPr>
        <w:t xml:space="preserve">The 111,616 All-Star Village attendance figure and the “highest since 2022” comparison are reported by Forbes and Fortune; treat as MLB-reported attendance.</w:t>
      </w:r>
    </w:p>
    <w:p>
      <w:pPr>
        <w:pStyle w:val="ListParagraph"/>
        <w:numPr>
          <w:ilvl w:val="0"/>
          <w:numId w:val="2"/>
        </w:numPr>
        <w:spacing w:after="90" w:line="288"/>
      </w:pPr>
      <w:r>
        <w:rPr>
          <w:sz w:val="22"/>
          <w:szCs w:val="22"/>
        </w:rPr>
        <w:t xml:space="preserve">FDIC figures are from the 2023 survey wave (released Nov 2024), the most recent available as of this draft.</w:t>
      </w:r>
    </w:p>
    <w:p>
      <w:pPr>
        <w:pStyle w:val="ListParagraph"/>
        <w:numPr>
          <w:ilvl w:val="0"/>
          <w:numId w:val="2"/>
        </w:numPr>
        <w:spacing w:after="90" w:line="288"/>
      </w:pPr>
      <w:r>
        <w:rPr>
          <w:sz w:val="22"/>
          <w:szCs w:val="22"/>
        </w:rPr>
        <w:t xml:space="preserve">MLB player demographics are 2025 Opening Day rosters; fan-base ethnicity is a 2024 survey (Statista). Verify against the current season before publishing if this runs in a later cycle.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o_qmxevj41ltgtpklyi" Type="http://schemas.openxmlformats.org/officeDocument/2006/relationships/hyperlink" Target="https://www.cnbc.com/2022/03/28/mlb-reaches-125-million-sponsorship-deal-with-capital-one.html" TargetMode="External"/><Relationship Id="rIdlznxsnxmfrm5eb5pvqg85" Type="http://schemas.openxmlformats.org/officeDocument/2006/relationships/hyperlink" Target="https://www.capitalone.com/about/newsroom/mlb-partnership/" TargetMode="External"/><Relationship Id="rIdihzkvivutvtz6ocwh5nxz" Type="http://schemas.openxmlformats.org/officeDocument/2006/relationships/hyperlink" Target="https://fortune.com/2026/07/25/capital-one-bet-mlb-baseball-think-can-help-win-credit-card-loyalty-wars/" TargetMode="External"/><Relationship Id="rIdvl_4vs3waytut7johnaly" Type="http://schemas.openxmlformats.org/officeDocument/2006/relationships/hyperlink" Target="https://www.forbes.com/sites/danfreedman/2026/07/18/mlb-all-star-village-breaks-records-and-had-more-than-111000-visitors/" TargetMode="External"/><Relationship Id="rIdydp7w3rwmzdpiapnrscdo" Type="http://schemas.openxmlformats.org/officeDocument/2006/relationships/hyperlink" Target="https://fortune.com/2026/07/27/capital-one-mlb-partnership-turning-fan-experiences-into-long-term-customer-value/" TargetMode="External"/><Relationship Id="rIdzogcmiuc_afqn6uuygeqz" Type="http://schemas.openxmlformats.org/officeDocument/2006/relationships/hyperlink" Target="https://www.emarketer.com/content/capital-one-strikes-deal-with-mlb-boost-cardholder-perks" TargetMode="External"/><Relationship Id="rIdbrd5n_y3ytl3_txwatelo" Type="http://schemas.openxmlformats.org/officeDocument/2006/relationships/hyperlink" Target="https://www.mlb.com/press-release/press-release-opening-day-rosters-feature-265-internationally-born-players" TargetMode="External"/><Relationship Id="rIdyzx9sv9vp43i1_s08ho4y" Type="http://schemas.openxmlformats.org/officeDocument/2006/relationships/hyperlink" Target="https://www.statista.com/statistics/1478858/mlb-fans-ethnicity/" TargetMode="External"/><Relationship Id="rIdw7jzqdxbfu5jqsembwnjh" Type="http://schemas.openxmlformats.org/officeDocument/2006/relationships/hyperlink" Target="https://www.mckinsey.com/institute-for-economic-mobility/our-insights/unlocking-the-growing-power-of-latino-fans-building-a-stronger-sports-economy" TargetMode="External"/><Relationship Id="rId_nbajvd223a_xuchnce0y" Type="http://schemas.openxmlformats.org/officeDocument/2006/relationships/hyperlink" Target="https://www.fdic.gov/household-survey" TargetMode="External"/><Relationship Id="rId1nb55iq-trlpdymwbg6j-" Type="http://schemas.openxmlformats.org/officeDocument/2006/relationships/hyperlink" Target="https://www.census.gov/library/visualizations/interactive/people-that-speak-english-less-than-very-well.html" TargetMode="External"/><Relationship Id="rIdhu8sno5vmuw8cforyrpjk" Type="http://schemas.openxmlformats.org/officeDocument/2006/relationships/hyperlink" Target="https://www.transperfect.com/blog/what-new-yorks-minority-banking-push-means-customer-experience-and-growth" TargetMode="External"/><Relationship Id="rIdbeudsry1jx3wehqqbq-jl" Type="http://schemas.openxmlformats.org/officeDocument/2006/relationships/hyperlink" Target="https://www.transperfect.com/blog/future-fintech-how-monetize-multilingual" TargetMode="External"/><Relationship Id="rIdohkbetptbuom859rsspq0" Type="http://schemas.openxmlformats.org/officeDocument/2006/relationships/hyperlink" Target="https://www.transperfect.com/blog/horizon-financial-services-2026" TargetMode="External"/><Relationship Id="rIdqbjurq40gdbbdntrsl3um" Type="http://schemas.openxmlformats.org/officeDocument/2006/relationships/hyperlink" Target="https://www.transperfect.com/industries/finance-and-banking" TargetMode="External"/><Relationship Id="rIdfhoswtn7kb-_zgo_xcnaj" Type="http://schemas.openxmlformats.org/officeDocument/2006/relationships/hyperlink" Target="https://www.cnbc.com/2022/03/28/mlb-reaches-125-million-sponsorship-deal-with-capital-one.html" TargetMode="External"/><Relationship Id="rIdzr9bq1xl0fvv4v3-wmaz7" Type="http://schemas.openxmlformats.org/officeDocument/2006/relationships/hyperlink" Target="https://www.capitalone.com/about/newsroom/mlb-partnership/" TargetMode="External"/><Relationship Id="rId0mbaaswvph9q424quc_s2" Type="http://schemas.openxmlformats.org/officeDocument/2006/relationships/hyperlink" Target="https://fortune.com/2026/07/25/capital-one-bet-mlb-baseball-think-can-help-win-credit-card-loyalty-wars/" TargetMode="External"/><Relationship Id="rIdpkbmxhicemvtcyib80vue" Type="http://schemas.openxmlformats.org/officeDocument/2006/relationships/hyperlink" Target="https://www.emarketer.com/content/capital-one-strikes-deal-with-mlb-boost-cardholder-perks" TargetMode="External"/><Relationship Id="rIdoweite7vzva5cmwj_gogv" Type="http://schemas.openxmlformats.org/officeDocument/2006/relationships/hyperlink" Target="https://fortune.com/2026/07/27/capital-one-mlb-partnership-turning-fan-experiences-into-long-term-customer-value/" TargetMode="External"/><Relationship Id="rIdyaw8sqxgeoeeiu1gsj109" Type="http://schemas.openxmlformats.org/officeDocument/2006/relationships/hyperlink" Target="https://www.forbes.com/sites/danfreedman/2026/07/18/mlb-all-star-village-breaks-records-and-had-more-than-111000-visitors/" TargetMode="External"/><Relationship Id="rIdgqv7cmzmpmuviktfhxw_i" Type="http://schemas.openxmlformats.org/officeDocument/2006/relationships/hyperlink" Target="https://www.mlb.com/press-release/press-release-opening-day-rosters-feature-265-internationally-born-players" TargetMode="External"/><Relationship Id="rIdjwamvrg1t2rldx0bovxkd" Type="http://schemas.openxmlformats.org/officeDocument/2006/relationships/hyperlink" Target="https://www.statista.com/statistics/1478858/mlb-fans-ethnicity/" TargetMode="External"/><Relationship Id="rIdhik65k7ofgx9nyfp5s3y8" Type="http://schemas.openxmlformats.org/officeDocument/2006/relationships/hyperlink" Target="https://www.mckinsey.com/institute-for-economic-mobility/our-insights/unlocking-the-growing-power-of-latino-fans-building-a-stronger-sports-economy" TargetMode="External"/><Relationship Id="rIdoi2ai1dqunwkm2m6bc3ym" Type="http://schemas.openxmlformats.org/officeDocument/2006/relationships/hyperlink" Target="https://www.sportico.com/business/commerce/2024/nielsen-study-latino-sports-fans-market-1234798334/" TargetMode="External"/><Relationship Id="rIdmhixxvnicnunqlmj7urwx" Type="http://schemas.openxmlformats.org/officeDocument/2006/relationships/hyperlink" Target="https://www.fdic.gov/household-survey" TargetMode="External"/><Relationship Id="rIdphrvooklde7ush4qmhlum" Type="http://schemas.openxmlformats.org/officeDocument/2006/relationships/hyperlink" Target="https://www.fdic.gov/news/press-releases/2024/fdic-survey-finds-96-percent-us-households-were-banked-2023" TargetMode="External"/><Relationship Id="rIdwxu_44mpueetxirgrz1od" Type="http://schemas.openxmlformats.org/officeDocument/2006/relationships/hyperlink" Target="https://www.census.gov/library/visualizations/interactive/people-that-speak-english-less-than-very-well.html" TargetMode="External"/><Relationship Id="rId3zkzdvorfi4m-8lyrpyg1" Type="http://schemas.openxmlformats.org/officeDocument/2006/relationships/hyperlink" Target="https://www.migrationpolicy.org/article/language-diversity-and-english-proficiency-united-states" TargetMode="External"/><Relationship Id="rIdiehch7endpwkqgayw9vey" Type="http://schemas.openxmlformats.org/officeDocument/2006/relationships/hyperlink" Target="https://www.transperfect.com/blog/what-new-yorks-minority-banking-push-means-customer-experience-and-growth" TargetMode="External"/><Relationship Id="rIdaagpqw07fsakkea-yx62h" Type="http://schemas.openxmlformats.org/officeDocument/2006/relationships/hyperlink" Target="https://www.transperfect.com/blog/future-fintech-how-monetize-multilingual" TargetMode="External"/><Relationship Id="rIdggntg15u82pk-8tby_4d9" Type="http://schemas.openxmlformats.org/officeDocument/2006/relationships/hyperlink" Target="https://www.transperfect.com/blog/horizon-financial-services-2026"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Buying Loyalty in a Second Language</dc:title>
  <dc:creator>FinServ Blog Bot</dc:creator>
  <dc:description>Draft for the TransPerfect Financial Services blog</dc:description>
  <cp:lastModifiedBy>Un-named</cp:lastModifiedBy>
  <cp:revision>1</cp:revision>
  <dcterms:created xsi:type="dcterms:W3CDTF">2026-08-05T20:21:10.314Z</dcterms:created>
  <dcterms:modified xsi:type="dcterms:W3CDTF">2026-08-05T20:21:10.334Z</dcterms:modified>
</cp:coreProperties>
</file>

<file path=docProps/custom.xml><?xml version="1.0" encoding="utf-8"?>
<Properties xmlns="http://schemas.openxmlformats.org/officeDocument/2006/custom-properties" xmlns:vt="http://schemas.openxmlformats.org/officeDocument/2006/docPropsVTypes"/>
</file>