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2E"/>
          <w:sz w:val="40"/>
          <w:szCs w:val="40"/>
        </w:rPr>
        <w:t xml:space="preserve">Buying Loyalty in a Second Language</w:t>
      </w:r>
    </w:p>
    <w:p>
      <w:pPr>
        <w:spacing w:after="120"/>
      </w:pPr>
      <w:r>
        <w:rPr>
          <w:b/>
          <w:bCs/>
          <w:color w:val="4B3FBF"/>
          <w:sz w:val="30"/>
          <w:szCs w:val="30"/>
        </w:rPr>
        <w:t xml:space="preserve">What Capital One’s MLB Bet Teaches Banks About Multicultural Trust</w:t>
      </w:r>
    </w:p>
    <w:p>
      <w:pPr>
        <w:spacing w:after="160" w:line="288"/>
      </w:pPr>
      <w:r>
        <w:rPr>
          <w:i/>
          <w:iCs/>
          <w:color w:val="555555"/>
          <w:sz w:val="22"/>
          <w:szCs w:val="22"/>
        </w:rPr>
        <w:t xml:space="preserve">How financial brands turn a sponsorship moment into a funded, retained account, and why language is the conversion layer most issuers aren’t pricing.</w:t>
      </w:r>
    </w:p>
    <w:p>
      <w:pPr>
        <w:spacing w:after="160" w:line="288"/>
      </w:pPr>
      <w:r>
        <w:rPr>
          <w:i/>
          <w:iCs/>
          <w:color w:val="777777"/>
          <w:sz w:val="20"/>
          <w:szCs w:val="20"/>
        </w:rPr>
        <w:t xml:space="preserve">Draft for the TransPerfect Financial Services blog  ·  Last updated: 2026-08-06</w:t>
      </w:r>
    </w:p>
    <w:p>
      <w:pPr>
        <w:spacing w:after="140"/>
      </w:pPr>
      <w:r>
        <w:rPr>
          <w:i/>
          <w:iCs/>
          <w:color w:val="777777"/>
          <w:sz w:val="20"/>
          <w:szCs w:val="20"/>
        </w:rPr>
        <w:t xml:space="preserve">Source links are embedded inline on the underlined text; a full reference list follows at the end.</w:t>
      </w:r>
    </w:p>
    <w:p>
      <w:pPr>
        <w:pBdr>
          <w:bottom w:val="single" w:color="CCCCCC" w:sz="6" w:space="1"/>
        </w:pBdr>
        <w:spacing w:after="160" w:before="160"/>
      </w:pPr>
      <w:r>
        <w:t xml:space="preserve"/>
      </w:r>
    </w:p>
    <w:p>
      <w:pPr>
        <w:spacing w:after="160" w:line="288"/>
      </w:pPr>
      <w:r>
        <w:rPr>
          <w:sz w:val="22"/>
          <w:szCs w:val="22"/>
        </w:rPr>
        <w:t xml:space="preserve">Banks don’t drop $100M+ on sports sponsorships to become a fun fact on a broadcast graphic. They do it to turn fans into funded, loyal customers. When Capital One signed a five-year deal reported at roughly </w:t>
      </w:r>
      <w:hyperlink w:history="1" r:id="rIdp0ori-jauybfk2jdybvh9">
        <w:r>
          <w:rPr>
            <w:rStyle w:val="Hyperlink"/>
            <w:sz w:val="22"/>
            <w:szCs w:val="22"/>
          </w:rPr>
          <w:t xml:space="preserve">$125 million</w:t>
        </w:r>
      </w:hyperlink>
      <w:r>
        <w:rPr>
          <w:sz w:val="22"/>
          <w:szCs w:val="22"/>
        </w:rPr>
        <w:t xml:space="preserve"> to become Major League Baseball’s </w:t>
      </w:r>
      <w:hyperlink w:history="1" r:id="rIdzapy34rs7pocetqgjtepu">
        <w:r>
          <w:rPr>
            <w:rStyle w:val="Hyperlink"/>
            <w:sz w:val="22"/>
            <w:szCs w:val="22"/>
          </w:rPr>
          <w:t xml:space="preserve">official bank and credit card partner</w:t>
        </w:r>
      </w:hyperlink>
      <w:r>
        <w:rPr>
          <w:sz w:val="22"/>
          <w:szCs w:val="22"/>
        </w:rPr>
        <w:t xml:space="preserve"> and presenting sponsor of the World Series, it wasn’t buying ad inventory. It was buying a feeling. In a market where a Visa is a Visa and rewards tables have converged to the decimal point, the product no longer differentiates. Loyalty does, and loyalty is increasingly </w:t>
      </w:r>
      <w:hyperlink w:history="1" r:id="rIdllwnd_kagen3m2fhwsd75">
        <w:r>
          <w:rPr>
            <w:rStyle w:val="Hyperlink"/>
            <w:sz w:val="22"/>
            <w:szCs w:val="22"/>
          </w:rPr>
          <w:t xml:space="preserve">purchased through experience</w:t>
        </w:r>
      </w:hyperlink>
      <w:r>
        <w:rPr>
          <w:sz w:val="22"/>
          <w:szCs w:val="22"/>
        </w:rPr>
        <w:t xml:space="preserve">.</w:t>
      </w:r>
    </w:p>
    <w:p>
      <w:pPr>
        <w:spacing w:after="160" w:line="288"/>
      </w:pPr>
      <w:r>
        <w:rPr>
          <w:sz w:val="22"/>
          <w:szCs w:val="22"/>
        </w:rPr>
        <w:t xml:space="preserve">The scale of that bet was on display this summer: Capital One’s All-Star Village in Philadelphia drew a </w:t>
      </w:r>
      <w:hyperlink w:history="1" r:id="rIdgd72v6kohrhudbdfn8r_3">
        <w:r>
          <w:rPr>
            <w:rStyle w:val="Hyperlink"/>
            <w:sz w:val="22"/>
            <w:szCs w:val="22"/>
          </w:rPr>
          <w:t xml:space="preserve">reported 111,616 visitors</w:t>
        </w:r>
      </w:hyperlink>
      <w:r>
        <w:rPr>
          <w:sz w:val="22"/>
          <w:szCs w:val="22"/>
        </w:rPr>
        <w:t xml:space="preserve"> over four days in July 2026, </w:t>
      </w:r>
      <w:hyperlink w:history="1" r:id="rId-hqh6n5r2rmchu27eotom">
        <w:r>
          <w:rPr>
            <w:rStyle w:val="Hyperlink"/>
            <w:sz w:val="22"/>
            <w:szCs w:val="22"/>
          </w:rPr>
          <w:t xml:space="preserve">its highest since 2022</w:t>
        </w:r>
      </w:hyperlink>
      <w:r>
        <w:rPr>
          <w:sz w:val="22"/>
          <w:szCs w:val="22"/>
        </w:rPr>
        <w:t xml:space="preserve">. But the magic doesn’t happen in the stadium. It happens right after, when someone hits the application, onboarding, disclosures, or calls support. If that whole experience assumes perfect English, you’re spending premium dollars to invite people to a party and then handing them directions in a language they don’t prefer.</w:t>
      </w:r>
    </w:p>
    <w:p>
      <w:pPr>
        <w:spacing w:after="160" w:line="288"/>
      </w:pPr>
      <w:r>
        <w:rPr>
          <w:b/>
          <w:bCs/>
          <w:sz w:val="22"/>
          <w:szCs w:val="22"/>
        </w:rPr>
        <w:t xml:space="preserve">A sponsorship gets you the emotional moment. Localization is what converts it into a customer.</w:t>
      </w:r>
    </w:p>
    <w:p>
      <w:pPr>
        <w:pStyle w:val="Heading2"/>
        <w:spacing w:after="120" w:before="260"/>
      </w:pPr>
      <w:r>
        <w:rPr>
          <w:b/>
          <w:bCs/>
          <w:color w:val="4B3FBF"/>
          <w:sz w:val="26"/>
          <w:szCs w:val="26"/>
        </w:rPr>
        <w:t xml:space="preserve">The signal hiding in the stands</w:t>
      </w:r>
    </w:p>
    <w:p>
      <w:pPr>
        <w:spacing w:after="160" w:line="288"/>
      </w:pPr>
      <w:r>
        <w:rPr>
          <w:sz w:val="22"/>
          <w:szCs w:val="22"/>
        </w:rPr>
        <w:t xml:space="preserve">Every issuer chasing the “experience” strategy bets on the same funnel: passion drives attention, attention drives an application, and a funded account drives a decade of interchange and cross-sell. Most brands win the moment in the stadium, then leak the conversion.</w:t>
      </w:r>
    </w:p>
    <w:p>
      <w:pPr>
        <w:spacing w:after="160" w:line="288"/>
      </w:pPr>
      <w:r>
        <w:rPr>
          <w:sz w:val="22"/>
          <w:szCs w:val="22"/>
        </w:rPr>
        <w:t xml:space="preserve">And the fans they’re winning are exactly the ones an English-only funnel loses. Baseball is one of the most Latino sports in America: on 2025 Opening Day rosters, </w:t>
      </w:r>
      <w:hyperlink w:history="1" r:id="rIdz17mmvbbj93rlzrgexpq6">
        <w:r>
          <w:rPr>
            <w:rStyle w:val="Hyperlink"/>
            <w:sz w:val="22"/>
            <w:szCs w:val="22"/>
          </w:rPr>
          <w:t xml:space="preserve">28.6% of players identified as Latino and 27.8% were born outside the United States</w:t>
        </w:r>
      </w:hyperlink>
      <w:r>
        <w:rPr>
          <w:sz w:val="22"/>
          <w:szCs w:val="22"/>
        </w:rPr>
        <w:t xml:space="preserve">. In the stands, Hispanic fans make up roughly </w:t>
      </w:r>
      <w:hyperlink w:history="1" r:id="rIdc7rn30t0ucarr81spnqnn">
        <w:r>
          <w:rPr>
            <w:rStyle w:val="Hyperlink"/>
            <w:sz w:val="22"/>
            <w:szCs w:val="22"/>
          </w:rPr>
          <w:t xml:space="preserve">19% of the MLB fan base</w:t>
        </w:r>
      </w:hyperlink>
      <w:r>
        <w:rPr>
          <w:sz w:val="22"/>
          <w:szCs w:val="22"/>
        </w:rPr>
        <w:t xml:space="preserve">, and they </w:t>
      </w:r>
      <w:hyperlink w:history="1" r:id="rIdesxdw9c3inepbo3kirz5n">
        <w:r>
          <w:rPr>
            <w:rStyle w:val="Hyperlink"/>
            <w:sz w:val="22"/>
            <w:szCs w:val="22"/>
          </w:rPr>
          <w:t xml:space="preserve">skew younger</w:t>
        </w:r>
      </w:hyperlink>
      <w:r>
        <w:rPr>
          <w:sz w:val="22"/>
          <w:szCs w:val="22"/>
        </w:rPr>
        <w:t xml:space="preserve">, many still forming a primary banking relationship. That is real lifetime value if you earn trust early.</w:t>
      </w:r>
    </w:p>
    <w:p>
      <w:pPr>
        <w:spacing w:after="160" w:line="288"/>
      </w:pPr>
      <w:r>
        <w:rPr>
          <w:sz w:val="22"/>
          <w:szCs w:val="22"/>
        </w:rPr>
        <w:t xml:space="preserve">Overlay where those consumers sit in the financial system: per the </w:t>
      </w:r>
      <w:hyperlink w:history="1" r:id="rIdyreubwqnsmuljgkomfyrn">
        <w:r>
          <w:rPr>
            <w:rStyle w:val="Hyperlink"/>
            <w:sz w:val="22"/>
            <w:szCs w:val="22"/>
          </w:rPr>
          <w:t xml:space="preserve">FDIC’s 2023 survey</w:t>
        </w:r>
      </w:hyperlink>
      <w:r>
        <w:rPr>
          <w:sz w:val="22"/>
          <w:szCs w:val="22"/>
        </w:rPr>
        <w:t xml:space="preserve">, 9.5% of Hispanic households were unbanked (more than double the 4.2% national rate) and roughly one in five were underbanked. This isn’t the affluent travel-card crowd. It’s a </w:t>
      </w:r>
      <w:hyperlink w:history="1" r:id="rIdna1a-oef_dw-52syy23vc">
        <w:r>
          <w:rPr>
            <w:rStyle w:val="Hyperlink"/>
            <w:sz w:val="22"/>
            <w:szCs w:val="22"/>
          </w:rPr>
          <w:t xml:space="preserve">high-value, under-served, under-contested growth segment</w:t>
        </w:r>
      </w:hyperlink>
      <w:r>
        <w:rPr>
          <w:sz w:val="22"/>
          <w:szCs w:val="22"/>
        </w:rPr>
        <w:t xml:space="preserve">.</w:t>
      </w:r>
    </w:p>
    <w:p>
      <w:pPr>
        <w:pStyle w:val="Heading2"/>
        <w:spacing w:after="120" w:before="260"/>
      </w:pPr>
      <w:r>
        <w:rPr>
          <w:b/>
          <w:bCs/>
          <w:color w:val="4B3FBF"/>
          <w:sz w:val="26"/>
          <w:szCs w:val="26"/>
        </w:rPr>
        <w:t xml:space="preserve">Why language is the conversion layer</w:t>
      </w:r>
    </w:p>
    <w:p>
      <w:pPr>
        <w:spacing w:after="160" w:line="288"/>
      </w:pPr>
      <w:r>
        <w:rPr>
          <w:sz w:val="22"/>
          <w:szCs w:val="22"/>
        </w:rPr>
        <w:t xml:space="preserve">The gap isn’t niche. About </w:t>
      </w:r>
      <w:hyperlink w:history="1" r:id="rIdavl16jqparjbme9h0xqtq">
        <w:r>
          <w:rPr>
            <w:rStyle w:val="Hyperlink"/>
            <w:sz w:val="22"/>
            <w:szCs w:val="22"/>
          </w:rPr>
          <w:t xml:space="preserve">25.6 million U.S. residents, roughly 8%, speak English less than “very well,”</w:t>
        </w:r>
      </w:hyperlink>
      <w:r>
        <w:rPr>
          <w:sz w:val="22"/>
          <w:szCs w:val="22"/>
        </w:rPr>
        <w:t xml:space="preserve"> and Spanish is by far the largest group at around 16 million. A prospect who feels the brand at the ballpark and then hits an English-only application doesn’t convert at the same rate. A cardholder who can’t get servicing in their language doesn’t stay. Localization shows up in the metrics issuers already report to the board:</w:t>
      </w:r>
    </w:p>
    <w:p>
      <w:pPr>
        <w:pStyle w:val="ListParagraph"/>
        <w:numPr>
          <w:ilvl w:val="0"/>
          <w:numId w:val="2"/>
        </w:numPr>
        <w:spacing w:after="90" w:line="288"/>
      </w:pPr>
      <w:r>
        <w:rPr>
          <w:b/>
          <w:bCs/>
          <w:sz w:val="22"/>
          <w:szCs w:val="22"/>
        </w:rPr>
        <w:t xml:space="preserve">Activation. </w:t>
      </w:r>
      <w:r>
        <w:rPr>
          <w:sz w:val="22"/>
          <w:szCs w:val="22"/>
        </w:rPr>
        <w:t xml:space="preserve">In-language onboarding narrows the gap between “approved” and “funded and actively using the card,” the most expensive gap in card economics.</w:t>
      </w:r>
    </w:p>
    <w:p>
      <w:pPr>
        <w:pStyle w:val="ListParagraph"/>
        <w:numPr>
          <w:ilvl w:val="0"/>
          <w:numId w:val="2"/>
        </w:numPr>
        <w:spacing w:after="90" w:line="288"/>
      </w:pPr>
      <w:r>
        <w:rPr>
          <w:b/>
          <w:bCs/>
          <w:sz w:val="22"/>
          <w:szCs w:val="22"/>
        </w:rPr>
        <w:t xml:space="preserve">Retention. </w:t>
      </w:r>
      <w:r>
        <w:rPr>
          <w:sz w:val="22"/>
          <w:szCs w:val="22"/>
        </w:rPr>
        <w:t xml:space="preserve">In-language servicing and fraud alerts cut churn and “sock-drawer” attrition.</w:t>
      </w:r>
    </w:p>
    <w:p>
      <w:pPr>
        <w:pStyle w:val="ListParagraph"/>
        <w:numPr>
          <w:ilvl w:val="0"/>
          <w:numId w:val="2"/>
        </w:numPr>
        <w:spacing w:after="90" w:line="288"/>
      </w:pPr>
      <w:r>
        <w:rPr>
          <w:b/>
          <w:bCs/>
          <w:sz w:val="22"/>
          <w:szCs w:val="22"/>
        </w:rPr>
        <w:t xml:space="preserve">Compliance. </w:t>
      </w:r>
      <w:r>
        <w:rPr>
          <w:sz w:val="22"/>
          <w:szCs w:val="22"/>
        </w:rPr>
        <w:t xml:space="preserve">A mistranslated APR term or fraud notice is a regulatory exposure, not a copy problem, and it reduces the “wait, what did I just agree to?” risk.</w:t>
      </w:r>
    </w:p>
    <w:p>
      <w:pPr>
        <w:pStyle w:val="ListParagraph"/>
        <w:numPr>
          <w:ilvl w:val="0"/>
          <w:numId w:val="2"/>
        </w:numPr>
        <w:spacing w:after="90" w:line="288"/>
      </w:pPr>
      <w:r>
        <w:rPr>
          <w:b/>
          <w:bCs/>
          <w:sz w:val="22"/>
          <w:szCs w:val="22"/>
        </w:rPr>
        <w:t xml:space="preserve">Referral. </w:t>
      </w:r>
      <w:r>
        <w:rPr>
          <w:sz w:val="22"/>
          <w:szCs w:val="22"/>
        </w:rPr>
        <w:t xml:space="preserve">In tight-knit communities, one well-served customer becomes a channel.</w:t>
      </w:r>
    </w:p>
    <w:p>
      <w:pPr>
        <w:pStyle w:val="Heading2"/>
        <w:spacing w:after="120" w:before="260"/>
      </w:pPr>
      <w:r>
        <w:rPr>
          <w:b/>
          <w:bCs/>
          <w:color w:val="4B3FBF"/>
          <w:sz w:val="26"/>
          <w:szCs w:val="26"/>
        </w:rPr>
        <w:t xml:space="preserve">Doing it at scale, responsibly</w:t>
      </w:r>
    </w:p>
    <w:p>
      <w:pPr>
        <w:spacing w:after="160" w:line="288"/>
      </w:pPr>
      <w:r>
        <w:rPr>
          <w:sz w:val="22"/>
          <w:szCs w:val="22"/>
        </w:rPr>
        <w:t xml:space="preserve">The objection is cost. But modern AI and neural machine translation can </w:t>
      </w:r>
      <w:hyperlink w:history="1" r:id="rIdgok7e4z_q1htvkohopmh1">
        <w:r>
          <w:rPr>
            <w:rStyle w:val="Hyperlink"/>
            <w:sz w:val="22"/>
            <w:szCs w:val="22"/>
          </w:rPr>
          <w:t xml:space="preserve">localize financial content at campaign speed</w:t>
        </w:r>
      </w:hyperlink>
      <w:r>
        <w:rPr>
          <w:sz w:val="22"/>
          <w:szCs w:val="22"/>
        </w:rPr>
        <w:t xml:space="preserve">. The word that matters is </w:t>
      </w:r>
      <w:r>
        <w:rPr>
          <w:i/>
          <w:iCs/>
          <w:sz w:val="22"/>
          <w:szCs w:val="22"/>
        </w:rPr>
        <w:t xml:space="preserve">responsibly</w:t>
      </w:r>
      <w:r>
        <w:rPr>
          <w:sz w:val="22"/>
          <w:szCs w:val="22"/>
        </w:rPr>
        <w:t xml:space="preserve">: a fluent-sounding but subtly wrong translation of a rate or a fraud alert is worse than none. Pair AI translation for speed and scale with </w:t>
      </w:r>
      <w:hyperlink w:history="1" r:id="rIdymge2fietsupffuxfuv4p">
        <w:r>
          <w:rPr>
            <w:rStyle w:val="Hyperlink"/>
            <w:sz w:val="22"/>
            <w:szCs w:val="22"/>
          </w:rPr>
          <w:t xml:space="preserve">human expert oversight and compliance governance</w:t>
        </w:r>
      </w:hyperlink>
      <w:r>
        <w:rPr>
          <w:sz w:val="22"/>
          <w:szCs w:val="22"/>
        </w:rPr>
        <w:t xml:space="preserve">, automation where it’s safe, human judgment where it’s regulated.</w:t>
      </w:r>
    </w:p>
    <w:p>
      <w:pPr>
        <w:pStyle w:val="Heading2"/>
        <w:spacing w:after="120" w:before="260"/>
      </w:pPr>
      <w:r>
        <w:rPr>
          <w:b/>
          <w:bCs/>
          <w:color w:val="4B3FBF"/>
          <w:sz w:val="26"/>
          <w:szCs w:val="26"/>
        </w:rPr>
        <w:t xml:space="preserve">The takeaway for issuers</w:t>
      </w:r>
    </w:p>
    <w:p>
      <w:pPr>
        <w:spacing w:after="160" w:line="288"/>
      </w:pPr>
      <w:r>
        <w:rPr>
          <w:sz w:val="22"/>
          <w:szCs w:val="22"/>
        </w:rPr>
        <w:t xml:space="preserve">Capital One’s instinct is right: when the product can’t differentiate, buy loyalty through experience. But experience is the top of the funnel, not the bottom. Sponsorship buys the moment; language wins the conversion and keeps the relationship.</w:t>
      </w:r>
    </w:p>
    <w:p>
      <w:pPr>
        <w:spacing w:after="160" w:line="288"/>
      </w:pPr>
      <w:r>
        <w:rPr>
          <w:b/>
          <w:bCs/>
          <w:sz w:val="22"/>
          <w:szCs w:val="22"/>
        </w:rPr>
        <w:t xml:space="preserve">Passion gets you noticed. Language gets you kept.</w:t>
      </w:r>
    </w:p>
    <w:p>
      <w:pPr>
        <w:pBdr>
          <w:bottom w:val="single" w:color="CCCCCC" w:sz="6" w:space="1"/>
        </w:pBdr>
        <w:spacing w:after="160" w:before="160"/>
      </w:pPr>
      <w:r>
        <w:t xml:space="preserve"/>
      </w:r>
    </w:p>
    <w:p>
      <w:pPr>
        <w:spacing w:after="160" w:line="288"/>
      </w:pPr>
      <w:r>
        <w:rPr>
          <w:i/>
          <w:iCs/>
          <w:sz w:val="22"/>
          <w:szCs w:val="22"/>
        </w:rPr>
        <w:t xml:space="preserve">TransPerfect helps card issuers, retail banks, credit unions, and fintechs deliver secure, compliant, in-language customer experiences at scale, from multilingual onboarding and apps to servicing and disclosures. </w:t>
      </w:r>
      <w:hyperlink w:history="1" r:id="rIdoutj8dkzmancdr8xo763c">
        <w:r>
          <w:rPr>
            <w:rStyle w:val="Hyperlink"/>
            <w:sz w:val="22"/>
            <w:szCs w:val="22"/>
          </w:rPr>
          <w:t xml:space="preserve">Explore our finance and banking language solutions »</w:t>
        </w:r>
      </w:hyperlink>
    </w:p>
    <w:p>
      <w:pPr>
        <w:pStyle w:val="Heading1"/>
        <w:pageBreakBefore/>
        <w:spacing w:after="120"/>
      </w:pPr>
      <w:r>
        <w:rPr>
          <w:b/>
          <w:bCs/>
          <w:color w:val="1A1A2E"/>
          <w:sz w:val="30"/>
          <w:szCs w:val="30"/>
        </w:rPr>
        <w:t xml:space="preserve">Full reference list</w:t>
      </w:r>
    </w:p>
    <w:p>
      <w:pPr>
        <w:spacing w:after="160" w:line="288"/>
      </w:pPr>
      <w:r>
        <w:rPr>
          <w:i/>
          <w:iCs/>
          <w:color w:val="777777"/>
          <w:sz w:val="20"/>
          <w:szCs w:val="20"/>
        </w:rPr>
        <w:t xml:space="preserve">Every claim above links inline to its source; the same references, with corroborating outlets, are collected here.</w:t>
      </w:r>
    </w:p>
    <w:p>
      <w:pPr>
        <w:pStyle w:val="ListParagraph"/>
        <w:numPr>
          <w:ilvl w:val="0"/>
          <w:numId w:val="2"/>
        </w:numPr>
        <w:spacing w:after="110" w:line="276"/>
      </w:pPr>
      <w:r>
        <w:rPr>
          <w:sz w:val="20"/>
          <w:szCs w:val="20"/>
        </w:rPr>
        <w:t xml:space="preserve">MLB reaches a $125M sponsorship deal with Capital One (CNBC, Mar 28 2022): </w:t>
      </w:r>
      <w:hyperlink w:history="1" r:id="rIde9uwindrt1ntd2vfaaczy">
        <w:r>
          <w:rPr>
            <w:rStyle w:val="Hyperlink"/>
            <w:sz w:val="20"/>
            <w:szCs w:val="20"/>
          </w:rPr>
          <w:t xml:space="preserve">https://www.cnbc.com/2022/03/28/mlb-reaches-125-million-sponsorship-deal-with-capital-one.html</w:t>
        </w:r>
      </w:hyperlink>
      <w:r>
        <w:rPr>
          <w:sz w:val="20"/>
          <w:szCs w:val="20"/>
        </w:rPr>
        <w:t xml:space="preserve">  ·  Capital One Newsroom: </w:t>
      </w:r>
      <w:hyperlink w:history="1" r:id="rIddp_c8bym3sxt_rs5usdzs">
        <w:r>
          <w:rPr>
            <w:rStyle w:val="Hyperlink"/>
            <w:sz w:val="20"/>
            <w:szCs w:val="20"/>
          </w:rPr>
          <w:t xml:space="preserve">https://www.capitalone.com/about/newsroom/mlb-partnership/</w:t>
        </w:r>
      </w:hyperlink>
    </w:p>
    <w:p>
      <w:pPr>
        <w:pStyle w:val="ListParagraph"/>
        <w:numPr>
          <w:ilvl w:val="0"/>
          <w:numId w:val="2"/>
        </w:numPr>
        <w:spacing w:after="110" w:line="276"/>
      </w:pPr>
      <w:r>
        <w:rPr>
          <w:sz w:val="20"/>
          <w:szCs w:val="20"/>
        </w:rPr>
        <w:t xml:space="preserve">Capital One’s big bet on baseball and the credit card loyalty wars (Fortune, Jul 25 2026): </w:t>
      </w:r>
      <w:hyperlink w:history="1" r:id="rId2o1i_t0mriiu-kkvq_3pm">
        <w:r>
          <w:rPr>
            <w:rStyle w:val="Hyperlink"/>
            <w:sz w:val="20"/>
            <w:szCs w:val="20"/>
          </w:rPr>
          <w:t xml:space="preserve">https://fortune.com/2026/07/25/capital-one-bet-mlb-baseball-think-can-help-win-credit-card-loyalty-wars/</w:t>
        </w:r>
      </w:hyperlink>
      <w:r>
        <w:rPr>
          <w:sz w:val="20"/>
          <w:szCs w:val="20"/>
        </w:rPr>
        <w:t xml:space="preserve">  ·  eMarketer: </w:t>
      </w:r>
      <w:hyperlink w:history="1" r:id="rIdn6s2o0bs5bzukba_qxbt9">
        <w:r>
          <w:rPr>
            <w:rStyle w:val="Hyperlink"/>
            <w:sz w:val="20"/>
            <w:szCs w:val="20"/>
          </w:rPr>
          <w:t xml:space="preserve">https://www.emarketer.com/content/capital-one-strikes-deal-with-mlb-boost-cardholder-perks</w:t>
        </w:r>
      </w:hyperlink>
    </w:p>
    <w:p>
      <w:pPr>
        <w:pStyle w:val="ListParagraph"/>
        <w:numPr>
          <w:ilvl w:val="0"/>
          <w:numId w:val="2"/>
        </w:numPr>
        <w:spacing w:after="110" w:line="276"/>
      </w:pPr>
      <w:r>
        <w:rPr>
          <w:sz w:val="20"/>
          <w:szCs w:val="20"/>
        </w:rPr>
        <w:t xml:space="preserve">Capital One’s MLB partnership turning fan experiences into long-term value (Fortune, Jul 27 2026): </w:t>
      </w:r>
      <w:hyperlink w:history="1" r:id="rIdojzuvglvnc5itoajms05m">
        <w:r>
          <w:rPr>
            <w:rStyle w:val="Hyperlink"/>
            <w:sz w:val="20"/>
            <w:szCs w:val="20"/>
          </w:rPr>
          <w:t xml:space="preserve">https://fortune.com/2026/07/27/capital-one-mlb-partnership-turning-fan-experiences-into-long-term-customer-value/</w:t>
        </w:r>
      </w:hyperlink>
    </w:p>
    <w:p>
      <w:pPr>
        <w:pStyle w:val="ListParagraph"/>
        <w:numPr>
          <w:ilvl w:val="0"/>
          <w:numId w:val="2"/>
        </w:numPr>
        <w:spacing w:after="110" w:line="276"/>
      </w:pPr>
      <w:r>
        <w:rPr>
          <w:sz w:val="20"/>
          <w:szCs w:val="20"/>
        </w:rPr>
        <w:t xml:space="preserve">MLB All-Star Village breaks records with more than 111,000 visitors (Forbes, Jul 18 2026): </w:t>
      </w:r>
      <w:hyperlink w:history="1" r:id="rIdxwf6g82lo0uzctzpswubu">
        <w:r>
          <w:rPr>
            <w:rStyle w:val="Hyperlink"/>
            <w:sz w:val="20"/>
            <w:szCs w:val="20"/>
          </w:rPr>
          <w:t xml:space="preserve">https://www.forbes.com/sites/danfreedman/2026/07/18/mlb-all-star-village-breaks-records-and-had-more-than-111000-visitors/</w:t>
        </w:r>
      </w:hyperlink>
    </w:p>
    <w:p>
      <w:pPr>
        <w:pStyle w:val="ListParagraph"/>
        <w:numPr>
          <w:ilvl w:val="0"/>
          <w:numId w:val="2"/>
        </w:numPr>
        <w:spacing w:after="110" w:line="276"/>
      </w:pPr>
      <w:r>
        <w:rPr>
          <w:sz w:val="20"/>
          <w:szCs w:val="20"/>
        </w:rPr>
        <w:t xml:space="preserve">Opening Day rosters feature 265 internationally born players; 27.8% of players, 28.6% Latino (MLB.com, 2025): </w:t>
      </w:r>
      <w:hyperlink w:history="1" r:id="rId4qb9a8el5kv3el6iffli-">
        <w:r>
          <w:rPr>
            <w:rStyle w:val="Hyperlink"/>
            <w:sz w:val="20"/>
            <w:szCs w:val="20"/>
          </w:rPr>
          <w:t xml:space="preserve">https://www.mlb.com/press-release/press-release-opening-day-rosters-feature-265-internationally-born-players</w:t>
        </w:r>
      </w:hyperlink>
    </w:p>
    <w:p>
      <w:pPr>
        <w:pStyle w:val="ListParagraph"/>
        <w:numPr>
          <w:ilvl w:val="0"/>
          <w:numId w:val="2"/>
        </w:numPr>
        <w:spacing w:after="110" w:line="276"/>
      </w:pPr>
      <w:r>
        <w:rPr>
          <w:sz w:val="20"/>
          <w:szCs w:val="20"/>
        </w:rPr>
        <w:t xml:space="preserve">Share of MLB fans by ethnicity, about 19% Hispanic (Statista, 2024): </w:t>
      </w:r>
      <w:hyperlink w:history="1" r:id="rIdkw37o9itq5roi4k56nz7w">
        <w:r>
          <w:rPr>
            <w:rStyle w:val="Hyperlink"/>
            <w:sz w:val="20"/>
            <w:szCs w:val="20"/>
          </w:rPr>
          <w:t xml:space="preserve">https://www.statista.com/statistics/1478858/mlb-fans-ethnicity/</w:t>
        </w:r>
      </w:hyperlink>
    </w:p>
    <w:p>
      <w:pPr>
        <w:pStyle w:val="ListParagraph"/>
        <w:numPr>
          <w:ilvl w:val="0"/>
          <w:numId w:val="2"/>
        </w:numPr>
        <w:spacing w:after="110" w:line="276"/>
      </w:pPr>
      <w:r>
        <w:rPr>
          <w:sz w:val="20"/>
          <w:szCs w:val="20"/>
        </w:rPr>
        <w:t xml:space="preserve">Unlocking the growing power of Latino fans (McKinsey): </w:t>
      </w:r>
      <w:hyperlink w:history="1" r:id="rIdtpjt8k1uksxpxzk7zrpm8">
        <w:r>
          <w:rPr>
            <w:rStyle w:val="Hyperlink"/>
            <w:sz w:val="20"/>
            <w:szCs w:val="20"/>
          </w:rPr>
          <w:t xml:space="preserve">https://www.mckinsey.com/institute-for-economic-mobility/our-insights/unlocking-the-growing-power-of-latino-fans-building-a-stronger-sports-economy</w:t>
        </w:r>
      </w:hyperlink>
      <w:r>
        <w:rPr>
          <w:sz w:val="20"/>
          <w:szCs w:val="20"/>
        </w:rPr>
        <w:t xml:space="preserve">  ·  Nielsen via Sportico: </w:t>
      </w:r>
      <w:hyperlink w:history="1" r:id="rIdxb-rjint3szltenllxfev">
        <w:r>
          <w:rPr>
            <w:rStyle w:val="Hyperlink"/>
            <w:sz w:val="20"/>
            <w:szCs w:val="20"/>
          </w:rPr>
          <w:t xml:space="preserve">https://www.sportico.com/business/commerce/2024/nielsen-study-latino-sports-fans-market-1234798334/</w:t>
        </w:r>
      </w:hyperlink>
    </w:p>
    <w:p>
      <w:pPr>
        <w:pStyle w:val="ListParagraph"/>
        <w:numPr>
          <w:ilvl w:val="0"/>
          <w:numId w:val="2"/>
        </w:numPr>
        <w:spacing w:after="110" w:line="276"/>
      </w:pPr>
      <w:r>
        <w:rPr>
          <w:sz w:val="20"/>
          <w:szCs w:val="20"/>
        </w:rPr>
        <w:t xml:space="preserve">2023 FDIC National Survey of Unbanked and Underbanked Households (FDIC): </w:t>
      </w:r>
      <w:hyperlink w:history="1" r:id="rIdwogh5raxzsbcofa9v-j-b">
        <w:r>
          <w:rPr>
            <w:rStyle w:val="Hyperlink"/>
            <w:sz w:val="20"/>
            <w:szCs w:val="20"/>
          </w:rPr>
          <w:t xml:space="preserve">https://www.fdic.gov/household-survey</w:t>
        </w:r>
      </w:hyperlink>
      <w:r>
        <w:rPr>
          <w:sz w:val="20"/>
          <w:szCs w:val="20"/>
        </w:rPr>
        <w:t xml:space="preserve">  ·  Press release: </w:t>
      </w:r>
      <w:hyperlink w:history="1" r:id="rIdykwtff47jk9i2kiuesvaj">
        <w:r>
          <w:rPr>
            <w:rStyle w:val="Hyperlink"/>
            <w:sz w:val="20"/>
            <w:szCs w:val="20"/>
          </w:rPr>
          <w:t xml:space="preserve">https://www.fdic.gov/news/press-releases/2024/fdic-survey-finds-96-percent-us-households-were-banked-2023</w:t>
        </w:r>
      </w:hyperlink>
    </w:p>
    <w:p>
      <w:pPr>
        <w:pStyle w:val="ListParagraph"/>
        <w:numPr>
          <w:ilvl w:val="0"/>
          <w:numId w:val="2"/>
        </w:numPr>
        <w:spacing w:after="110" w:line="276"/>
      </w:pPr>
      <w:r>
        <w:rPr>
          <w:sz w:val="20"/>
          <w:szCs w:val="20"/>
        </w:rPr>
        <w:t xml:space="preserve">People who speak English less than “very well,” about 25.6M or 8% (U.S. Census Bureau): </w:t>
      </w:r>
      <w:hyperlink w:history="1" r:id="rIdkjygybirlvvcrnnjfcqcx">
        <w:r>
          <w:rPr>
            <w:rStyle w:val="Hyperlink"/>
            <w:sz w:val="20"/>
            <w:szCs w:val="20"/>
          </w:rPr>
          <w:t xml:space="preserve">https://www.census.gov/library/visualizations/interactive/people-that-speak-english-less-than-very-well.html</w:t>
        </w:r>
      </w:hyperlink>
      <w:r>
        <w:rPr>
          <w:sz w:val="20"/>
          <w:szCs w:val="20"/>
        </w:rPr>
        <w:t xml:space="preserve">  ·  Migration Policy Institute: </w:t>
      </w:r>
      <w:hyperlink w:history="1" r:id="rIdbzopopzbx420ux-2bex1o">
        <w:r>
          <w:rPr>
            <w:rStyle w:val="Hyperlink"/>
            <w:sz w:val="20"/>
            <w:szCs w:val="20"/>
          </w:rPr>
          <w:t xml:space="preserve">https://www.migrationpolicy.org/article/language-diversity-and-english-proficiency-united-states</w:t>
        </w:r>
      </w:hyperlink>
    </w:p>
    <w:p>
      <w:pPr>
        <w:pStyle w:val="ListParagraph"/>
        <w:numPr>
          <w:ilvl w:val="0"/>
          <w:numId w:val="2"/>
        </w:numPr>
        <w:spacing w:after="110" w:line="276"/>
      </w:pPr>
      <w:r>
        <w:rPr>
          <w:sz w:val="20"/>
          <w:szCs w:val="20"/>
        </w:rPr>
        <w:t xml:space="preserve">What New York’s minority banking push means for CX and growth (TransPerfect): </w:t>
      </w:r>
      <w:hyperlink w:history="1" r:id="rId30ha5suxbil6b-0asfbpa">
        <w:r>
          <w:rPr>
            <w:rStyle w:val="Hyperlink"/>
            <w:sz w:val="20"/>
            <w:szCs w:val="20"/>
          </w:rPr>
          <w:t xml:space="preserve">https://www.transperfect.com/blog/what-new-yorks-minority-banking-push-means-customer-experience-and-growth</w:t>
        </w:r>
      </w:hyperlink>
    </w:p>
    <w:p>
      <w:pPr>
        <w:pStyle w:val="ListParagraph"/>
        <w:numPr>
          <w:ilvl w:val="0"/>
          <w:numId w:val="2"/>
        </w:numPr>
        <w:spacing w:after="110" w:line="276"/>
      </w:pPr>
      <w:r>
        <w:rPr>
          <w:sz w:val="20"/>
          <w:szCs w:val="20"/>
        </w:rPr>
        <w:t xml:space="preserve">Future of FinTech: How to Monetize Multilingual (TransPerfect): </w:t>
      </w:r>
      <w:hyperlink w:history="1" r:id="rId_ucojsshl1aekqlvnbk2s">
        <w:r>
          <w:rPr>
            <w:rStyle w:val="Hyperlink"/>
            <w:sz w:val="20"/>
            <w:szCs w:val="20"/>
          </w:rPr>
          <w:t xml:space="preserve">https://www.transperfect.com/blog/future-fintech-how-monetize-multilingual</w:t>
        </w:r>
      </w:hyperlink>
    </w:p>
    <w:p>
      <w:pPr>
        <w:pStyle w:val="ListParagraph"/>
        <w:numPr>
          <w:ilvl w:val="0"/>
          <w:numId w:val="2"/>
        </w:numPr>
        <w:spacing w:after="110" w:line="276"/>
      </w:pPr>
      <w:r>
        <w:rPr>
          <w:sz w:val="20"/>
          <w:szCs w:val="20"/>
        </w:rPr>
        <w:t xml:space="preserve">AI in Financial Services, the 2026 horizon (TransPerfect): </w:t>
      </w:r>
      <w:hyperlink w:history="1" r:id="rIdj6fglztwrhen6rksxpovc">
        <w:r>
          <w:rPr>
            <w:rStyle w:val="Hyperlink"/>
            <w:sz w:val="20"/>
            <w:szCs w:val="20"/>
          </w:rPr>
          <w:t xml:space="preserve">https://www.transperfect.com/blog/horizon-financial-services-2026</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ori-jauybfk2jdybvh9" Type="http://schemas.openxmlformats.org/officeDocument/2006/relationships/hyperlink" Target="https://www.cnbc.com/2022/03/28/mlb-reaches-125-million-sponsorship-deal-with-capital-one.html" TargetMode="External"/><Relationship Id="rIdzapy34rs7pocetqgjtepu" Type="http://schemas.openxmlformats.org/officeDocument/2006/relationships/hyperlink" Target="https://www.capitalone.com/about/newsroom/mlb-partnership/" TargetMode="External"/><Relationship Id="rIdllwnd_kagen3m2fhwsd75" Type="http://schemas.openxmlformats.org/officeDocument/2006/relationships/hyperlink" Target="https://fortune.com/2026/07/25/capital-one-bet-mlb-baseball-think-can-help-win-credit-card-loyalty-wars/" TargetMode="External"/><Relationship Id="rIdgd72v6kohrhudbdfn8r_3" Type="http://schemas.openxmlformats.org/officeDocument/2006/relationships/hyperlink" Target="https://www.forbes.com/sites/danfreedman/2026/07/18/mlb-all-star-village-breaks-records-and-had-more-than-111000-visitors/" TargetMode="External"/><Relationship Id="rId-hqh6n5r2rmchu27eotom" Type="http://schemas.openxmlformats.org/officeDocument/2006/relationships/hyperlink" Target="https://fortune.com/2026/07/27/capital-one-mlb-partnership-turning-fan-experiences-into-long-term-customer-value/" TargetMode="External"/><Relationship Id="rIdz17mmvbbj93rlzrgexpq6" Type="http://schemas.openxmlformats.org/officeDocument/2006/relationships/hyperlink" Target="https://www.mlb.com/press-release/press-release-opening-day-rosters-feature-265-internationally-born-players" TargetMode="External"/><Relationship Id="rIdc7rn30t0ucarr81spnqnn" Type="http://schemas.openxmlformats.org/officeDocument/2006/relationships/hyperlink" Target="https://www.statista.com/statistics/1478858/mlb-fans-ethnicity/" TargetMode="External"/><Relationship Id="rIdesxdw9c3inepbo3kirz5n" Type="http://schemas.openxmlformats.org/officeDocument/2006/relationships/hyperlink" Target="https://www.mckinsey.com/institute-for-economic-mobility/our-insights/unlocking-the-growing-power-of-latino-fans-building-a-stronger-sports-economy" TargetMode="External"/><Relationship Id="rIdyreubwqnsmuljgkomfyrn" Type="http://schemas.openxmlformats.org/officeDocument/2006/relationships/hyperlink" Target="https://www.fdic.gov/household-survey" TargetMode="External"/><Relationship Id="rIdna1a-oef_dw-52syy23vc" Type="http://schemas.openxmlformats.org/officeDocument/2006/relationships/hyperlink" Target="https://www.transperfect.com/blog/what-new-yorks-minority-banking-push-means-customer-experience-and-growth" TargetMode="External"/><Relationship Id="rIdavl16jqparjbme9h0xqtq" Type="http://schemas.openxmlformats.org/officeDocument/2006/relationships/hyperlink" Target="https://www.census.gov/library/visualizations/interactive/people-that-speak-english-less-than-very-well.html" TargetMode="External"/><Relationship Id="rIdgok7e4z_q1htvkohopmh1" Type="http://schemas.openxmlformats.org/officeDocument/2006/relationships/hyperlink" Target="https://www.transperfect.com/blog/future-fintech-how-monetize-multilingual" TargetMode="External"/><Relationship Id="rIdymge2fietsupffuxfuv4p" Type="http://schemas.openxmlformats.org/officeDocument/2006/relationships/hyperlink" Target="https://www.transperfect.com/blog/horizon-financial-services-2026" TargetMode="External"/><Relationship Id="rIdoutj8dkzmancdr8xo763c" Type="http://schemas.openxmlformats.org/officeDocument/2006/relationships/hyperlink" Target="https://www.transperfect.com/industries/finance-and-banking" TargetMode="External"/><Relationship Id="rIde9uwindrt1ntd2vfaaczy" Type="http://schemas.openxmlformats.org/officeDocument/2006/relationships/hyperlink" Target="https://www.cnbc.com/2022/03/28/mlb-reaches-125-million-sponsorship-deal-with-capital-one.html" TargetMode="External"/><Relationship Id="rIddp_c8bym3sxt_rs5usdzs" Type="http://schemas.openxmlformats.org/officeDocument/2006/relationships/hyperlink" Target="https://www.capitalone.com/about/newsroom/mlb-partnership/" TargetMode="External"/><Relationship Id="rId2o1i_t0mriiu-kkvq_3pm" Type="http://schemas.openxmlformats.org/officeDocument/2006/relationships/hyperlink" Target="https://fortune.com/2026/07/25/capital-one-bet-mlb-baseball-think-can-help-win-credit-card-loyalty-wars/" TargetMode="External"/><Relationship Id="rIdn6s2o0bs5bzukba_qxbt9" Type="http://schemas.openxmlformats.org/officeDocument/2006/relationships/hyperlink" Target="https://www.emarketer.com/content/capital-one-strikes-deal-with-mlb-boost-cardholder-perks" TargetMode="External"/><Relationship Id="rIdojzuvglvnc5itoajms05m" Type="http://schemas.openxmlformats.org/officeDocument/2006/relationships/hyperlink" Target="https://fortune.com/2026/07/27/capital-one-mlb-partnership-turning-fan-experiences-into-long-term-customer-value/" TargetMode="External"/><Relationship Id="rIdxwf6g82lo0uzctzpswubu" Type="http://schemas.openxmlformats.org/officeDocument/2006/relationships/hyperlink" Target="https://www.forbes.com/sites/danfreedman/2026/07/18/mlb-all-star-village-breaks-records-and-had-more-than-111000-visitors/" TargetMode="External"/><Relationship Id="rId4qb9a8el5kv3el6iffli-" Type="http://schemas.openxmlformats.org/officeDocument/2006/relationships/hyperlink" Target="https://www.mlb.com/press-release/press-release-opening-day-rosters-feature-265-internationally-born-players" TargetMode="External"/><Relationship Id="rIdkw37o9itq5roi4k56nz7w" Type="http://schemas.openxmlformats.org/officeDocument/2006/relationships/hyperlink" Target="https://www.statista.com/statistics/1478858/mlb-fans-ethnicity/" TargetMode="External"/><Relationship Id="rIdtpjt8k1uksxpxzk7zrpm8" Type="http://schemas.openxmlformats.org/officeDocument/2006/relationships/hyperlink" Target="https://www.mckinsey.com/institute-for-economic-mobility/our-insights/unlocking-the-growing-power-of-latino-fans-building-a-stronger-sports-economy" TargetMode="External"/><Relationship Id="rIdxb-rjint3szltenllxfev" Type="http://schemas.openxmlformats.org/officeDocument/2006/relationships/hyperlink" Target="https://www.sportico.com/business/commerce/2024/nielsen-study-latino-sports-fans-market-1234798334/" TargetMode="External"/><Relationship Id="rIdwogh5raxzsbcofa9v-j-b" Type="http://schemas.openxmlformats.org/officeDocument/2006/relationships/hyperlink" Target="https://www.fdic.gov/household-survey" TargetMode="External"/><Relationship Id="rIdykwtff47jk9i2kiuesvaj" Type="http://schemas.openxmlformats.org/officeDocument/2006/relationships/hyperlink" Target="https://www.fdic.gov/news/press-releases/2024/fdic-survey-finds-96-percent-us-households-were-banked-2023" TargetMode="External"/><Relationship Id="rIdkjygybirlvvcrnnjfcqcx" Type="http://schemas.openxmlformats.org/officeDocument/2006/relationships/hyperlink" Target="https://www.census.gov/library/visualizations/interactive/people-that-speak-english-less-than-very-well.html" TargetMode="External"/><Relationship Id="rIdbzopopzbx420ux-2bex1o" Type="http://schemas.openxmlformats.org/officeDocument/2006/relationships/hyperlink" Target="https://www.migrationpolicy.org/article/language-diversity-and-english-proficiency-united-states" TargetMode="External"/><Relationship Id="rId30ha5suxbil6b-0asfbpa" Type="http://schemas.openxmlformats.org/officeDocument/2006/relationships/hyperlink" Target="https://www.transperfect.com/blog/what-new-yorks-minority-banking-push-means-customer-experience-and-growth" TargetMode="External"/><Relationship Id="rId_ucojsshl1aekqlvnbk2s" Type="http://schemas.openxmlformats.org/officeDocument/2006/relationships/hyperlink" Target="https://www.transperfect.com/blog/future-fintech-how-monetize-multilingual" TargetMode="External"/><Relationship Id="rIdj6fglztwrhen6rksxpovc" Type="http://schemas.openxmlformats.org/officeDocument/2006/relationships/hyperlink" Target="https://www.transperfect.com/blog/horizon-financial-services-2026"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Buying Loyalty in a Second Language</dc:title>
  <dc:creator>TransPerfect Financial Services</dc:creator>
  <dc:description>Draft for the TransPerfect Financial Services blog</dc:description>
  <cp:lastModifiedBy>Un-named</cp:lastModifiedBy>
  <cp:revision>1</cp:revision>
  <dcterms:created xsi:type="dcterms:W3CDTF">2026-08-10T14:54:33.410Z</dcterms:created>
  <dcterms:modified xsi:type="dcterms:W3CDTF">2026-08-10T14:54:33.425Z</dcterms:modified>
</cp:coreProperties>
</file>

<file path=docProps/custom.xml><?xml version="1.0" encoding="utf-8"?>
<Properties xmlns="http://schemas.openxmlformats.org/officeDocument/2006/custom-properties" xmlns:vt="http://schemas.openxmlformats.org/officeDocument/2006/docPropsVTypes"/>
</file>