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b/>
          <w:bCs/>
          <w:color w:val="1A1A2E"/>
          <w:sz w:val="36"/>
          <w:szCs w:val="36"/>
        </w:rPr>
        <w:t xml:space="preserve">The Home-Field Advantage: Santander's Miami Dolphins Deal Is a Bet on Brand and Trust</w:t>
      </w:r>
    </w:p>
    <w:p>
      <w:pPr>
        <w:spacing w:after="160" w:line="288"/>
      </w:pPr>
      <w:r>
        <w:rPr>
          <w:i/>
          <w:iCs/>
          <w:sz w:val="22"/>
          <w:szCs w:val="22"/>
        </w:rPr>
        <w:t xml:space="preserve">Another entry in fintech's sports land grab, but this one is different. Santander is not buying reach in South Florida so much as cashing in trust it already owns.</w:t>
      </w:r>
    </w:p>
    <w:p>
      <w:pPr>
        <w:spacing w:after="160" w:line="288"/>
      </w:pPr>
      <w:r>
        <w:rPr>
          <w:i/>
          <w:iCs/>
          <w:sz w:val="22"/>
          <w:szCs w:val="22"/>
        </w:rPr>
        <w:t xml:space="preserve">Draft for the TransPerfect Financial Services blog · 2026-09-29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spacing w:after="160" w:line="288"/>
      </w:pPr>
      <w:r>
        <w:rPr>
          <w:sz w:val="22"/>
          <w:szCs w:val="22"/>
        </w:rPr>
        <w:t xml:space="preserve">On September 24, 2026, Santander announced it is </w:t>
      </w:r>
      <w:hyperlink w:history="1" r:id="rIdvaycrmuqvh6n43myitym4">
        <w:r>
          <w:rPr>
            <w:rStyle w:val="Hyperlink"/>
            <w:sz w:val="22"/>
            <w:szCs w:val="22"/>
          </w:rPr>
          <w:t xml:space="preserve">partnering with the Miami Dolphins and Hard Rock Stadium for the 2026 NFL season</w:t>
        </w:r>
      </w:hyperlink>
      <w:r>
        <w:rPr>
          <w:sz w:val="22"/>
          <w:szCs w:val="22"/>
        </w:rPr>
        <w:t xml:space="preserve">. The centerpiece is the "Santander Red Zone": every time the Dolphins offense crosses the opponent's 20-yard line at a home game, the stadium's videoboards and displays light up with the bank's brand as the team drives for a touchdown. Add in-stadium branding, a digital marquee near the stadium, and client hospitality, and it reads like a familiar move in a familiar playbook, a bank buying its way into fans' emotional lives through sport.</w:t>
      </w:r>
    </w:p>
    <w:p>
      <w:pPr>
        <w:spacing w:after="160" w:line="288"/>
      </w:pPr>
      <w:r>
        <w:rPr>
          <w:sz w:val="22"/>
          <w:szCs w:val="22"/>
        </w:rPr>
        <w:t xml:space="preserve">But look closer and this is not the usual land grab. It is a beachhead in the single most strategic US market a Latin-America-rooted bank could pick.</w:t>
      </w:r>
    </w:p>
    <w:p>
      <w:pPr>
        <w:spacing w:after="120" w:before="280"/>
      </w:pPr>
      <w:r>
        <w:rPr>
          <w:b/>
          <w:bCs/>
          <w:color w:val="4B3FBF"/>
          <w:sz w:val="28"/>
          <w:szCs w:val="28"/>
        </w:rPr>
        <w:t xml:space="preserve">Why South Florida is the prize</w:t>
      </w:r>
    </w:p>
    <w:p>
      <w:pPr>
        <w:spacing w:after="160" w:line="288"/>
      </w:pPr>
      <w:r>
        <w:rPr>
          <w:sz w:val="22"/>
          <w:szCs w:val="22"/>
        </w:rPr>
        <w:t xml:space="preserve">Miami is not just a large metro. It is the gateway to Latin America, and the demographics make the point. </w:t>
      </w:r>
      <w:hyperlink w:history="1" r:id="rId_af43g_tjlgfzgi2dcqjg">
        <w:r>
          <w:rPr>
            <w:rStyle w:val="Hyperlink"/>
            <w:sz w:val="22"/>
            <w:szCs w:val="22"/>
          </w:rPr>
          <w:t xml:space="preserve">Roughly 70% of Miami-Dade County is Hispanic</w:t>
        </w:r>
      </w:hyperlink>
      <w:r>
        <w:rPr>
          <w:sz w:val="22"/>
          <w:szCs w:val="22"/>
        </w:rPr>
        <w:t xml:space="preserve">, more than 1.8 million residents, and about two-thirds of the population speaks Spanish at home. The mix is not monolithic: Cubans, Venezuelans, Colombians, and a large Brazilian community give the market both Spanish and Portuguese speakers, along with the cross-border capital, remittances, and private wealth that flow through the city in both directions. For a bank, South Florida is where US retail, Latin American private banking, and international money movement all converge in one zip code.</w:t>
      </w:r>
    </w:p>
    <w:p>
      <w:pPr>
        <w:spacing w:after="160" w:line="288"/>
      </w:pPr>
      <w:r>
        <w:rPr>
          <w:sz w:val="22"/>
          <w:szCs w:val="22"/>
        </w:rPr>
        <w:t xml:space="preserve">That is why the deal is not really about a videoboard. It is about owning the front door to a market that is, functionally, the capital of Latin America inside the United States.</w:t>
      </w:r>
    </w:p>
    <w:p>
      <w:pPr>
        <w:spacing w:after="120" w:before="280"/>
      </w:pPr>
      <w:r>
        <w:rPr>
          <w:b/>
          <w:bCs/>
          <w:color w:val="4B3FBF"/>
          <w:sz w:val="28"/>
          <w:szCs w:val="28"/>
        </w:rPr>
        <w:t xml:space="preserve">Who owns the brand and the trust?</w:t>
      </w:r>
    </w:p>
    <w:p>
      <w:pPr>
        <w:spacing w:after="160" w:line="288"/>
      </w:pPr>
      <w:r>
        <w:rPr>
          <w:sz w:val="22"/>
          <w:szCs w:val="22"/>
        </w:rPr>
        <w:t xml:space="preserve">Here is Santander's structural edge, and it is one most rivals cannot match. The populations that define Miami are, in large part, from countries where Santander is already a household name. It is a Spanish bank at its root, one of the largest banks in Brazil, a major player in Mexico, and a fixture across Latin America. A Venezuelan, Brazilian, or Spanish customer arriving in Miami is not meeting a new brand. They are meeting a bank they already trust from home. Sport is how Santander converts that latent familiarity into an active US relationship.</w:t>
      </w:r>
    </w:p>
    <w:p>
      <w:pPr>
        <w:spacing w:after="160" w:line="288"/>
      </w:pPr>
      <w:r>
        <w:rPr>
          <w:sz w:val="22"/>
          <w:szCs w:val="22"/>
        </w:rPr>
        <w:t xml:space="preserve">And the sponsorship is only the visible tip of a deep local bet. Santander opened its </w:t>
      </w:r>
      <w:hyperlink w:history="1" r:id="rIdqbwhuoponvyhcf6fdzvqh">
        <w:r>
          <w:rPr>
            <w:rStyle w:val="Hyperlink"/>
            <w:sz w:val="22"/>
            <w:szCs w:val="22"/>
          </w:rPr>
          <w:t xml:space="preserve">first US Openbank location at Miami Worldcenter</w:t>
        </w:r>
      </w:hyperlink>
      <w:r>
        <w:rPr>
          <w:sz w:val="22"/>
          <w:szCs w:val="22"/>
        </w:rPr>
        <w:t xml:space="preserve">, broke ground on the </w:t>
      </w:r>
      <w:hyperlink w:history="1" r:id="rIdwezdb7jp--xodfxuchet-">
        <w:r>
          <w:rPr>
            <w:rStyle w:val="Hyperlink"/>
            <w:sz w:val="22"/>
            <w:szCs w:val="22"/>
          </w:rPr>
          <w:t xml:space="preserve">50-story 1401 Brickell tower</w:t>
        </w:r>
      </w:hyperlink>
      <w:r>
        <w:rPr>
          <w:sz w:val="22"/>
          <w:szCs w:val="22"/>
        </w:rPr>
        <w:t xml:space="preserve"> in the financial district, and has run a Miami private-banking hub serving the Americas for more than 40 years, part of a regional presence it traces to 1979. It even runs the same Openbank digital brand it </w:t>
      </w:r>
      <w:hyperlink w:history="1" r:id="rId19sffjpue8cljtneg9gu-">
        <w:r>
          <w:rPr>
            <w:rStyle w:val="Hyperlink"/>
            <w:sz w:val="22"/>
            <w:szCs w:val="22"/>
          </w:rPr>
          <w:t xml:space="preserve">just launched in Mexico</w:t>
        </w:r>
      </w:hyperlink>
      <w:r>
        <w:rPr>
          <w:sz w:val="22"/>
          <w:szCs w:val="22"/>
        </w:rPr>
        <w:t xml:space="preserve">, turning Miami into a bridge between its US and Latin American franchises. The Dolphins deal also compounds an existing sports position: Santander is the Official Retail Banking Partner of Formula 1, and Hard Rock Stadium is home to the F1 Miami Grand Prix and a 2026 FIFA World Cup venue. One stadium, three global audiences, all disproportionately Latino and international.</w:t>
      </w:r>
    </w:p>
    <w:p>
      <w:pPr>
        <w:spacing w:after="120" w:before="280"/>
      </w:pPr>
      <w:r>
        <w:rPr>
          <w:b/>
          <w:bCs/>
          <w:color w:val="4B3FBF"/>
          <w:sz w:val="28"/>
          <w:szCs w:val="28"/>
        </w:rPr>
        <w:t xml:space="preserve">The pattern, and the catch</w:t>
      </w:r>
    </w:p>
    <w:p>
      <w:pPr>
        <w:spacing w:after="160" w:line="288"/>
      </w:pPr>
      <w:r>
        <w:rPr>
          <w:sz w:val="22"/>
          <w:szCs w:val="22"/>
        </w:rPr>
        <w:t xml:space="preserve">This is the same underlying move we have tracked across the sport-and-finance beat: sponsorship as the front door to a customer relationship rather than a billboard, from remittance brands landing on MLS kits to Capital One's MLB bet. Santander's version is the most trust-rich of the lot, because its brand equity in customers' home countries does part of the work a sponsorship usually has to do from scratch.</w:t>
      </w:r>
    </w:p>
    <w:p>
      <w:pPr>
        <w:spacing w:after="160" w:line="288"/>
      </w:pPr>
      <w:r>
        <w:rPr>
          <w:sz w:val="22"/>
          <w:szCs w:val="22"/>
        </w:rPr>
        <w:t xml:space="preserve">The catch is the same as always. Reach and even familiarity get you noticed; they do not close the relationship. A Portuguese-dominant Brazilian family or a Spanish-first Venezuelan entrepreneur will judge Santander on whether the app, the onboarding, the disclosures, and the service actually meet them in their language once the game ends. In a market that is two-thirds Spanish-speaking and heavily Portuguese, the bank that wins is the one whose in-language experience is as strong as its brand. Santander has the trust. The follow-through is where the touchdown is scored.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spacing w:after="160" w:line="288"/>
      </w:pPr>
      <w:r>
        <w:rPr>
          <w:i/>
          <w:iCs/>
          <w:sz w:val="22"/>
          <w:szCs w:val="22"/>
        </w:rPr>
        <w:t xml:space="preserve">TransPerfect helps banks and fintechs turn brand reach into funded, retained relationships with secure, compliant, in-language customer experiences across web, apps, servicing, and disclosures. [Explore our finance and banking language solutions »](https://www.transperfect.com/industries/finance-and-banking)</w:t>
      </w:r>
    </w:p>
    <w:p>
      <w:pPr>
        <w:spacing w:after="160" w:line="288"/>
      </w:pPr>
      <w:r>
        <w:rPr>
          <w:b/>
          <w:bCs/>
          <w:sz w:val="22"/>
          <w:szCs w:val="22"/>
        </w:rPr>
        <w:t xml:space="preserve">Related reading:</w:t>
      </w:r>
      <w:r>
        <w:rPr>
          <w:sz w:val="22"/>
          <w:szCs w:val="22"/>
        </w:rPr>
        <w:t xml:space="preserve"> </w:t>
      </w:r>
      <w:hyperlink w:history="1" r:id="rIdb9tcly52oy40vjv7jwi2f">
        <w:r>
          <w:rPr>
            <w:rStyle w:val="Hyperlink"/>
            <w:sz w:val="22"/>
            <w:szCs w:val="22"/>
          </w:rPr>
          <w:t xml:space="preserve">From Sponsor to Customer: Fintech's New Sports Playbook</w:t>
        </w:r>
      </w:hyperlink>
      <w:r>
        <w:rPr>
          <w:sz w:val="22"/>
          <w:szCs w:val="22"/>
        </w:rPr>
        <w:t xml:space="preserve"> and </w:t>
      </w:r>
      <w:hyperlink w:history="1" r:id="rIdjeq2mbii5yv8sexpy0tc6">
        <w:r>
          <w:rPr>
            <w:rStyle w:val="Hyperlink"/>
            <w:sz w:val="22"/>
            <w:szCs w:val="22"/>
          </w:rPr>
          <w:t xml:space="preserve">Buying Loyalty in a Second Language</w:t>
        </w:r>
      </w:hyperlink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 xml:space="preserve">(Buying Loyalty URL is a placeholder)</w:t>
      </w:r>
      <w:r>
        <w:rPr>
          <w:sz w:val="22"/>
          <w:szCs w:val="22"/>
        </w:rPr>
        <w:t xml:space="preserve">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spacing w:after="120" w:before="280"/>
      </w:pPr>
      <w:r>
        <w:rPr>
          <w:b/>
          <w:bCs/>
          <w:color w:val="4B3FBF"/>
          <w:sz w:val="28"/>
          <w:szCs w:val="28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sz w:val="22"/>
          <w:szCs w:val="22"/>
        </w:rPr>
        <w:t xml:space="preserve">Santander Bank Partners with Miami Dolphins and Hard Rock Stadium as It Expands Its South Florida Presence (Sep 24, 2026): </w:t>
      </w:r>
      <w:hyperlink w:history="1" r:id="rIdvg9vjyebhicxprebez90j">
        <w:r>
          <w:rPr>
            <w:rStyle w:val="Hyperlink"/>
            <w:sz w:val="22"/>
            <w:szCs w:val="22"/>
          </w:rPr>
          <w:t xml:space="preserve">Santander US</w:t>
        </w:r>
      </w:hyperlink>
      <w:r>
        <w:rPr>
          <w:sz w:val="22"/>
          <w:szCs w:val="22"/>
        </w:rPr>
        <w:t xml:space="preserve"> · </w:t>
      </w:r>
      <w:hyperlink w:history="1" r:id="rIdralm3mcctly35hmq-dsby">
        <w:r>
          <w:rPr>
            <w:rStyle w:val="Hyperlink"/>
            <w:sz w:val="22"/>
            <w:szCs w:val="22"/>
          </w:rPr>
          <w:t xml:space="preserve">Yahoo Finance / BusinessWire</w:t>
        </w:r>
      </w:hyperlink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sz w:val="22"/>
          <w:szCs w:val="22"/>
        </w:rPr>
        <w:t xml:space="preserve">Santander Introduces First Openbank Location in the United States at Miami Worldcenter (May 2025): </w:t>
      </w:r>
      <w:hyperlink w:history="1" r:id="rIdetfvkykf7kjlues9mklfr">
        <w:r>
          <w:rPr>
            <w:rStyle w:val="Hyperlink"/>
            <w:sz w:val="22"/>
            <w:szCs w:val="22"/>
          </w:rPr>
          <w:t xml:space="preserve">Santander</w:t>
        </w:r>
      </w:hyperlink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sz w:val="22"/>
          <w:szCs w:val="22"/>
        </w:rPr>
        <w:t xml:space="preserve">Santander Celebrates Groundbreaking of 1401 Brickell in Miami and Continued U.S. Growth: </w:t>
      </w:r>
      <w:hyperlink w:history="1" r:id="rId-umwmdoyos85nwzmfjo1d">
        <w:r>
          <w:rPr>
            <w:rStyle w:val="Hyperlink"/>
            <w:sz w:val="22"/>
            <w:szCs w:val="22"/>
          </w:rPr>
          <w:t xml:space="preserve">Santander US</w:t>
        </w:r>
      </w:hyperlink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sz w:val="22"/>
          <w:szCs w:val="22"/>
        </w:rPr>
        <w:t xml:space="preserve">Openbank launches in Mexico (Feb 2025): </w:t>
      </w:r>
      <w:hyperlink w:history="1" r:id="rId0dd1nrxggsza8nsoodp9k">
        <w:r>
          <w:rPr>
            <w:rStyle w:val="Hyperlink"/>
            <w:sz w:val="22"/>
            <w:szCs w:val="22"/>
          </w:rPr>
          <w:t xml:space="preserve">Santander</w:t>
        </w:r>
      </w:hyperlink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sz w:val="22"/>
          <w:szCs w:val="22"/>
        </w:rPr>
        <w:t xml:space="preserve">Miami as a global-first market and gateway to Latin America (~70% Hispanic): </w:t>
      </w:r>
      <w:hyperlink w:history="1" r:id="rIdwf5j1aqtj55ivijese0iw">
        <w:r>
          <w:rPr>
            <w:rStyle w:val="Hyperlink"/>
            <w:sz w:val="22"/>
            <w:szCs w:val="22"/>
          </w:rPr>
          <w:t xml:space="preserve">Miami-Dade Beacon Council</w:t>
        </w:r>
      </w:hyperlink>
      <w:r>
        <w:rPr>
          <w:sz w:val="22"/>
          <w:szCs w:val="22"/>
        </w:rPr>
        <w:t xml:space="preserve"> · </w:t>
      </w:r>
      <w:hyperlink w:history="1" r:id="rIdpj8vbu_alnlel3bpbwhxg">
        <w:r>
          <w:rPr>
            <w:rStyle w:val="Hyperlink"/>
            <w:sz w:val="22"/>
            <w:szCs w:val="22"/>
          </w:rPr>
          <w:t xml:space="preserve">Demographics of Miami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aycrmuqvh6n43myitym4" Type="http://schemas.openxmlformats.org/officeDocument/2006/relationships/hyperlink" Target="https://www.santanderus.com/news_press_article/santander-bank-partners-with-miami-dolphins-and-hard-rock-stadium-as-it-expands-its-south-florida-presence/" TargetMode="External"/><Relationship Id="rId_af43g_tjlgfzgi2dcqjg" Type="http://schemas.openxmlformats.org/officeDocument/2006/relationships/hyperlink" Target="https://www.beaconcouncil.com/global-first-market/" TargetMode="External"/><Relationship Id="rIdqbwhuoponvyhcf6fdzvqh" Type="http://schemas.openxmlformats.org/officeDocument/2006/relationships/hyperlink" Target="https://www.santander.com/en/press-room/press-releases/2025/05/santander-introduces-first-openbank-location-in-the-united-states-at-miami-worldcenter" TargetMode="External"/><Relationship Id="rIdwezdb7jp--xodfxuchet-" Type="http://schemas.openxmlformats.org/officeDocument/2006/relationships/hyperlink" Target="https://www.santanderus.com/news_press_article/santander-celebrates-groundbreaking-of-1401-brickell-in-miami-and-continued-u-s-growth/" TargetMode="External"/><Relationship Id="rId19sffjpue8cljtneg9gu-" Type="http://schemas.openxmlformats.org/officeDocument/2006/relationships/hyperlink" Target="https://www.santander.com/en/press-room/press-releases/2025/02/openbank-launches-in-mexico" TargetMode="External"/><Relationship Id="rIdb9tcly52oy40vjv7jwi2f" Type="http://schemas.openxmlformats.org/officeDocument/2006/relationships/hyperlink" Target="https://www.transperfect.com/blog/sponsor-customer-viamericas-revolut-and-fintechs-new-sports-playbook" TargetMode="External"/><Relationship Id="rIdjeq2mbii5yv8sexpy0tc6" Type="http://schemas.openxmlformats.org/officeDocument/2006/relationships/hyperlink" Target="https://www.transperfect.com/blog/buying-loyalty-in-a-second-language" TargetMode="External"/><Relationship Id="rIdvg9vjyebhicxprebez90j" Type="http://schemas.openxmlformats.org/officeDocument/2006/relationships/hyperlink" Target="https://www.santanderus.com/news_press_article/santander-bank-partners-with-miami-dolphins-and-hard-rock-stadium-as-it-expands-its-south-florida-presence/" TargetMode="External"/><Relationship Id="rIdralm3mcctly35hmq-dsby" Type="http://schemas.openxmlformats.org/officeDocument/2006/relationships/hyperlink" Target="https://finance.yahoo.com/media-advertising/articles/santander-bank-partners-miami-dolphins-170000821.html" TargetMode="External"/><Relationship Id="rIdetfvkykf7kjlues9mklfr" Type="http://schemas.openxmlformats.org/officeDocument/2006/relationships/hyperlink" Target="https://www.santander.com/en/press-room/press-releases/2025/05/santander-introduces-first-openbank-location-in-the-united-states-at-miami-worldcenter" TargetMode="External"/><Relationship Id="rId-umwmdoyos85nwzmfjo1d" Type="http://schemas.openxmlformats.org/officeDocument/2006/relationships/hyperlink" Target="https://www.santanderus.com/news_press_article/santander-celebrates-groundbreaking-of-1401-brickell-in-miami-and-continued-u-s-growth/" TargetMode="External"/><Relationship Id="rId0dd1nrxggsza8nsoodp9k" Type="http://schemas.openxmlformats.org/officeDocument/2006/relationships/hyperlink" Target="https://www.santander.com/en/press-room/press-releases/2025/02/openbank-launches-in-mexico" TargetMode="External"/><Relationship Id="rIdwf5j1aqtj55ivijese0iw" Type="http://schemas.openxmlformats.org/officeDocument/2006/relationships/hyperlink" Target="https://www.beaconcouncil.com/global-first-market/" TargetMode="External"/><Relationship Id="rIdpj8vbu_alnlel3bpbwhxg" Type="http://schemas.openxmlformats.org/officeDocument/2006/relationships/hyperlink" Target="https://en.wikipedia.org/wiki/Demographics_of_Miami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TransPerfect draft</dc:title>
  <dc:creator>TransPerfect Financial Services</dc:creator>
  <cp:lastModifiedBy>Un-named</cp:lastModifiedBy>
  <cp:revision>1</cp:revision>
  <dcterms:created xsi:type="dcterms:W3CDTF">2026-09-29T13:19:44.126Z</dcterms:created>
  <dcterms:modified xsi:type="dcterms:W3CDTF">2026-09-29T13:19:44.137Z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