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color w:val="1A1A2E"/>
          <w:sz w:val="36"/>
          <w:szCs w:val="36"/>
        </w:rPr>
        <w:t xml:space="preserve">Credit Unions Keep Buying Banks. The Integration Is a Language Problem.</w:t>
      </w:r>
    </w:p>
    <w:p>
      <w:pPr>
        <w:spacing w:after="160" w:line="288"/>
      </w:pPr>
      <w:r>
        <w:rPr>
          <w:i/>
          <w:iCs/>
          <w:sz w:val="22"/>
          <w:szCs w:val="22"/>
        </w:rPr>
        <w:t xml:space="preserve">The acquisition wave has cooled from its 2024 record, but deals like GECU and Gulf Winds keep closing. Each one hands a credit union a new customer base to win over, and increasingly, to win over in more than one language.</w:t>
      </w:r>
    </w:p>
    <w:p>
      <w:pPr>
        <w:spacing w:after="160" w:line="288"/>
      </w:pPr>
      <w:r>
        <w:rPr>
          <w:i/>
          <w:iCs/>
          <w:sz w:val="22"/>
          <w:szCs w:val="22"/>
        </w:rPr>
        <w:t xml:space="preserve">Draft for the TransPerfect Financial Services blog · 2026-10-07</w:t>
      </w:r>
    </w:p>
    <w:p>
      <w:pPr>
        <w:pBdr>
          <w:bottom w:val="single" w:color="CCCCCC" w:sz="6" w:space="1"/>
        </w:pBdr>
        <w:spacing w:after="120" w:before="120"/>
      </w:pPr>
      <w:r>
        <w:t xml:space="preserve"/>
      </w:r>
    </w:p>
    <w:p>
      <w:pPr>
        <w:spacing w:after="160" w:line="288"/>
      </w:pPr>
      <w:r>
        <w:rPr>
          <w:sz w:val="22"/>
          <w:szCs w:val="22"/>
        </w:rPr>
        <w:t xml:space="preserve">Credit unions have spent the past few years doing something that once seemed unlikely: buying banks outright. The pace peaked at a </w:t>
      </w:r>
      <w:hyperlink w:history="1" r:id="rIdd_4g-wv-4oisjgddi5x2_">
        <w:r>
          <w:rPr>
            <w:rStyle w:val="Hyperlink"/>
            <w:sz w:val="22"/>
            <w:szCs w:val="22"/>
          </w:rPr>
          <w:t xml:space="preserve">record 22 such deals announced in 2024</w:t>
        </w:r>
      </w:hyperlink>
      <w:r>
        <w:rPr>
          <w:sz w:val="22"/>
          <w:szCs w:val="22"/>
        </w:rPr>
        <w:t xml:space="preserve">, cooled to roughly 16 in 2025, and has slowed again to </w:t>
      </w:r>
      <w:hyperlink w:history="1" r:id="rId28rqp5n6eojpvql2izgws">
        <w:r>
          <w:rPr>
            <w:rStyle w:val="Hyperlink"/>
            <w:sz w:val="22"/>
            <w:szCs w:val="22"/>
          </w:rPr>
          <w:t xml:space="preserve">about seven announced through the first nine months of 2026</w:t>
        </w:r>
      </w:hyperlink>
      <w:r>
        <w:rPr>
          <w:sz w:val="22"/>
          <w:szCs w:val="22"/>
        </w:rPr>
        <w:t xml:space="preserve">. But slower is not stopped. In August, </w:t>
      </w:r>
      <w:hyperlink w:history="1" r:id="rIdnnveg1hpwhlls5-fhlncy">
        <w:r>
          <w:rPr>
            <w:rStyle w:val="Hyperlink"/>
            <w:sz w:val="22"/>
            <w:szCs w:val="22"/>
          </w:rPr>
          <w:t xml:space="preserve">GECU won regulatory approval to acquire Bank of the Southwest</w:t>
        </w:r>
      </w:hyperlink>
      <w:r>
        <w:rPr>
          <w:sz w:val="22"/>
          <w:szCs w:val="22"/>
        </w:rPr>
        <w:t xml:space="preserve">, a Roswell, New Mexico bank, with the deal set to close November 1. Florida's Gulf Winds Credit Union struck </w:t>
      </w:r>
      <w:hyperlink w:history="1" r:id="rId1pjyhrwgnk8uexja7imxc">
        <w:r>
          <w:rPr>
            <w:rStyle w:val="Hyperlink"/>
            <w:sz w:val="22"/>
            <w:szCs w:val="22"/>
          </w:rPr>
          <w:t xml:space="preserve">two bank deals in a single month</w:t>
        </w:r>
      </w:hyperlink>
      <w:r>
        <w:rPr>
          <w:sz w:val="22"/>
          <w:szCs w:val="22"/>
        </w:rPr>
        <w:t xml:space="preserve"> and is rebranding itself TruWorth. (The deal often cited as a milestone, ESL's purchase of Generations Bank, was actually </w:t>
      </w:r>
      <w:hyperlink w:history="1" r:id="rIdb8v8k8m6pynlhizfmy9ax">
        <w:r>
          <w:rPr>
            <w:rStyle w:val="Hyperlink"/>
            <w:sz w:val="22"/>
            <w:szCs w:val="22"/>
          </w:rPr>
          <w:t xml:space="preserve">2024's sixteenth such tie-up</w:t>
        </w:r>
      </w:hyperlink>
      <w:r>
        <w:rPr>
          <w:sz w:val="22"/>
          <w:szCs w:val="22"/>
        </w:rPr>
        <w:t xml:space="preserve">; it closed on January 1, 2026.)</w:t>
      </w:r>
    </w:p>
    <w:p>
      <w:pPr>
        <w:spacing w:after="160" w:line="288"/>
      </w:pPr>
      <w:r>
        <w:rPr>
          <w:sz w:val="22"/>
          <w:szCs w:val="22"/>
        </w:rPr>
        <w:t xml:space="preserve">The logic is straightforward. Acquiring a bank lets a credit union </w:t>
      </w:r>
      <w:hyperlink w:history="1" r:id="rIdrywvx4hjjl5bpme8fzsxo">
        <w:r>
          <w:rPr>
            <w:rStyle w:val="Hyperlink"/>
            <w:sz w:val="22"/>
            <w:szCs w:val="22"/>
          </w:rPr>
          <w:t xml:space="preserve">enter new markets, add branches, and expand into small-business and commercial lending</w:t>
        </w:r>
      </w:hyperlink>
      <w:r>
        <w:rPr>
          <w:sz w:val="22"/>
          <w:szCs w:val="22"/>
        </w:rPr>
        <w:t xml:space="preserve"> faster than organic growth allows, and there is still a healthy supply of small community banks under pressure to sell. Answering to members rather than shareholders, credit unions can often move decisively.</w:t>
      </w:r>
    </w:p>
    <w:p>
      <w:pPr>
        <w:spacing w:after="120" w:before="280"/>
      </w:pPr>
      <w:r>
        <w:rPr>
          <w:b/>
          <w:bCs/>
          <w:color w:val="4B3FBF"/>
          <w:sz w:val="28"/>
          <w:szCs w:val="28"/>
        </w:rPr>
        <w:t xml:space="preserve">The hard part starts after the close</w:t>
      </w:r>
    </w:p>
    <w:p>
      <w:pPr>
        <w:spacing w:after="160" w:line="288"/>
      </w:pPr>
      <w:r>
        <w:rPr>
          <w:sz w:val="22"/>
          <w:szCs w:val="22"/>
        </w:rPr>
        <w:t xml:space="preserve">The part that gets underestimated sits on the other side of the closing date. When a credit union absorbs a bank, it does not just acquire deposits and branches. It </w:t>
      </w:r>
      <w:hyperlink w:history="1" r:id="rIdtlcoinka4i29jmrr28pvj">
        <w:r>
          <w:rPr>
            <w:rStyle w:val="Hyperlink"/>
            <w:sz w:val="22"/>
            <w:szCs w:val="22"/>
          </w:rPr>
          <w:t xml:space="preserve">inherits the bank's customers, and their trust, mid-relationship</w:t>
        </w:r>
      </w:hyperlink>
      <w:r>
        <w:rPr>
          <w:sz w:val="22"/>
          <w:szCs w:val="22"/>
        </w:rPr>
        <w:t xml:space="preserve">. Every one of those customers is about to get new branding, new logins, new account terms, and a new institution's name on their statements. The standard reassurance, that accounts and service will not be impacted, is only true if the people affected actually understand what is changing. That is a communication problem before it is an operational one.</w:t>
      </w:r>
    </w:p>
    <w:p>
      <w:pPr>
        <w:spacing w:after="160" w:line="288"/>
      </w:pPr>
      <w:r>
        <w:rPr>
          <w:sz w:val="22"/>
          <w:szCs w:val="22"/>
        </w:rPr>
        <w:t xml:space="preserve">And increasingly it is a multilingual communication problem. Consider GECU. It is rooted in El Paso, one of the most Spanish-speaking metropolitan areas in the United States, and it is now expanding across the border region into New Mexico. Welcoming a new, substantially Spanish-speaking member base means the transition notices, disclosures, online-banking prompts, and call-center conversations all have to land in the member's language, not just in English. Get that wrong and you manufacture exactly the confusion, and the attrition, that an acquisition is supposed to avoid.</w:t>
      </w:r>
    </w:p>
    <w:p>
      <w:pPr>
        <w:spacing w:after="120" w:before="280"/>
      </w:pPr>
      <w:r>
        <w:rPr>
          <w:b/>
          <w:bCs/>
          <w:color w:val="4B3FBF"/>
          <w:sz w:val="28"/>
          <w:szCs w:val="28"/>
        </w:rPr>
        <w:t xml:space="preserve">Why the plumbing matters</w:t>
      </w:r>
    </w:p>
    <w:p>
      <w:pPr>
        <w:spacing w:after="160" w:line="288"/>
      </w:pPr>
      <w:r>
        <w:rPr>
          <w:sz w:val="22"/>
          <w:szCs w:val="22"/>
        </w:rPr>
        <w:t xml:space="preserve">This is where the unglamorous infrastructure of an integration earns its keep. Over-the-phone interpretation, the on-demand service that puts a live interpreter onto a member call within seconds, turns a contact center into one that can calmly handle a worried Spanish-speaking member on the day their bank becomes a credit union. Document translation keeps disclosures and account agreements both compliant and clear in every language. Multilingual onboarding and member communications carry the relationship through the rebrand.</w:t>
      </w:r>
    </w:p>
    <w:p>
      <w:pPr>
        <w:spacing w:after="160" w:line="288"/>
      </w:pPr>
      <w:r>
        <w:rPr>
          <w:sz w:val="22"/>
          <w:szCs w:val="22"/>
        </w:rPr>
        <w:t xml:space="preserve">The payoff is not abstract. Around </w:t>
      </w:r>
      <w:hyperlink w:history="1" r:id="rIdwzxzfcfr1yjmgt52hitaj">
        <w:r>
          <w:rPr>
            <w:rStyle w:val="Hyperlink"/>
            <w:sz w:val="22"/>
            <w:szCs w:val="22"/>
          </w:rPr>
          <w:t xml:space="preserve">three in four consumers say they are more likely to keep buying from a brand that supports them in their own language</w:t>
        </w:r>
      </w:hyperlink>
      <w:r>
        <w:rPr>
          <w:sz w:val="22"/>
          <w:szCs w:val="22"/>
        </w:rPr>
        <w:t xml:space="preserve">, and the preference sharpens at exactly the wrong moment to lose someone. Even bilingual customers tend to switch to their first language for conversations that are emotional, complex, or high-stakes, which is a fair description of "my bank just became a credit union and my login stopped working." With </w:t>
      </w:r>
      <w:hyperlink w:history="1" r:id="rIdpp98fn1nvgwlagejfc5u9">
        <w:r>
          <w:rPr>
            <w:rStyle w:val="Hyperlink"/>
            <w:sz w:val="22"/>
            <w:szCs w:val="22"/>
          </w:rPr>
          <w:t xml:space="preserve">more than 40 million people speaking Spanish at home in the United States</w:t>
        </w:r>
      </w:hyperlink>
      <w:r>
        <w:rPr>
          <w:sz w:val="22"/>
          <w:szCs w:val="22"/>
        </w:rPr>
        <w:t xml:space="preserve">, that instinct is not a niche to serve as an afterthought.</w:t>
      </w:r>
    </w:p>
    <w:p>
      <w:pPr>
        <w:spacing w:after="160" w:line="288"/>
      </w:pPr>
      <w:r>
        <w:rPr>
          <w:sz w:val="22"/>
          <w:szCs w:val="22"/>
        </w:rPr>
        <w:t xml:space="preserve">And the arithmetic is unforgiving. Winning a new customer costs </w:t>
      </w:r>
      <w:hyperlink w:history="1" r:id="rIdinwugi3kdf_ddhnz-7s3a">
        <w:r>
          <w:rPr>
            <w:rStyle w:val="Hyperlink"/>
            <w:sz w:val="22"/>
            <w:szCs w:val="22"/>
          </w:rPr>
          <w:t xml:space="preserve">roughly five times as much, by some estimates far more, as keeping an existing one</w:t>
        </w:r>
      </w:hyperlink>
      <w:r>
        <w:rPr>
          <w:sz w:val="22"/>
          <w:szCs w:val="22"/>
        </w:rPr>
        <w:t xml:space="preserve">, which makes attrition during a conversion the most expensive churn there is. Credit unions buy banks precisely to add members, deposits, and lending relationships they could not build fast enough on their own. Losing a meaningful slice of those members in a clumsy, English-only transition does not just dent a satisfaction score. It quietly undoes the economics of the purchase.</w:t>
      </w:r>
    </w:p>
    <w:p>
      <w:pPr>
        <w:spacing w:after="120" w:before="280"/>
      </w:pPr>
      <w:r>
        <w:rPr>
          <w:b/>
          <w:bCs/>
          <w:color w:val="4B3FBF"/>
          <w:sz w:val="28"/>
          <w:szCs w:val="28"/>
        </w:rPr>
        <w:t xml:space="preserve">The deal closes twice</w:t>
      </w:r>
    </w:p>
    <w:p>
      <w:pPr>
        <w:spacing w:after="160" w:line="288"/>
      </w:pPr>
      <w:r>
        <w:rPr>
          <w:sz w:val="22"/>
          <w:szCs w:val="22"/>
        </w:rPr>
        <w:t xml:space="preserve">A credit union-bank acquisition closes twice. It closes on paper on the effective date, and it closes with members when they feel informed, served, and recognized, usually in the language they actually bank in. The institutions still buying banks in a slower 2026 are paying real money for new customers. Whether they keep them will come down to something that never appears in the purchase price: how well they talk to the people they just bought.</w:t>
      </w:r>
    </w:p>
    <w:p>
      <w:pPr>
        <w:pBdr>
          <w:bottom w:val="single" w:color="CCCCCC" w:sz="6" w:space="1"/>
        </w:pBdr>
        <w:spacing w:after="120" w:before="120"/>
      </w:pPr>
      <w:r>
        <w:t xml:space="preserve"/>
      </w:r>
    </w:p>
    <w:p>
      <w:pPr>
        <w:spacing w:after="160" w:line="288"/>
      </w:pPr>
      <w:r>
        <w:rPr>
          <w:i/>
          <w:iCs/>
          <w:sz w:val="22"/>
          <w:szCs w:val="22"/>
        </w:rPr>
        <w:t xml:space="preserve">TransPerfect helps banks and credit unions make acquisitions stick, with over-the-phone interpretation, multilingual contact-center support, and document translation that keep members informed and served in their language through onboarding, rebrands, and integrations. [Explore our finance and banking language solutions »](https://www.transperfect.com/industries/finance-and-banking)</w:t>
      </w:r>
    </w:p>
    <w:p>
      <w:pPr>
        <w:spacing w:after="160" w:line="288"/>
      </w:pPr>
      <w:r>
        <w:rPr>
          <w:b/>
          <w:bCs/>
          <w:sz w:val="22"/>
          <w:szCs w:val="22"/>
        </w:rPr>
        <w:t xml:space="preserve">Related reading:</w:t>
      </w:r>
      <w:r>
        <w:rPr>
          <w:sz w:val="22"/>
          <w:szCs w:val="22"/>
        </w:rPr>
        <w:t xml:space="preserve"> </w:t>
      </w:r>
      <w:hyperlink w:history="1" r:id="rIdohs4k_vlzubqed5aohxza">
        <w:r>
          <w:rPr>
            <w:rStyle w:val="Hyperlink"/>
            <w:sz w:val="22"/>
            <w:szCs w:val="22"/>
          </w:rPr>
          <w:t xml:space="preserve">Repriced Before the Robots Arrived: AI and the New Economics of CX</w:t>
        </w:r>
      </w:hyperlink>
      <w:r>
        <w:rPr>
          <w:sz w:val="22"/>
          <w:szCs w:val="22"/>
        </w:rPr>
        <w:t xml:space="preserve"> and </w:t>
      </w:r>
      <w:hyperlink w:history="1" r:id="rId8xrds2w4x-fhfcjuvbarh">
        <w:r>
          <w:rPr>
            <w:rStyle w:val="Hyperlink"/>
            <w:sz w:val="22"/>
            <w:szCs w:val="22"/>
          </w:rPr>
          <w:t xml:space="preserve">Buying Loyalty in a Second Language</w:t>
        </w:r>
      </w:hyperlink>
      <w:r>
        <w:rPr>
          <w:sz w:val="22"/>
          <w:szCs w:val="22"/>
        </w:rPr>
        <w:t xml:space="preserve"> </w:t>
      </w:r>
      <w:r>
        <w:rPr>
          <w:i/>
          <w:iCs/>
          <w:sz w:val="22"/>
          <w:szCs w:val="22"/>
        </w:rPr>
        <w:t xml:space="preserve">(both URLs are placeholders, swap for live)</w:t>
      </w:r>
      <w:r>
        <w:rPr>
          <w:sz w:val="22"/>
          <w:szCs w:val="22"/>
        </w:rPr>
        <w:t xml:space="preserve">.</w:t>
      </w:r>
    </w:p>
    <w:p>
      <w:pPr>
        <w:pBdr>
          <w:bottom w:val="single" w:color="CCCCCC" w:sz="6" w:space="1"/>
        </w:pBdr>
        <w:spacing w:after="120" w:before="120"/>
      </w:pPr>
      <w:r>
        <w:t xml:space="preserve"/>
      </w:r>
    </w:p>
    <w:p>
      <w:pPr>
        <w:spacing w:after="120" w:before="280"/>
      </w:pPr>
      <w:r>
        <w:rPr>
          <w:b/>
          <w:bCs/>
          <w:color w:val="4B3FBF"/>
          <w:sz w:val="28"/>
          <w:szCs w:val="28"/>
        </w:rPr>
        <w:t xml:space="preserve">Sources</w:t>
      </w:r>
    </w:p>
    <w:p>
      <w:pPr>
        <w:pStyle w:val="ListParagraph"/>
        <w:numPr>
          <w:ilvl w:val="0"/>
          <w:numId w:val="2"/>
        </w:numPr>
        <w:spacing w:after="100" w:line="288"/>
      </w:pPr>
      <w:r>
        <w:rPr>
          <w:sz w:val="22"/>
          <w:szCs w:val="22"/>
        </w:rPr>
        <w:t xml:space="preserve">GECU Receives Regulatory Approval to Acquire Bank of the Southwest (closes Nov 1, 2026; expands into New Mexico): </w:t>
      </w:r>
      <w:hyperlink w:history="1" r:id="rIdbuzcvryh5ec6qjbu28ecw">
        <w:r>
          <w:rPr>
            <w:rStyle w:val="Hyperlink"/>
            <w:sz w:val="22"/>
            <w:szCs w:val="22"/>
          </w:rPr>
          <w:t xml:space="preserve">Yahoo Finance / PR Newswire</w:t>
        </w:r>
      </w:hyperlink>
      <w:r>
        <w:rPr>
          <w:sz w:val="22"/>
          <w:szCs w:val="22"/>
        </w:rPr>
        <w:t xml:space="preserve"> · </w:t>
      </w:r>
      <w:hyperlink w:history="1" r:id="rIdhf_y39ue245eujlxmh553">
        <w:r>
          <w:rPr>
            <w:rStyle w:val="Hyperlink"/>
            <w:sz w:val="22"/>
            <w:szCs w:val="22"/>
          </w:rPr>
          <w:t xml:space="preserve">Albuquerque Journal</w:t>
        </w:r>
      </w:hyperlink>
    </w:p>
    <w:p>
      <w:pPr>
        <w:pStyle w:val="ListParagraph"/>
        <w:numPr>
          <w:ilvl w:val="0"/>
          <w:numId w:val="2"/>
        </w:numPr>
        <w:spacing w:after="100" w:line="288"/>
      </w:pPr>
      <w:r>
        <w:rPr>
          <w:sz w:val="22"/>
          <w:szCs w:val="22"/>
        </w:rPr>
        <w:t xml:space="preserve">Gulf Winds Credit Union to acquire Madison County Community Bank and Peoples Exchange Bank; rebrand to TruWorth: </w:t>
      </w:r>
      <w:hyperlink w:history="1" r:id="rIdnlyyp8p75ok1nzo3wmqo-">
        <w:r>
          <w:rPr>
            <w:rStyle w:val="Hyperlink"/>
            <w:sz w:val="22"/>
            <w:szCs w:val="22"/>
          </w:rPr>
          <w:t xml:space="preserve">Banking Dive (Madison County / rebrand)</w:t>
        </w:r>
      </w:hyperlink>
      <w:r>
        <w:rPr>
          <w:sz w:val="22"/>
          <w:szCs w:val="22"/>
        </w:rPr>
        <w:t xml:space="preserve"> · </w:t>
      </w:r>
      <w:hyperlink w:history="1" r:id="rIdlbypo4vdnz-pmn31c4sax">
        <w:r>
          <w:rPr>
            <w:rStyle w:val="Hyperlink"/>
            <w:sz w:val="22"/>
            <w:szCs w:val="22"/>
          </w:rPr>
          <w:t xml:space="preserve">Banking Dive (Peoples Exchange; 2026 pace)</w:t>
        </w:r>
      </w:hyperlink>
    </w:p>
    <w:p>
      <w:pPr>
        <w:pStyle w:val="ListParagraph"/>
        <w:numPr>
          <w:ilvl w:val="0"/>
          <w:numId w:val="2"/>
        </w:numPr>
        <w:spacing w:after="100" w:line="288"/>
      </w:pPr>
      <w:r>
        <w:rPr>
          <w:sz w:val="22"/>
          <w:szCs w:val="22"/>
        </w:rPr>
        <w:t xml:space="preserve">Credit union-bank deals hit a record 22 in 2024: </w:t>
      </w:r>
      <w:hyperlink w:history="1" r:id="rIdvjgbhtjgkqtiav_pq22ne">
        <w:r>
          <w:rPr>
            <w:rStyle w:val="Hyperlink"/>
            <w:sz w:val="22"/>
            <w:szCs w:val="22"/>
          </w:rPr>
          <w:t xml:space="preserve">Banking Dive</w:t>
        </w:r>
      </w:hyperlink>
    </w:p>
    <w:p>
      <w:pPr>
        <w:pStyle w:val="ListParagraph"/>
        <w:numPr>
          <w:ilvl w:val="0"/>
          <w:numId w:val="2"/>
        </w:numPr>
        <w:spacing w:after="100" w:line="288"/>
      </w:pPr>
      <w:r>
        <w:rPr>
          <w:sz w:val="22"/>
          <w:szCs w:val="22"/>
        </w:rPr>
        <w:t xml:space="preserve">ESL to buy Generations Bank (2024's 16th CU-bank deal; closed Jan 1, 2026): </w:t>
      </w:r>
      <w:hyperlink w:history="1" r:id="rIdefhunt2glim5t4p8oxm4n">
        <w:r>
          <w:rPr>
            <w:rStyle w:val="Hyperlink"/>
            <w:sz w:val="22"/>
            <w:szCs w:val="22"/>
          </w:rPr>
          <w:t xml:space="preserve">Banking Dive</w:t>
        </w:r>
      </w:hyperlink>
      <w:r>
        <w:rPr>
          <w:sz w:val="22"/>
          <w:szCs w:val="22"/>
        </w:rPr>
        <w:t xml:space="preserve"> · </w:t>
      </w:r>
      <w:hyperlink w:history="1" r:id="rId2i4p2iconejwqw01zq82t">
        <w:r>
          <w:rPr>
            <w:rStyle w:val="Hyperlink"/>
            <w:sz w:val="22"/>
            <w:szCs w:val="22"/>
          </w:rPr>
          <w:t xml:space="preserve">Rochester Business Journal (completion)</w:t>
        </w:r>
      </w:hyperlink>
    </w:p>
    <w:p>
      <w:pPr>
        <w:pStyle w:val="ListParagraph"/>
        <w:numPr>
          <w:ilvl w:val="0"/>
          <w:numId w:val="2"/>
        </w:numPr>
        <w:spacing w:after="100" w:line="288"/>
      </w:pPr>
      <w:r>
        <w:rPr>
          <w:sz w:val="22"/>
          <w:szCs w:val="22"/>
        </w:rPr>
        <w:t xml:space="preserve">Why credit unions are buying community banks: </w:t>
      </w:r>
      <w:hyperlink w:history="1" r:id="rIdx7fdolcawognzl27ttxom">
        <w:r>
          <w:rPr>
            <w:rStyle w:val="Hyperlink"/>
            <w:sz w:val="22"/>
            <w:szCs w:val="22"/>
          </w:rPr>
          <w:t xml:space="preserve">The Financial Brand</w:t>
        </w:r>
      </w:hyperlink>
    </w:p>
    <w:p>
      <w:pPr>
        <w:pStyle w:val="ListParagraph"/>
        <w:numPr>
          <w:ilvl w:val="0"/>
          <w:numId w:val="2"/>
        </w:numPr>
        <w:spacing w:after="100" w:line="288"/>
      </w:pPr>
      <w:r>
        <w:rPr>
          <w:sz w:val="22"/>
          <w:szCs w:val="22"/>
        </w:rPr>
        <w:t xml:space="preserve">How credit unions can integrate acquired bank customers: </w:t>
      </w:r>
      <w:hyperlink w:history="1" r:id="rIdeu-8ppo7vjvtl_ktno9y2">
        <w:r>
          <w:rPr>
            <w:rStyle w:val="Hyperlink"/>
            <w:sz w:val="22"/>
            <w:szCs w:val="22"/>
          </w:rPr>
          <w:t xml:space="preserve">Oak Tree Business</w:t>
        </w:r>
      </w:hyperlink>
    </w:p>
    <w:p>
      <w:pPr>
        <w:pStyle w:val="ListParagraph"/>
        <w:numPr>
          <w:ilvl w:val="0"/>
          <w:numId w:val="2"/>
        </w:numPr>
        <w:spacing w:after="100" w:line="288"/>
      </w:pPr>
      <w:r>
        <w:rPr>
          <w:sz w:val="22"/>
          <w:szCs w:val="22"/>
        </w:rPr>
        <w:t xml:space="preserve">Consumers prefer their own language (~75% more likely to repurchase when care is in-language): </w:t>
      </w:r>
      <w:hyperlink w:history="1" r:id="rIdtzd6led7_f_2lvpgrpdyc">
        <w:r>
          <w:rPr>
            <w:rStyle w:val="Hyperlink"/>
            <w:sz w:val="22"/>
            <w:szCs w:val="22"/>
          </w:rPr>
          <w:t xml:space="preserve">CSA Research</w:t>
        </w:r>
      </w:hyperlink>
    </w:p>
    <w:p>
      <w:pPr>
        <w:pStyle w:val="ListParagraph"/>
        <w:numPr>
          <w:ilvl w:val="0"/>
          <w:numId w:val="2"/>
        </w:numPr>
        <w:spacing w:after="100" w:line="288"/>
      </w:pPr>
      <w:r>
        <w:rPr>
          <w:sz w:val="22"/>
          <w:szCs w:val="22"/>
        </w:rPr>
        <w:t xml:space="preserve">Languages spoken at home in the US (40M+ Spanish): </w:t>
      </w:r>
      <w:hyperlink w:history="1" r:id="rIdxqwd6gjovtshmwfog-cx4">
        <w:r>
          <w:rPr>
            <w:rStyle w:val="Hyperlink"/>
            <w:sz w:val="22"/>
            <w:szCs w:val="22"/>
          </w:rPr>
          <w:t xml:space="preserve">U.S. Census Bureau</w:t>
        </w:r>
      </w:hyperlink>
    </w:p>
    <w:p>
      <w:pPr>
        <w:pStyle w:val="ListParagraph"/>
        <w:numPr>
          <w:ilvl w:val="0"/>
          <w:numId w:val="2"/>
        </w:numPr>
        <w:spacing w:after="100" w:line="288"/>
      </w:pPr>
      <w:r>
        <w:rPr>
          <w:sz w:val="22"/>
          <w:szCs w:val="22"/>
        </w:rPr>
        <w:t xml:space="preserve">The cost of acquiring vs. retaining a customer (roughly 5x or more): </w:t>
      </w:r>
      <w:hyperlink w:history="1" r:id="rIdmyk71j6voonmbdr9jsjd9">
        <w:r>
          <w:rPr>
            <w:rStyle w:val="Hyperlink"/>
            <w:sz w:val="22"/>
            <w:szCs w:val="22"/>
          </w:rPr>
          <w:t xml:space="preserve">Harvard Business Review</w:t>
        </w:r>
      </w:hyperlink>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d_4g-wv-4oisjgddi5x2_" Type="http://schemas.openxmlformats.org/officeDocument/2006/relationships/hyperlink" Target="https://www.bankingdive.com/news/massachusetts-michigan-deals-push-credit-union-bank-record-to-22/736320/" TargetMode="External"/><Relationship Id="rId28rqp5n6eojpvql2izgws" Type="http://schemas.openxmlformats.org/officeDocument/2006/relationships/hyperlink" Target="https://www.bankingdive.com/news/gulf-winds-credit-union-florida-to-buy-alabama-bank-peoples-exchange-truworth/831653/" TargetMode="External"/><Relationship Id="rIdnnveg1hpwhlls5-fhlncy" Type="http://schemas.openxmlformats.org/officeDocument/2006/relationships/hyperlink" Target="https://finance.yahoo.com/economy/policy/articles/gecu-receives-regulatory-approval-acquire-163700036.html" TargetMode="External"/><Relationship Id="rId1pjyhrwgnk8uexja7imxc" Type="http://schemas.openxmlformats.org/officeDocument/2006/relationships/hyperlink" Target="https://www.bankingdive.com/news/gulf-winds-credit-union-florida-acquiring-madison-county-community-bank-rebrand/828841/" TargetMode="External"/><Relationship Id="rIdb8v8k8m6pynlhizfmy9ax" Type="http://schemas.openxmlformats.org/officeDocument/2006/relationships/hyperlink" Target="https://www.bankingdive.com/news/esl-federal-credit-union-to-buy-generations-bank/727920/" TargetMode="External"/><Relationship Id="rIdrywvx4hjjl5bpme8fzsxo" Type="http://schemas.openxmlformats.org/officeDocument/2006/relationships/hyperlink" Target="https://thefinancialbrand.com/news/banking-trends-strategies/why-credit-unions-are-buying-community-banks-faster-than-ever-177538" TargetMode="External"/><Relationship Id="rIdtlcoinka4i29jmrr28pvj" Type="http://schemas.openxmlformats.org/officeDocument/2006/relationships/hyperlink" Target="https://oaktreebiz.com/2026/09/14/how-can-credit-unions-integrate-acquired-bank-customers" TargetMode="External"/><Relationship Id="rIdwzxzfcfr1yjmgt52hitaj" Type="http://schemas.openxmlformats.org/officeDocument/2006/relationships/hyperlink" Target="https://csa-research.com/l/media/Consumers-Prefer-their-Own-Language" TargetMode="External"/><Relationship Id="rIdpp98fn1nvgwlagejfc5u9" Type="http://schemas.openxmlformats.org/officeDocument/2006/relationships/hyperlink" Target="https://www.census.gov/newsroom/press-releases/2025/2017-2021-acs-language-use-tables.html" TargetMode="External"/><Relationship Id="rIdinwugi3kdf_ddhnz-7s3a" Type="http://schemas.openxmlformats.org/officeDocument/2006/relationships/hyperlink" Target="https://hbr.org/2014/10/the-value-of-keeping-the-right-customers" TargetMode="External"/><Relationship Id="rIdohs4k_vlzubqed5aohxza" Type="http://schemas.openxmlformats.org/officeDocument/2006/relationships/hyperlink" Target="https://www.transperfect.com/blog/repriced-before-the-robots-arrived" TargetMode="External"/><Relationship Id="rId8xrds2w4x-fhfcjuvbarh" Type="http://schemas.openxmlformats.org/officeDocument/2006/relationships/hyperlink" Target="https://www.transperfect.com/blog/buying-loyalty-in-a-second-language" TargetMode="External"/><Relationship Id="rIdbuzcvryh5ec6qjbu28ecw" Type="http://schemas.openxmlformats.org/officeDocument/2006/relationships/hyperlink" Target="https://finance.yahoo.com/economy/policy/articles/gecu-receives-regulatory-approval-acquire-163700036.html" TargetMode="External"/><Relationship Id="rIdhf_y39ue245eujlxmh553" Type="http://schemas.openxmlformats.org/officeDocument/2006/relationships/hyperlink" Target="https://www.abqjournal.com/business/el-paso-credit-union-wins-approval-to-purchase-roswell-based-bank-of-the-southwest/3110662" TargetMode="External"/><Relationship Id="rIdnlyyp8p75ok1nzo3wmqo-" Type="http://schemas.openxmlformats.org/officeDocument/2006/relationships/hyperlink" Target="https://www.bankingdive.com/news/gulf-winds-credit-union-florida-acquiring-madison-county-community-bank-rebrand/828841/" TargetMode="External"/><Relationship Id="rIdlbypo4vdnz-pmn31c4sax" Type="http://schemas.openxmlformats.org/officeDocument/2006/relationships/hyperlink" Target="https://www.bankingdive.com/news/gulf-winds-credit-union-florida-to-buy-alabama-bank-peoples-exchange-truworth/831653/" TargetMode="External"/><Relationship Id="rIdvjgbhtjgkqtiav_pq22ne" Type="http://schemas.openxmlformats.org/officeDocument/2006/relationships/hyperlink" Target="https://www.bankingdive.com/news/massachusetts-michigan-deals-push-credit-union-bank-record-to-22/736320/" TargetMode="External"/><Relationship Id="rIdefhunt2glim5t4p8oxm4n" Type="http://schemas.openxmlformats.org/officeDocument/2006/relationships/hyperlink" Target="https://www.bankingdive.com/news/esl-federal-credit-union-to-buy-generations-bank/727920/" TargetMode="External"/><Relationship Id="rId2i4p2iconejwqw01zq82t" Type="http://schemas.openxmlformats.org/officeDocument/2006/relationships/hyperlink" Target="https://rbj.net/2026/01/05/esl-completes-generations-bank-acquisition-expands-finger-lakes-footprint/" TargetMode="External"/><Relationship Id="rIdx7fdolcawognzl27ttxom" Type="http://schemas.openxmlformats.org/officeDocument/2006/relationships/hyperlink" Target="https://thefinancialbrand.com/news/banking-trends-strategies/why-credit-unions-are-buying-community-banks-faster-than-ever-177538" TargetMode="External"/><Relationship Id="rIdeu-8ppo7vjvtl_ktno9y2" Type="http://schemas.openxmlformats.org/officeDocument/2006/relationships/hyperlink" Target="https://oaktreebiz.com/2026/09/14/how-can-credit-unions-integrate-acquired-bank-customers" TargetMode="External"/><Relationship Id="rIdtzd6led7_f_2lvpgrpdyc" Type="http://schemas.openxmlformats.org/officeDocument/2006/relationships/hyperlink" Target="https://csa-research.com/l/media/Consumers-Prefer-their-Own-Language" TargetMode="External"/><Relationship Id="rIdxqwd6gjovtshmwfog-cx4" Type="http://schemas.openxmlformats.org/officeDocument/2006/relationships/hyperlink" Target="https://www.census.gov/newsroom/press-releases/2025/2017-2021-acs-language-use-tables.html" TargetMode="External"/><Relationship Id="rIdmyk71j6voonmbdr9jsjd9" Type="http://schemas.openxmlformats.org/officeDocument/2006/relationships/hyperlink" Target="https://hbr.org/2014/10/the-value-of-keeping-the-right-customers"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TransPerfect draft</dc:title>
  <dc:creator>TransPerfect Financial Services</dc:creator>
  <cp:lastModifiedBy>Un-named</cp:lastModifiedBy>
  <cp:revision>1</cp:revision>
  <dcterms:created xsi:type="dcterms:W3CDTF">2026-10-08T14:47:28.586Z</dcterms:created>
  <dcterms:modified xsi:type="dcterms:W3CDTF">2026-10-08T14:47:28.586Z</dcterms:modified>
</cp:coreProperties>
</file>

<file path=docProps/custom.xml><?xml version="1.0" encoding="utf-8"?>
<Properties xmlns="http://schemas.openxmlformats.org/officeDocument/2006/custom-properties" xmlns:vt="http://schemas.openxmlformats.org/officeDocument/2006/docPropsVTypes"/>
</file>