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120" w:line="252" w:lineRule="auto"/>
        <w:jc w:val="left"/>
      </w:pPr>
      <w:r>
        <w:rPr>
          <w:rFonts w:ascii="Calibri" w:hAnsi="Calibri"/>
          <w:b/>
          <w:color w:val="0B2545"/>
          <w:sz w:val="44"/>
        </w:rPr>
        <w:t>Candidate Awards In Leadership Continuity</w:t>
      </w:r>
    </w:p>
    <w:p>
      <w:pPr>
        <w:pStyle w:val="Subtitle"/>
        <w:jc w:val="left"/>
      </w:pPr>
      <w:r>
        <w:t>Implementation summary prepared on July 20, 2026. This document explains the new Bronze, Silver, Gold, and Platinum recognition logic now available in the candidate workflow.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keepNext w:val="0"/>
              <w:spacing w:before="40" w:after="40" w:line="264" w:lineRule="auto"/>
            </w:pPr>
            <w:r>
              <w:rPr>
                <w:rFonts w:ascii="Calibri" w:hAnsi="Calibri"/>
                <w:b/>
                <w:color w:val="0B2545"/>
                <w:sz w:val="22"/>
              </w:rPr>
              <w:t>Core idea: the system converts role-goal readiness into a recognition tier, then applies milestone gates so the award reflects both readiness and real mentoring progress.</w:t>
            </w:r>
          </w:p>
        </w:tc>
      </w:tr>
    </w:tbl>
    <w:p>
      <w:pPr>
        <w:pStyle w:val="Heading1"/>
      </w:pPr>
      <w:r>
        <w:t>How the score is translated into awards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Platinum: 100% or higher role-goal readiness.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Gold: 90.0% to 99.9% role-goal readiness.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Silver: 75.0% to 89.9% role-goal readiness.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Bronze: 60.0% to 74.9% role-goal readiness.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Below 60.0%: no award yet.</w:t>
      </w:r>
    </w:p>
    <w:p>
      <w:pPr>
        <w:keepNext w:val="0"/>
        <w:spacing w:before="0" w:after="120" w:line="264" w:lineRule="auto"/>
      </w:pPr>
      <w:r>
        <w:rPr>
          <w:b/>
        </w:rPr>
        <w:t xml:space="preserve">Role-goal readiness formula: </w:t>
      </w:r>
      <w:r>
        <w:t>each competency at or above the role goal counts as 100%. Scores below goal count as the percent of goal achieved, and those percentages are averaged across the competency chart.</w:t>
      </w:r>
    </w:p>
    <w:p>
      <w:pPr>
        <w:pStyle w:val="Heading1"/>
      </w:pPr>
      <w:r>
        <w:t>Milestone gates that cap the award</w:t>
      </w:r>
    </w:p>
    <w:p>
      <w:pPr>
        <w:pStyle w:val="ListNumber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If no mentor is assigned, the candidate can earn at most Bronze.</w:t>
      </w:r>
    </w:p>
    <w:p>
      <w:pPr>
        <w:pStyle w:val="ListNumber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If a mentor is assigned but no leadership development record has been saved, the candidate can earn at most Silver.</w:t>
      </w:r>
    </w:p>
    <w:p>
      <w:pPr>
        <w:pStyle w:val="ListNumber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If a development record exists but no mentor review has been completed, the candidate can earn at most Gold.</w:t>
      </w:r>
    </w:p>
    <w:p>
      <w:pPr>
        <w:pStyle w:val="ListNumber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Platinum requires both 100%+ readiness and at least one mentor-reviewed development record.</w:t>
      </w:r>
    </w:p>
    <w:p>
      <w:pPr>
        <w:keepNext w:val="0"/>
        <w:spacing w:before="0" w:after="120" w:line="264" w:lineRule="auto"/>
      </w:pPr>
      <w:r>
        <w:rPr>
          <w:b/>
        </w:rPr>
        <w:t xml:space="preserve">Why the gates matter: </w:t>
      </w:r>
      <w:r>
        <w:t>they prevent a candidate from receiving the highest recognition solely from assessment data. The award now reflects a blend of readiness, mentoring engagement, and documented development activity.</w:t>
      </w:r>
    </w:p>
    <w:p>
      <w:pPr>
        <w:pStyle w:val="Heading1"/>
      </w:pPr>
      <w:r>
        <w:t>Where the award now appears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Candidate list: each candidate now shows a recognition badge alongside readiness details.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Candidate workflow panel: the selected candidate summary now includes role-goal readiness and recognition level.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Candidate role-fit workspace: the role-goal readiness card now shows the current award, a short explanation, and the next milestone needed to advance.</w:t>
      </w:r>
    </w:p>
    <w:p>
      <w:pPr>
        <w:pStyle w:val="Heading1"/>
      </w:pPr>
      <w:r>
        <w:t>Recommended use in the program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Use Bronze and Silver to recognize candidates building momentum and engaging with the process.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Use Gold to highlight strong succession prospects who have an active development record in motion.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Reserve Platinum for candidates who are truly role-ready and have mentor-reviewed evidence behind that conclusion.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Use the same award helper later in dashboards, exports, and recognition reporting so every surface stays consistent.</w:t>
      </w:r>
    </w:p>
    <w:p>
      <w:pPr>
        <w:pStyle w:val="Heading1"/>
      </w:pPr>
      <w:r>
        <w:t>Example award outcomes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A candidate at 92.0% readiness with no mentor assigned will display Bronze until a mentor is attached.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A candidate at 92.0% readiness with a mentor but no saved development record will display Silver.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A candidate at 103.0% readiness with a saved development record but no mentor review will display Gold.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A candidate at 103.0% readiness with a mentor-reviewed development record will display Platinum.</w:t>
      </w:r>
    </w:p>
    <w:p>
      <w:pPr>
        <w:pStyle w:val="Heading1"/>
      </w:pPr>
      <w:r>
        <w:t>Suggested future extensions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Track award history over time so leaders can see when candidates move from Bronze to Platinum.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Surface counts of Bronze, Silver, Gold, and Platinum candidates in dashboard summary cards.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Tie recognition announcements or certificates to a completed mentor review rather than to readiness math alone.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color w:val="7A8697"/>
        <w:sz w:val="18"/>
      </w:rPr>
      <w:t>Leadership Continuity Candidate Awards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/>
        <w:b/>
        <w:color w:val="5B6B82"/>
        <w:sz w:val="18"/>
      </w:rPr>
      <w:t>LEADERSHIP CONTINUITY AWARD FRAMEWORK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333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4" w:lineRule="auto"/>
    </w:pPr>
    <w:rPr>
      <w:rFonts w:asciiTheme="majorHAnsi" w:eastAsiaTheme="majorEastAsia" w:hAnsiTheme="majorHAnsi" w:cstheme="majorBidi" w:ascii="Calibri" w:hAnsi="Calibri"/>
      <w:i/>
      <w:iCs/>
      <w:color w:val="5B6B82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