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16"/>
          <w:szCs w:val="16"/>
          <w:rtl w:val="0"/>
        </w:rPr>
        <w:t xml:space="preserve">BMS&amp;CO.  ×  BETWARRIOR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2"/>
          <w:szCs w:val="52"/>
          <w:rtl w:val="0"/>
        </w:rPr>
        <w:t xml:space="preserve">Parceria de Influencer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6"/>
          <w:szCs w:val="26"/>
          <w:rtl w:val="0"/>
        </w:rPr>
        <w:t xml:space="preserve">Proposta comercial </w:t>
      </w:r>
      <w:r w:rsidDel="00000000" w:rsidR="00000000" w:rsidRPr="00000000">
        <w:rPr>
          <w:color w:val="6b728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6b7280"/>
          <w:sz w:val="26"/>
          <w:szCs w:val="26"/>
          <w:rtl w:val="0"/>
        </w:rPr>
        <w:t xml:space="preserve">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626"/>
        <w:tblGridChange w:id="0">
          <w:tblGrid>
            <w:gridCol w:w="44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Influencers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Tanos  ·  Casal Win  ·  BrunoBT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af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Fee fixo + Performance sobre GGR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Documento confidencial. </w:t>
      </w:r>
      <w:r w:rsidDel="00000000" w:rsidR="00000000" w:rsidRPr="00000000">
        <w:rPr>
          <w:i w:val="1"/>
          <w:iCs w:val="1"/>
          <w:color w:val="6b7280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 distribuir sem </w:t>
      </w:r>
      <w:r w:rsidDel="00000000" w:rsidR="00000000" w:rsidRPr="00000000">
        <w:rPr>
          <w:i w:val="1"/>
          <w:iCs w:val="1"/>
          <w:color w:val="6b7280"/>
          <w:rtl w:val="0"/>
        </w:rPr>
        <w:t xml:space="preserve">autorização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e5e7eb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0"/>
          <w:szCs w:val="30"/>
          <w:rtl w:val="0"/>
        </w:rPr>
        <w:t xml:space="preserve">O que estamos propondo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Ter uma </w:t>
      </w:r>
      <w:r w:rsidDel="00000000" w:rsidR="00000000" w:rsidRPr="00000000">
        <w:rPr>
          <w:color w:val="111827"/>
          <w:rtl w:val="0"/>
        </w:rPr>
        <w:t xml:space="preserve">operação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de influencer marketing 100% orientada a performance. Cada deal tem meta de </w:t>
      </w:r>
      <w:r w:rsidDel="00000000" w:rsidR="00000000" w:rsidRPr="00000000">
        <w:rPr>
          <w:color w:val="111827"/>
          <w:rtl w:val="0"/>
        </w:rPr>
        <w:t xml:space="preserve">depósitos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, GGR minimo contratual e fee atrelado a entrega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A BetWarrior tera nessa parceria visibilidade exata de quanto cada influencer gerou em </w:t>
      </w:r>
      <w:r w:rsidDel="00000000" w:rsidR="00000000" w:rsidRPr="00000000">
        <w:rPr>
          <w:color w:val="111827"/>
          <w:rtl w:val="0"/>
        </w:rPr>
        <w:t xml:space="preserve">depósitos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, qual foi o GGR da base trazida e qual foi o custo de </w:t>
      </w:r>
      <w:r w:rsidDel="00000000" w:rsidR="00000000" w:rsidRPr="00000000">
        <w:rPr>
          <w:color w:val="111827"/>
          <w:rtl w:val="0"/>
        </w:rPr>
        <w:t xml:space="preserve">aquisição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por FTD. Nada de </w:t>
      </w:r>
      <w:r w:rsidDel="00000000" w:rsidR="00000000" w:rsidRPr="00000000">
        <w:rPr>
          <w:color w:val="111827"/>
          <w:rtl w:val="0"/>
        </w:rPr>
        <w:t xml:space="preserve">métrica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de vaidade.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e5e7eb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0"/>
          <w:szCs w:val="30"/>
          <w:rtl w:val="0"/>
        </w:rPr>
        <w:t xml:space="preserve">Como a BMS&amp;Co. e remunerada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A </w:t>
      </w:r>
      <w:r w:rsidDel="00000000" w:rsidR="00000000" w:rsidRPr="00000000">
        <w:rPr>
          <w:color w:val="111827"/>
          <w:rtl w:val="0"/>
        </w:rPr>
        <w:t xml:space="preserve">remuneração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e em tres camadas, todas explicitas no contrato: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1600"/>
        <w:gridCol w:w="2026"/>
        <w:tblGridChange w:id="0">
          <w:tblGrid>
            <w:gridCol w:w="2200"/>
            <w:gridCol w:w="3200"/>
            <w:gridCol w:w="16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 quem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Fee de gestao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10% sobre fees de influencer gerenciados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BetWarrior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Todo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Fee de midia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10% sobre budget de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tráfego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 executado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BetWarrior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Todo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15% do GGR acima da meta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BetWarrior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Só 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 superar 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A BMS&amp;Co. e </w:t>
      </w:r>
      <w:r w:rsidDel="00000000" w:rsidR="00000000" w:rsidRPr="00000000">
        <w:rPr>
          <w:color w:val="111827"/>
          <w:rtl w:val="0"/>
        </w:rPr>
        <w:t xml:space="preserve">responsável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pela curadoria dos talentos, cumprimento das metas contratuais e </w:t>
      </w:r>
      <w:r w:rsidDel="00000000" w:rsidR="00000000" w:rsidRPr="00000000">
        <w:rPr>
          <w:color w:val="111827"/>
          <w:rtl w:val="0"/>
        </w:rPr>
        <w:t xml:space="preserve">substituição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do influencer em caso de nao-performance trabalho que vai muito </w:t>
      </w:r>
      <w:r w:rsidDel="00000000" w:rsidR="00000000" w:rsidRPr="00000000">
        <w:rPr>
          <w:color w:val="111827"/>
          <w:rtl w:val="0"/>
        </w:rPr>
        <w:t xml:space="preserve">além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de fazer a </w:t>
      </w:r>
      <w:r w:rsidDel="00000000" w:rsidR="00000000" w:rsidRPr="00000000">
        <w:rPr>
          <w:color w:val="111827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. As </w:t>
      </w:r>
      <w:r w:rsidDel="00000000" w:rsidR="00000000" w:rsidRPr="00000000">
        <w:rPr>
          <w:color w:val="111827"/>
          <w:rtl w:val="0"/>
        </w:rPr>
        <w:t xml:space="preserve">três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camadas </w:t>
      </w:r>
      <w:r w:rsidDel="00000000" w:rsidR="00000000" w:rsidRPr="00000000">
        <w:rPr>
          <w:color w:val="111827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cobradas direto da BetWarrior.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O fee de performance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só entra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quando a casa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já está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lucrando acima do projetado. Ganhamos mais no mesmo momento que a BetWarrior ganha 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16"/>
          <w:szCs w:val="16"/>
          <w:rtl w:val="0"/>
        </w:rPr>
        <w:t xml:space="preserve">DEAL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6"/>
          <w:szCs w:val="26"/>
          <w:rtl w:val="0"/>
        </w:rPr>
        <w:t xml:space="preserve">Tanos  (JTanos)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TikTok / Instagram  ·  apostas esportivas e cassino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Perfil de maior volume da carteira. Historico consistente de FTDs qualificados — publico de apostador ativo, nao apenas curioso. E o deal com maior potencial de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Termos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3826"/>
        <w:tblGridChange w:id="0">
          <w:tblGrid>
            <w:gridCol w:w="52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Fee fixo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Meta de depositos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R$ 3.000.000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GGR minimo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20% sobre depositos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FTDs minimos na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850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Performance GGR excedente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15% do GGR acima da 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Cenarios</w:t>
      </w:r>
      <w:r w:rsidDel="00000000" w:rsidR="00000000" w:rsidRPr="00000000">
        <w:rPr>
          <w:rtl w:val="0"/>
        </w:rPr>
      </w:r>
    </w:p>
    <w:tbl>
      <w:tblPr>
        <w:tblStyle w:val="Table5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400"/>
        <w:gridCol w:w="1200"/>
        <w:gridCol w:w="1400"/>
        <w:gridCol w:w="1200"/>
        <w:gridCol w:w="826"/>
        <w:tblGridChange w:id="0">
          <w:tblGrid>
            <w:gridCol w:w="2500"/>
            <w:gridCol w:w="1400"/>
            <w:gridCol w:w="1200"/>
            <w:gridCol w:w="1400"/>
            <w:gridCol w:w="1200"/>
            <w:gridCol w:w="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Depositos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Net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Conservador (70% meta)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R$ 2,1M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R$ 420k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– R$ 80k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–16%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 (meta exata)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R$ 100k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* Bonus de performance de R$ 45k (15% do GGR excedente de R$ 300k) incluido no fee do cenario otimista.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CAC por FTD no cenario base: R$ 588.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FTDs caem com o tempo  isso e normal e esperado. A partir do mes 2 o KPI principal e o GGR acumulado da base que o Tanos trouxe. Esses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usuários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continuam jogando sem custo adicional para a casa.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16"/>
          <w:szCs w:val="16"/>
          <w:rtl w:val="0"/>
        </w:rPr>
        <w:t xml:space="preserve">DEAL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6"/>
          <w:szCs w:val="26"/>
          <w:rtl w:val="0"/>
        </w:rPr>
        <w:t xml:space="preserve">Casal Win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Instagram  ·  lifestyle com apostas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Bom para ativar uma fatia de audiencia que nao seria alcancada pelo Tanos — publico de lifestyle que migra para apostas por identificacao com os influencers. O Casal Win e o Tanos sao complementares, nao redundantes: acessam publicos diferentes sem canibalizar a mesma audiencia.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Termos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3826"/>
        <w:tblGridChange w:id="0">
          <w:tblGrid>
            <w:gridCol w:w="52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Fee fixo mensal (casal)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R$ 120.000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Meta de depositos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R$ 650.000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GGR minimo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20% sobre depositos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Performance GGR excedente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15% do GGR acima da 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Cenarios</w:t>
      </w:r>
      <w:r w:rsidDel="00000000" w:rsidR="00000000" w:rsidRPr="00000000">
        <w:rPr>
          <w:rtl w:val="0"/>
        </w:rPr>
      </w:r>
    </w:p>
    <w:tbl>
      <w:tblPr>
        <w:tblStyle w:val="Table8"/>
        <w:tblW w:w="8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1395"/>
        <w:gridCol w:w="1200"/>
        <w:gridCol w:w="1395"/>
        <w:gridCol w:w="1200"/>
        <w:gridCol w:w="1050"/>
        <w:tblGridChange w:id="0">
          <w:tblGrid>
            <w:gridCol w:w="2505"/>
            <w:gridCol w:w="1395"/>
            <w:gridCol w:w="1200"/>
            <w:gridCol w:w="1395"/>
            <w:gridCol w:w="1200"/>
            <w:gridCol w:w="1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Depositos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Net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Conservador (70%)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R$ 455k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R$ 91k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– R$ 29k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–24,2%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 (meta exata)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R$ 650k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R$ 10k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8,3%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Otimista (150%)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R$ 975k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R$ 195k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R$ 131k*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R$ 64k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48,9%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* Bonus de performance de R$ 10,5k incluido no fee do cenario otimista.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16"/>
          <w:szCs w:val="16"/>
          <w:rtl w:val="0"/>
        </w:rPr>
        <w:t xml:space="preserve">DEAL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6"/>
          <w:szCs w:val="26"/>
          <w:rtl w:val="0"/>
        </w:rPr>
        <w:t xml:space="preserve">BrunoBT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Instagram  ·  cassino ao vivo  ·  @obrunotendler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Perfil de cassino ao vivo com audiencia engajada e alto indice de conversao. Modelo de deal baseado em Turnover  diferente dos outros dois o que permite metas claras alinhadas a dinamica propria do segmento de cassino.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Termos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026"/>
        <w:tblGridChange w:id="0">
          <w:tblGrid>
            <w:gridCol w:w="5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Fee fixo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R$ 52.200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Meta de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depósitos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R$ 250.000 /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KPI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Turnover 4x  R$ 250k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depósitos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 = R$ 1M turnover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Renovação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 de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Meta reinicia apos atingir o target do </w:t>
            </w: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Cenarios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1500"/>
        <w:gridCol w:w="1200"/>
        <w:gridCol w:w="1526"/>
        <w:gridCol w:w="1600"/>
        <w:tblGridChange w:id="0">
          <w:tblGrid>
            <w:gridCol w:w="1800"/>
            <w:gridCol w:w="1400"/>
            <w:gridCol w:w="1500"/>
            <w:gridCol w:w="1200"/>
            <w:gridCol w:w="1526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Depositos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Turnover (4x)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House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GGR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Net casa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Conservador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R$ 800k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R$ 32k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– R$ 20k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 (meta exata)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b45309"/>
                <w:sz w:val="20"/>
                <w:szCs w:val="20"/>
                <w:rtl w:val="0"/>
              </w:rPr>
              <w:t xml:space="preserve">– R$ 2k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 (meta exata)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R$ 18k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Forte (400k dep.)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R$ 1,6M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R$ 112k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R$ 60k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Fee para a casa: R$ 52.200 / mes (fixo).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O GGR do BrunoBT depende diretamente da house edge da BetWarrior no segmento de cassino. A partir de 5-6% de house edge o deal ja cobre o fee. A meta de turnover garante que o influencer esta efetivamente ativando jogadores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apenas gerando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depósitos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que nao viram jogo.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e5e7eb" w:space="1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0"/>
          <w:szCs w:val="30"/>
          <w:rtl w:val="0"/>
        </w:rPr>
        <w:t xml:space="preserve">Como queremos trabalhar 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A BMS&amp;Co. </w:t>
      </w:r>
      <w:r w:rsidDel="00000000" w:rsidR="00000000" w:rsidRPr="00000000">
        <w:rPr>
          <w:color w:val="111827"/>
          <w:rtl w:val="0"/>
        </w:rPr>
        <w:t xml:space="preserve">não é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um </w:t>
      </w:r>
      <w:r w:rsidDel="00000000" w:rsidR="00000000" w:rsidRPr="00000000">
        <w:rPr>
          <w:color w:val="111827"/>
          <w:rtl w:val="0"/>
        </w:rPr>
        <w:t xml:space="preserve">intermediário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que fecha o deal e some. Seremos o parceiro de </w:t>
      </w:r>
      <w:r w:rsidDel="00000000" w:rsidR="00000000" w:rsidRPr="00000000">
        <w:rPr>
          <w:color w:val="111827"/>
          <w:rtl w:val="0"/>
        </w:rPr>
        <w:t xml:space="preserve">operação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de influencer marketing da BetWarrior  quando a casa vai bem, a </w:t>
      </w:r>
      <w:r w:rsidDel="00000000" w:rsidR="00000000" w:rsidRPr="00000000">
        <w:rPr>
          <w:color w:val="111827"/>
          <w:rtl w:val="0"/>
        </w:rPr>
        <w:t xml:space="preserve">agência</w:t>
      </w:r>
      <w:r w:rsidDel="00000000" w:rsidR="00000000" w:rsidRPr="00000000">
        <w:rPr>
          <w:rFonts w:ascii="Arial" w:cs="Arial" w:eastAsia="Arial" w:hAnsi="Arial"/>
          <w:color w:val="111827"/>
          <w:sz w:val="22"/>
          <w:szCs w:val="22"/>
          <w:rtl w:val="0"/>
        </w:rPr>
        <w:t xml:space="preserve"> vai bem. Quando a casa vai mal, resolvemos 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color w:val="1d4ed8"/>
          <w:rtl w:val="0"/>
        </w:rPr>
        <w:t xml:space="preserve">operação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color w:val="1d4ed8"/>
          <w:rtl w:val="0"/>
        </w:rPr>
        <w:t xml:space="preserve">saudável</w:t>
      </w: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 quando: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 GGR reflete jogadores que realmente jogam</w:t>
      </w:r>
      <w:r w:rsidDel="00000000" w:rsidR="00000000" w:rsidRPr="00000000">
        <w:rPr>
          <w:color w:val="111827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1827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1827"/>
          <w:rtl w:val="0"/>
        </w:rPr>
        <w:t xml:space="preserve">depósitos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que entram e saem no mesmo dia. Por isso medimos GGR, </w:t>
      </w:r>
      <w:r w:rsidDel="00000000" w:rsidR="00000000" w:rsidRPr="00000000">
        <w:rPr>
          <w:color w:val="111827"/>
          <w:rtl w:val="0"/>
        </w:rPr>
        <w:t xml:space="preserve">não só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volume de </w:t>
      </w:r>
      <w:r w:rsidDel="00000000" w:rsidR="00000000" w:rsidRPr="00000000">
        <w:rPr>
          <w:color w:val="111827"/>
          <w:rtl w:val="0"/>
        </w:rPr>
        <w:t xml:space="preserve">depósito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Os FTDs que chegam tem perfil de apostador ativo. </w:t>
      </w:r>
      <w:r w:rsidDel="00000000" w:rsidR="00000000" w:rsidRPr="00000000">
        <w:rPr>
          <w:color w:val="111827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escolhemos por follower count, mas por </w:t>
      </w:r>
      <w:r w:rsidDel="00000000" w:rsidR="00000000" w:rsidRPr="00000000">
        <w:rPr>
          <w:color w:val="111827"/>
          <w:rtl w:val="0"/>
        </w:rPr>
        <w:t xml:space="preserve">histórico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color w:val="111827"/>
          <w:rtl w:val="0"/>
        </w:rPr>
        <w:t xml:space="preserve">conversão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real no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A base cresce de forma </w:t>
      </w:r>
      <w:r w:rsidDel="00000000" w:rsidR="00000000" w:rsidRPr="00000000">
        <w:rPr>
          <w:color w:val="111827"/>
          <w:rtl w:val="0"/>
        </w:rPr>
        <w:t xml:space="preserve">orgânica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. FTDs caem com o tempo</w:t>
      </w:r>
      <w:r w:rsidDel="00000000" w:rsidR="00000000" w:rsidRPr="00000000">
        <w:rPr>
          <w:color w:val="111827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normal e esperado. O valor esta na base acumulada que continua gerando GGR, </w:t>
      </w:r>
      <w:r w:rsidDel="00000000" w:rsidR="00000000" w:rsidRPr="00000000">
        <w:rPr>
          <w:color w:val="111827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em inflar novos </w:t>
      </w:r>
      <w:r w:rsidDel="00000000" w:rsidR="00000000" w:rsidRPr="00000000">
        <w:rPr>
          <w:color w:val="111827"/>
          <w:rtl w:val="0"/>
        </w:rPr>
        <w:t xml:space="preserve">usuários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a qualquer custo.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Os dois lados tem visibilidade dos </w:t>
      </w:r>
      <w:r w:rsidDel="00000000" w:rsidR="00000000" w:rsidRPr="00000000">
        <w:rPr>
          <w:color w:val="111827"/>
          <w:rtl w:val="0"/>
        </w:rPr>
        <w:t xml:space="preserve">números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. A BetWarrior recebe </w:t>
      </w:r>
      <w:r w:rsidDel="00000000" w:rsidR="00000000" w:rsidRPr="00000000">
        <w:rPr>
          <w:color w:val="111827"/>
          <w:rtl w:val="0"/>
        </w:rPr>
        <w:t xml:space="preserve">relatório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semanal de GGR por influencer. Sem caixa-preta.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Como garantimos continuidade sem travar a casa: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Contrato </w:t>
      </w:r>
      <w:r w:rsidDel="00000000" w:rsidR="00000000" w:rsidRPr="00000000">
        <w:rPr>
          <w:color w:val="111827"/>
          <w:rtl w:val="0"/>
        </w:rPr>
        <w:t xml:space="preserve">mínimo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de 3 meses</w:t>
      </w:r>
      <w:r w:rsidDel="00000000" w:rsidR="00000000" w:rsidRPr="00000000">
        <w:rPr>
          <w:color w:val="111827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tempo real para a </w:t>
      </w:r>
      <w:r w:rsidDel="00000000" w:rsidR="00000000" w:rsidRPr="00000000">
        <w:rPr>
          <w:color w:val="111827"/>
          <w:rtl w:val="0"/>
        </w:rPr>
        <w:t xml:space="preserve">operação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ganhar </w:t>
      </w:r>
      <w:r w:rsidDel="00000000" w:rsidR="00000000" w:rsidRPr="00000000">
        <w:rPr>
          <w:color w:val="111827"/>
          <w:rtl w:val="0"/>
        </w:rPr>
        <w:t xml:space="preserve">tração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color w:val="111827"/>
          <w:rtl w:val="0"/>
        </w:rPr>
        <w:t xml:space="preserve">Renovação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1827"/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quando o influencer entrega pelo menos 80% da meta de GGR. Abaixo disso, a casa tem liberdade de encerrar sem burocracia.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color w:val="111827"/>
          <w:rtl w:val="0"/>
        </w:rPr>
        <w:t xml:space="preserve">Mês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1 com threshold reduzido</w:t>
      </w:r>
      <w:r w:rsidDel="00000000" w:rsidR="00000000" w:rsidRPr="00000000">
        <w:rPr>
          <w:color w:val="111827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1827"/>
          <w:rtl w:val="0"/>
        </w:rPr>
        <w:t xml:space="preserve">audiência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nova precisa de tempo para ativar.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Se um influencer </w:t>
      </w:r>
      <w:r w:rsidDel="00000000" w:rsidR="00000000" w:rsidRPr="00000000">
        <w:rPr>
          <w:color w:val="111827"/>
          <w:rtl w:val="0"/>
        </w:rPr>
        <w:t xml:space="preserve">underperformed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por 2 meses seguidos, a BMS&amp;Co. </w:t>
      </w:r>
      <w:r w:rsidDel="00000000" w:rsidR="00000000" w:rsidRPr="00000000">
        <w:rPr>
          <w:color w:val="111827"/>
          <w:rtl w:val="0"/>
        </w:rPr>
        <w:t xml:space="preserve">propõe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1827"/>
          <w:rtl w:val="0"/>
        </w:rPr>
        <w:t xml:space="preserve">substituição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. A casa </w:t>
      </w:r>
      <w:r w:rsidDel="00000000" w:rsidR="00000000" w:rsidRPr="00000000">
        <w:rPr>
          <w:color w:val="111827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fica presa num deal que </w:t>
      </w:r>
      <w:r w:rsidDel="00000000" w:rsidR="00000000" w:rsidRPr="00000000">
        <w:rPr>
          <w:color w:val="111827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11827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O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bônus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de performance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não é só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um incentivo financeiro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é o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 alinhamento de interesses na pratica. A agencia ganha mais quando a BetWarrior ganha mais. Sem performance, sem upside para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ninguém</w:t>
            </w:r>
            <w:r w:rsidDel="00000000" w:rsidR="00000000" w:rsidRPr="00000000">
              <w:rPr>
                <w:rFonts w:ascii="Arial" w:cs="Arial" w:eastAsia="Arial" w:hAnsi="Arial"/>
                <w:color w:val="111827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