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Implementing the Singleton Pattern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Logger.java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Logger singleInstance;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System.out.println("Logger Instance Created");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(singleInstance == null)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singleInstance = new Logger();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singleInstance;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System.out.println("[LOG]: " + message);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LoggerTest.java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LoggerTest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logger1.log("First log message");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logger2.log("Second log message");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System.out.println("Both logger1 and logger2 refer to the same instance.");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ThreadSafeLogger.java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ThreadSafeLogger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static ThreadSafeLogger instance;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ThreadSafeLogger()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System.out.println("ThreadSafeLogger instance created");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synchronized ThreadSafeLogger getInstance()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instance = new ThreadSafeLogger();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log(String msg)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System.out.println("[THREAD-SAFE LOG]: " + msg);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ThreadSafeLoggerTest.java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ThreadSafeLoggerTest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ThreadSafeLogger logger1 = ThreadSafeLogger.getInstance();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ThreadSafeLogger logger2 = ThreadSafeLogger.getInstance();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logger1.log("First thread-safe log");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logger2.log("Second thread-safe log");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System.out.println("Both instances are the same (Thread-Safe Singleton).");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95950" cy="1762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