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07D8A" w14:textId="77777777" w:rsidR="00CA1A9F" w:rsidRDefault="00000000">
      <w:pPr>
        <w:pStyle w:val="Ttulo"/>
      </w:pPr>
      <w:r>
        <w:t>Propuesta de metodología para la priorización de distrito de intervención</w:t>
      </w:r>
    </w:p>
    <w:p w14:paraId="3E6CDD1E" w14:textId="77777777" w:rsidR="00CA1A9F" w:rsidRDefault="00000000">
      <w:pPr>
        <w:pStyle w:val="Author"/>
      </w:pPr>
      <w:r>
        <w:t>Equipo de Gestión de la información y políticas públicas</w:t>
      </w:r>
    </w:p>
    <w:p w14:paraId="716B9FE6" w14:textId="77777777" w:rsidR="00CA1A9F" w:rsidRDefault="00000000">
      <w:pPr>
        <w:pStyle w:val="FirstParagraph"/>
      </w:pPr>
      <w:r>
        <w:t xml:space="preserve">El presente documento brinda, a grandes rasgos, la descripción de la metodología utilizada para priorizar un distrito en el que se pueda llevar a cabo una estrategia especializada para la intervención al </w:t>
      </w:r>
      <w:r>
        <w:rPr>
          <w:i/>
          <w:iCs/>
        </w:rPr>
        <w:t>microtráfico</w:t>
      </w:r>
      <w:r>
        <w:t>.</w:t>
      </w:r>
    </w:p>
    <w:p w14:paraId="48E2348A" w14:textId="77777777" w:rsidR="00CA1A9F" w:rsidRDefault="00000000">
      <w:pPr>
        <w:pStyle w:val="Ttulo1"/>
      </w:pPr>
      <w:bookmarkStart w:id="0" w:name="X9a938d6e34cb3dec98d30fd31b3e08531904073"/>
      <w:r>
        <w:t>Estructura básica de los datos a utilizar</w:t>
      </w:r>
    </w:p>
    <w:p w14:paraId="290660E2" w14:textId="77777777" w:rsidR="00CA1A9F" w:rsidRDefault="00000000">
      <w:pPr>
        <w:pStyle w:val="FirstParagraph"/>
      </w:pPr>
      <w:r>
        <w:t xml:space="preserve">En términos de ubicación física, se requiere que los datos disponibles estén agregados a nivel distrital. Idealmente, se contará con el código de ubicación geográfica del distrito (ubigeo), tal como es utilizado por el Instituto Nacional de Estadística e Informática (INEI). El </w:t>
      </w:r>
      <w:r>
        <w:rPr>
          <w:rStyle w:val="VerbatimChar"/>
        </w:rPr>
        <w:t>ubigeo</w:t>
      </w:r>
      <w:r>
        <w:t xml:space="preserve"> debe tener su propia columna en el conjunto de datos. En paralelo, se requiere contar con metadatos a nivel distrital, donde se incluyan los nombres de departamento, provincia, distrito y geometrías (para el dibujado de mapas).</w:t>
      </w:r>
    </w:p>
    <w:p w14:paraId="74BF9444" w14:textId="77777777" w:rsidR="00CA1A9F" w:rsidRDefault="00000000">
      <w:pPr>
        <w:pStyle w:val="Textoindependiente"/>
      </w:pPr>
      <w:r>
        <w:t xml:space="preserve">A nivel temporal, se requiere conocer el periodo anual al cual hacen referencia los datos. Esta información debe existir como columna en el conjunto de datos, su nombre puede ser </w:t>
      </w:r>
      <w:r>
        <w:rPr>
          <w:rStyle w:val="VerbatimChar"/>
        </w:rPr>
        <w:t>periodo_anual</w:t>
      </w:r>
      <w:r>
        <w:t>.</w:t>
      </w:r>
    </w:p>
    <w:p w14:paraId="74A7F08F" w14:textId="77777777" w:rsidR="00CA1A9F" w:rsidRDefault="00000000">
      <w:pPr>
        <w:pStyle w:val="Textoindependiente"/>
      </w:pPr>
      <w:r>
        <w:t>Cada medición o variable debe existir en su propia columna en el conjunto de datos. Debe tomarse en cuenta que la medición no debe existir en términos absolutos (por ejemplo: número de denuncias, número de detenidos) sino en términos relativos (tasa de denuncia, porcentaje de población con cierta característica, PBI per cápita, etc). Para ello, resulta útil conocer los detalles técnicos de la medición y qué tanto podrían verse sesgados por el factor poblacional. El conjunto de datos puede tener tantos columnas de medición como sean necesarias.</w:t>
      </w:r>
    </w:p>
    <w:p w14:paraId="69C48187" w14:textId="77777777" w:rsidR="00CA1A9F" w:rsidRDefault="00000000">
      <w:pPr>
        <w:pStyle w:val="Textoindependiente"/>
      </w:pPr>
      <w:r>
        <w:t>El siguiente conjunto de datos muestra un ejemplo de la estructura básica. Se puede apreciar que se tiene información para 6 ubigeos en el periodo anual 2018. La variable de medición es el porcentaje de la población distrital en condiciones de pobreza monetaria.</w:t>
      </w:r>
    </w:p>
    <w:tbl>
      <w:tblPr>
        <w:tblW w:w="0" w:type="pct"/>
        <w:jc w:val="center"/>
        <w:tblLook w:val="0420" w:firstRow="1" w:lastRow="0" w:firstColumn="0" w:lastColumn="0" w:noHBand="0" w:noVBand="1"/>
      </w:tblPr>
      <w:tblGrid>
        <w:gridCol w:w="871"/>
        <w:gridCol w:w="1582"/>
        <w:gridCol w:w="2049"/>
      </w:tblGrid>
      <w:tr w:rsidR="00CA1A9F" w14:paraId="35260EC9" w14:textId="77777777">
        <w:trPr>
          <w:tblHeader/>
          <w:jc w:val="center"/>
        </w:trPr>
        <w:tc>
          <w:tcPr>
            <w:tcW w:w="0" w:type="auto"/>
            <w:tcBorders>
              <w:top w:val="single" w:sz="6" w:space="0" w:color="666666"/>
              <w:left w:val="single" w:sz="6" w:space="0" w:color="666666"/>
              <w:bottom w:val="single" w:sz="6" w:space="0" w:color="666666"/>
              <w:right w:val="single" w:sz="6" w:space="0" w:color="666666"/>
            </w:tcBorders>
            <w:shd w:val="clear" w:color="auto" w:fill="D8D8D8"/>
            <w:tcMar>
              <w:top w:w="0" w:type="dxa"/>
              <w:left w:w="0" w:type="dxa"/>
              <w:bottom w:w="0" w:type="dxa"/>
              <w:right w:w="0" w:type="dxa"/>
            </w:tcMar>
            <w:vAlign w:val="center"/>
          </w:tcPr>
          <w:p w14:paraId="32AA0151"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0"/>
                <w:szCs w:val="20"/>
              </w:rPr>
              <w:lastRenderedPageBreak/>
              <w:t>ubigeo</w:t>
            </w:r>
          </w:p>
        </w:tc>
        <w:tc>
          <w:tcPr>
            <w:tcW w:w="0" w:type="auto"/>
            <w:tcBorders>
              <w:top w:val="single" w:sz="6" w:space="0" w:color="666666"/>
              <w:left w:val="single" w:sz="6" w:space="0" w:color="666666"/>
              <w:bottom w:val="single" w:sz="6" w:space="0" w:color="666666"/>
              <w:right w:val="single" w:sz="6" w:space="0" w:color="666666"/>
            </w:tcBorders>
            <w:shd w:val="clear" w:color="auto" w:fill="D8D8D8"/>
            <w:tcMar>
              <w:top w:w="0" w:type="dxa"/>
              <w:left w:w="0" w:type="dxa"/>
              <w:bottom w:w="0" w:type="dxa"/>
              <w:right w:w="0" w:type="dxa"/>
            </w:tcMar>
            <w:vAlign w:val="center"/>
          </w:tcPr>
          <w:p w14:paraId="3F016222"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periodo_anual</w:t>
            </w:r>
          </w:p>
        </w:tc>
        <w:tc>
          <w:tcPr>
            <w:tcW w:w="0" w:type="auto"/>
            <w:tcBorders>
              <w:top w:val="single" w:sz="6" w:space="0" w:color="666666"/>
              <w:left w:val="single" w:sz="6" w:space="0" w:color="666666"/>
              <w:bottom w:val="single" w:sz="6" w:space="0" w:color="666666"/>
              <w:right w:val="single" w:sz="6" w:space="0" w:color="666666"/>
            </w:tcBorders>
            <w:shd w:val="clear" w:color="auto" w:fill="D8D8D8"/>
            <w:tcMar>
              <w:top w:w="0" w:type="dxa"/>
              <w:left w:w="0" w:type="dxa"/>
              <w:bottom w:w="0" w:type="dxa"/>
              <w:right w:w="0" w:type="dxa"/>
            </w:tcMar>
            <w:vAlign w:val="center"/>
          </w:tcPr>
          <w:p w14:paraId="331E86CC"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pobreza_monetaria</w:t>
            </w:r>
          </w:p>
        </w:tc>
      </w:tr>
      <w:tr w:rsidR="00CA1A9F" w14:paraId="7D22E91A"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0120439"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150504</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E38B1F6"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2018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00FE723"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15.1</w:t>
            </w:r>
          </w:p>
        </w:tc>
      </w:tr>
      <w:tr w:rsidR="00CA1A9F" w14:paraId="19A5105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F557DE9"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061304</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DCC37AC"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2018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E80AE22"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64.3</w:t>
            </w:r>
          </w:p>
        </w:tc>
      </w:tr>
      <w:tr w:rsidR="00CA1A9F" w14:paraId="7E2D2E3A"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C719A99"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100401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D44BF1D"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2018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164AC27"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47.0</w:t>
            </w:r>
          </w:p>
        </w:tc>
      </w:tr>
      <w:tr w:rsidR="00CA1A9F" w14:paraId="44229C54"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6537403"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140120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A966430"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2018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68E821F"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12.5</w:t>
            </w:r>
          </w:p>
        </w:tc>
      </w:tr>
      <w:tr w:rsidR="00CA1A9F" w14:paraId="6826B519"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ED41DC6"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250305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A873E46"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2018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16CDB53"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12.9</w:t>
            </w:r>
          </w:p>
        </w:tc>
      </w:tr>
      <w:tr w:rsidR="00CA1A9F" w14:paraId="5126AE51"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FFE77E5"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250202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04A50AD"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2018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E05D76F"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31.9</w:t>
            </w:r>
          </w:p>
        </w:tc>
      </w:tr>
    </w:tbl>
    <w:p w14:paraId="53FA2FF8" w14:textId="77777777" w:rsidR="00CA1A9F" w:rsidRDefault="00000000">
      <w:pPr>
        <w:pStyle w:val="Textoindependiente"/>
      </w:pPr>
      <w:r>
        <w:t>Para tener un seguimiento a través del tiempo, se requiere que haya múltiples periodos anuales de medición de las mismas variables. En el siguiente conjunto de datos, se pueden ver 9 observaciones de la variable “Intervenciones de serenazgo por consumo de drogas” (3 ubigeos por 3 periodos anuales).</w:t>
      </w:r>
    </w:p>
    <w:tbl>
      <w:tblPr>
        <w:tblW w:w="0" w:type="pct"/>
        <w:jc w:val="center"/>
        <w:tblLook w:val="0420" w:firstRow="1" w:lastRow="0" w:firstColumn="0" w:lastColumn="0" w:noHBand="0" w:noVBand="1"/>
      </w:tblPr>
      <w:tblGrid>
        <w:gridCol w:w="871"/>
        <w:gridCol w:w="1582"/>
        <w:gridCol w:w="2238"/>
      </w:tblGrid>
      <w:tr w:rsidR="00CA1A9F" w14:paraId="211380FB" w14:textId="77777777">
        <w:trPr>
          <w:tblHeader/>
          <w:jc w:val="center"/>
        </w:trPr>
        <w:tc>
          <w:tcPr>
            <w:tcW w:w="0" w:type="auto"/>
            <w:tcBorders>
              <w:top w:val="single" w:sz="6" w:space="0" w:color="666666"/>
              <w:left w:val="single" w:sz="6" w:space="0" w:color="666666"/>
              <w:bottom w:val="single" w:sz="6" w:space="0" w:color="666666"/>
              <w:right w:val="single" w:sz="6" w:space="0" w:color="666666"/>
            </w:tcBorders>
            <w:shd w:val="clear" w:color="auto" w:fill="D8D8D8"/>
            <w:tcMar>
              <w:top w:w="0" w:type="dxa"/>
              <w:left w:w="0" w:type="dxa"/>
              <w:bottom w:w="0" w:type="dxa"/>
              <w:right w:w="0" w:type="dxa"/>
            </w:tcMar>
            <w:vAlign w:val="center"/>
          </w:tcPr>
          <w:p w14:paraId="400F0F11"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0"/>
                <w:szCs w:val="20"/>
              </w:rPr>
              <w:t>ubigeo</w:t>
            </w:r>
          </w:p>
        </w:tc>
        <w:tc>
          <w:tcPr>
            <w:tcW w:w="0" w:type="auto"/>
            <w:tcBorders>
              <w:top w:val="single" w:sz="6" w:space="0" w:color="666666"/>
              <w:left w:val="single" w:sz="6" w:space="0" w:color="666666"/>
              <w:bottom w:val="single" w:sz="6" w:space="0" w:color="666666"/>
              <w:right w:val="single" w:sz="6" w:space="0" w:color="666666"/>
            </w:tcBorders>
            <w:shd w:val="clear" w:color="auto" w:fill="D8D8D8"/>
            <w:tcMar>
              <w:top w:w="0" w:type="dxa"/>
              <w:left w:w="0" w:type="dxa"/>
              <w:bottom w:w="0" w:type="dxa"/>
              <w:right w:w="0" w:type="dxa"/>
            </w:tcMar>
            <w:vAlign w:val="center"/>
          </w:tcPr>
          <w:p w14:paraId="1CC1CE14"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periodo_anual</w:t>
            </w:r>
          </w:p>
        </w:tc>
        <w:tc>
          <w:tcPr>
            <w:tcW w:w="0" w:type="auto"/>
            <w:tcBorders>
              <w:top w:val="single" w:sz="6" w:space="0" w:color="666666"/>
              <w:left w:val="single" w:sz="6" w:space="0" w:color="666666"/>
              <w:bottom w:val="single" w:sz="6" w:space="0" w:color="666666"/>
              <w:right w:val="single" w:sz="6" w:space="0" w:color="666666"/>
            </w:tcBorders>
            <w:shd w:val="clear" w:color="auto" w:fill="D8D8D8"/>
            <w:tcMar>
              <w:top w:w="0" w:type="dxa"/>
              <w:left w:w="0" w:type="dxa"/>
              <w:bottom w:w="0" w:type="dxa"/>
              <w:right w:w="0" w:type="dxa"/>
            </w:tcMar>
            <w:vAlign w:val="center"/>
          </w:tcPr>
          <w:p w14:paraId="520B9301"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int_consumo_drogas</w:t>
            </w:r>
          </w:p>
        </w:tc>
      </w:tr>
      <w:tr w:rsidR="00CA1A9F" w14:paraId="3852E316"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447DB14"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150115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3AC4317"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296A55F"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7281</w:t>
            </w:r>
          </w:p>
        </w:tc>
      </w:tr>
      <w:tr w:rsidR="00CA1A9F" w14:paraId="043B5696"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EDE97F6"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150115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C789176"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2020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8710E38"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14322</w:t>
            </w:r>
          </w:p>
        </w:tc>
      </w:tr>
      <w:tr w:rsidR="00CA1A9F" w14:paraId="4D20BDD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3755C9B"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150115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6E9546"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2021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5619F15"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23866</w:t>
            </w:r>
          </w:p>
        </w:tc>
      </w:tr>
      <w:tr w:rsidR="00CA1A9F" w14:paraId="766011A8"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C1F0F48"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E9A2FDF"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C2B5B73"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911</w:t>
            </w:r>
          </w:p>
        </w:tc>
      </w:tr>
      <w:tr w:rsidR="00CA1A9F" w14:paraId="079F573B"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E9253CA"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EA54CAB"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2020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67AFF42"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509</w:t>
            </w:r>
          </w:p>
        </w:tc>
      </w:tr>
      <w:tr w:rsidR="00CA1A9F" w14:paraId="439AC118"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E21428"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A2BEBF8"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2021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2084DBA"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198</w:t>
            </w:r>
          </w:p>
        </w:tc>
      </w:tr>
      <w:tr w:rsidR="00CA1A9F" w14:paraId="7F7969F1"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2EE9E8C"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74518C2"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0D39148"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w:t>
            </w:r>
          </w:p>
        </w:tc>
      </w:tr>
      <w:tr w:rsidR="00CA1A9F" w14:paraId="16D77785"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FE24D3E"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7BA25C1"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2020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B473C0D"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22</w:t>
            </w:r>
          </w:p>
        </w:tc>
      </w:tr>
      <w:tr w:rsidR="00CA1A9F" w14:paraId="73A6CA88"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310F704"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CE13C28"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2021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7CD8CFF"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4</w:t>
            </w:r>
          </w:p>
        </w:tc>
      </w:tr>
    </w:tbl>
    <w:p w14:paraId="60B4B093" w14:textId="77777777" w:rsidR="00CA1A9F" w:rsidRDefault="00000000">
      <w:pPr>
        <w:pStyle w:val="Textoindependiente"/>
      </w:pPr>
      <w:r>
        <w:t>Como se mencionó anteriormente, se debe tener cuidado de no utilizar variables con valores absolutos, debido a la alta posibilidad de que en distritos con mayor población haya mayor número de intervenciones. Para evitar este sesgo metodológico se recalcula la variable ponderando el factor población, obteniendo así la “Tasa de intervenciones de serenazgo por consumo de drogas, por 10 mil habitantes”. El siguiente cuadro ilustra la ruta para el cálculo usando la población estimada al 2020.</w:t>
      </w:r>
    </w:p>
    <w:tbl>
      <w:tblPr>
        <w:tblW w:w="0" w:type="pct"/>
        <w:jc w:val="center"/>
        <w:tblLook w:val="0420" w:firstRow="1" w:lastRow="0" w:firstColumn="0" w:lastColumn="0" w:noHBand="0" w:noVBand="1"/>
      </w:tblPr>
      <w:tblGrid>
        <w:gridCol w:w="871"/>
        <w:gridCol w:w="1582"/>
        <w:gridCol w:w="2238"/>
        <w:gridCol w:w="1138"/>
        <w:gridCol w:w="2750"/>
      </w:tblGrid>
      <w:tr w:rsidR="00CA1A9F" w14:paraId="16447E28" w14:textId="77777777">
        <w:trPr>
          <w:tblHeader/>
          <w:jc w:val="center"/>
        </w:trPr>
        <w:tc>
          <w:tcPr>
            <w:tcW w:w="0" w:type="auto"/>
            <w:tcBorders>
              <w:top w:val="single" w:sz="6" w:space="0" w:color="666666"/>
              <w:left w:val="single" w:sz="6" w:space="0" w:color="666666"/>
              <w:bottom w:val="single" w:sz="6" w:space="0" w:color="666666"/>
              <w:right w:val="single" w:sz="6" w:space="0" w:color="666666"/>
            </w:tcBorders>
            <w:shd w:val="clear" w:color="auto" w:fill="D8D8D8"/>
            <w:tcMar>
              <w:top w:w="0" w:type="dxa"/>
              <w:left w:w="0" w:type="dxa"/>
              <w:bottom w:w="0" w:type="dxa"/>
              <w:right w:w="0" w:type="dxa"/>
            </w:tcMar>
            <w:vAlign w:val="center"/>
          </w:tcPr>
          <w:p w14:paraId="0EE6EA45"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0"/>
                <w:szCs w:val="20"/>
              </w:rPr>
              <w:lastRenderedPageBreak/>
              <w:t>ubigeo</w:t>
            </w:r>
          </w:p>
        </w:tc>
        <w:tc>
          <w:tcPr>
            <w:tcW w:w="0" w:type="auto"/>
            <w:tcBorders>
              <w:top w:val="single" w:sz="6" w:space="0" w:color="666666"/>
              <w:left w:val="single" w:sz="6" w:space="0" w:color="666666"/>
              <w:bottom w:val="single" w:sz="6" w:space="0" w:color="666666"/>
              <w:right w:val="single" w:sz="6" w:space="0" w:color="666666"/>
            </w:tcBorders>
            <w:shd w:val="clear" w:color="auto" w:fill="D8D8D8"/>
            <w:tcMar>
              <w:top w:w="0" w:type="dxa"/>
              <w:left w:w="0" w:type="dxa"/>
              <w:bottom w:w="0" w:type="dxa"/>
              <w:right w:w="0" w:type="dxa"/>
            </w:tcMar>
            <w:vAlign w:val="center"/>
          </w:tcPr>
          <w:p w14:paraId="4BB61E00"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periodo_anual</w:t>
            </w:r>
          </w:p>
        </w:tc>
        <w:tc>
          <w:tcPr>
            <w:tcW w:w="0" w:type="auto"/>
            <w:tcBorders>
              <w:top w:val="single" w:sz="6" w:space="0" w:color="666666"/>
              <w:left w:val="single" w:sz="6" w:space="0" w:color="666666"/>
              <w:bottom w:val="single" w:sz="6" w:space="0" w:color="666666"/>
              <w:right w:val="single" w:sz="6" w:space="0" w:color="666666"/>
            </w:tcBorders>
            <w:shd w:val="clear" w:color="auto" w:fill="D8D8D8"/>
            <w:tcMar>
              <w:top w:w="0" w:type="dxa"/>
              <w:left w:w="0" w:type="dxa"/>
              <w:bottom w:w="0" w:type="dxa"/>
              <w:right w:w="0" w:type="dxa"/>
            </w:tcMar>
            <w:vAlign w:val="center"/>
          </w:tcPr>
          <w:p w14:paraId="24A9C409"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int_consumo_drogas</w:t>
            </w:r>
          </w:p>
        </w:tc>
        <w:tc>
          <w:tcPr>
            <w:tcW w:w="0" w:type="auto"/>
            <w:tcBorders>
              <w:top w:val="single" w:sz="6" w:space="0" w:color="666666"/>
              <w:left w:val="single" w:sz="6" w:space="0" w:color="666666"/>
              <w:bottom w:val="single" w:sz="6" w:space="0" w:color="666666"/>
              <w:right w:val="single" w:sz="6" w:space="0" w:color="666666"/>
            </w:tcBorders>
            <w:shd w:val="clear" w:color="auto" w:fill="D8D8D8"/>
            <w:tcMar>
              <w:top w:w="0" w:type="dxa"/>
              <w:left w:w="0" w:type="dxa"/>
              <w:bottom w:w="0" w:type="dxa"/>
              <w:right w:w="0" w:type="dxa"/>
            </w:tcMar>
            <w:vAlign w:val="center"/>
          </w:tcPr>
          <w:p w14:paraId="1FD2658A"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pob_2020</w:t>
            </w:r>
          </w:p>
        </w:tc>
        <w:tc>
          <w:tcPr>
            <w:tcW w:w="0" w:type="auto"/>
            <w:tcBorders>
              <w:top w:val="single" w:sz="6" w:space="0" w:color="666666"/>
              <w:left w:val="single" w:sz="6" w:space="0" w:color="666666"/>
              <w:bottom w:val="single" w:sz="6" w:space="0" w:color="666666"/>
              <w:right w:val="single" w:sz="6" w:space="0" w:color="666666"/>
            </w:tcBorders>
            <w:shd w:val="clear" w:color="auto" w:fill="D8D8D8"/>
            <w:tcMar>
              <w:top w:w="0" w:type="dxa"/>
              <w:left w:w="0" w:type="dxa"/>
              <w:bottom w:w="0" w:type="dxa"/>
              <w:right w:w="0" w:type="dxa"/>
            </w:tcMar>
            <w:vAlign w:val="center"/>
          </w:tcPr>
          <w:p w14:paraId="658E118F"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tasa_int_consumo_drogas</w:t>
            </w:r>
          </w:p>
        </w:tc>
      </w:tr>
      <w:tr w:rsidR="00CA1A9F" w14:paraId="357A6348"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CA88AE3"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150115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8E515CF"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7827CE5"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7281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3FE16BE"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188619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5BB1751"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386.0</w:t>
            </w:r>
          </w:p>
        </w:tc>
      </w:tr>
      <w:tr w:rsidR="00CA1A9F" w14:paraId="04BB3D98"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33F875D"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150115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738DC32"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2020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B6422BC"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14322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B956574"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188619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D620735"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759.3</w:t>
            </w:r>
          </w:p>
        </w:tc>
      </w:tr>
      <w:tr w:rsidR="00CA1A9F" w14:paraId="7B087E27"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E36B2AF"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150115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3719B79"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2021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86637C4"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23866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47626A1"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188619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3B4D2D0"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1265.3</w:t>
            </w:r>
          </w:p>
        </w:tc>
      </w:tr>
      <w:tr w:rsidR="00CA1A9F" w14:paraId="1647D3D6"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FDCA378"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E77EB77"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99108E5"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911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C0F4322"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108855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08F58A1"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83.7</w:t>
            </w:r>
          </w:p>
        </w:tc>
      </w:tr>
      <w:tr w:rsidR="00CA1A9F" w14:paraId="2D2F6EA0"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C9666D3"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0F386D5"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2020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98850D3"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509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D919861"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108855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58F8007"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46.8</w:t>
            </w:r>
          </w:p>
        </w:tc>
      </w:tr>
      <w:tr w:rsidR="00CA1A9F" w14:paraId="21050C97"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FB3C10D"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E01C9CA"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2021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5A741D2"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198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C94DD73"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108855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600352F"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18.2</w:t>
            </w:r>
          </w:p>
        </w:tc>
      </w:tr>
      <w:tr w:rsidR="00CA1A9F" w14:paraId="3D4E27E4"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9C0BF64"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27B448E"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E01E4A2"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9AD0E05"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8722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EFF9043"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3.4</w:t>
            </w:r>
          </w:p>
        </w:tc>
      </w:tr>
      <w:tr w:rsidR="00CA1A9F" w14:paraId="20C2B79D"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A5D2F97"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3F7A4EC"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2020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E7ECF52"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1E4519B"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8722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F1B98D3"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25.2</w:t>
            </w:r>
          </w:p>
        </w:tc>
      </w:tr>
      <w:tr w:rsidR="00CA1A9F" w14:paraId="5465F339"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90AB728"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B21716A"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2021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D08E153"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4</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8B9039F"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8722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CCCB5C3"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4.6</w:t>
            </w:r>
          </w:p>
        </w:tc>
      </w:tr>
    </w:tbl>
    <w:p w14:paraId="6630B56F" w14:textId="77777777" w:rsidR="00CA1A9F" w:rsidRDefault="00000000">
      <w:pPr>
        <w:pStyle w:val="Textoindependiente"/>
      </w:pPr>
      <w:r>
        <w:t>Con ello, puede verse que se reduce la magnitud de diferencia entre en las mediciones al comparar distritos con poblaciones diferentes. El siguiente cuadro muestra cómo luciría la tabla después de ser procesada.</w:t>
      </w:r>
    </w:p>
    <w:tbl>
      <w:tblPr>
        <w:tblW w:w="0" w:type="pct"/>
        <w:jc w:val="center"/>
        <w:tblLook w:val="0420" w:firstRow="1" w:lastRow="0" w:firstColumn="0" w:lastColumn="0" w:noHBand="0" w:noVBand="1"/>
      </w:tblPr>
      <w:tblGrid>
        <w:gridCol w:w="871"/>
        <w:gridCol w:w="1582"/>
        <w:gridCol w:w="2750"/>
      </w:tblGrid>
      <w:tr w:rsidR="00CA1A9F" w14:paraId="65879C92" w14:textId="77777777">
        <w:trPr>
          <w:tblHeader/>
          <w:jc w:val="center"/>
        </w:trPr>
        <w:tc>
          <w:tcPr>
            <w:tcW w:w="0" w:type="auto"/>
            <w:tcBorders>
              <w:top w:val="single" w:sz="6" w:space="0" w:color="666666"/>
              <w:left w:val="single" w:sz="6" w:space="0" w:color="666666"/>
              <w:bottom w:val="single" w:sz="6" w:space="0" w:color="666666"/>
              <w:right w:val="single" w:sz="6" w:space="0" w:color="666666"/>
            </w:tcBorders>
            <w:shd w:val="clear" w:color="auto" w:fill="D8D8D8"/>
            <w:tcMar>
              <w:top w:w="0" w:type="dxa"/>
              <w:left w:w="0" w:type="dxa"/>
              <w:bottom w:w="0" w:type="dxa"/>
              <w:right w:w="0" w:type="dxa"/>
            </w:tcMar>
            <w:vAlign w:val="center"/>
          </w:tcPr>
          <w:p w14:paraId="75AD5A75"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0"/>
                <w:szCs w:val="20"/>
              </w:rPr>
              <w:t>ubigeo</w:t>
            </w:r>
          </w:p>
        </w:tc>
        <w:tc>
          <w:tcPr>
            <w:tcW w:w="0" w:type="auto"/>
            <w:tcBorders>
              <w:top w:val="single" w:sz="6" w:space="0" w:color="666666"/>
              <w:left w:val="single" w:sz="6" w:space="0" w:color="666666"/>
              <w:bottom w:val="single" w:sz="6" w:space="0" w:color="666666"/>
              <w:right w:val="single" w:sz="6" w:space="0" w:color="666666"/>
            </w:tcBorders>
            <w:shd w:val="clear" w:color="auto" w:fill="D8D8D8"/>
            <w:tcMar>
              <w:top w:w="0" w:type="dxa"/>
              <w:left w:w="0" w:type="dxa"/>
              <w:bottom w:w="0" w:type="dxa"/>
              <w:right w:w="0" w:type="dxa"/>
            </w:tcMar>
            <w:vAlign w:val="center"/>
          </w:tcPr>
          <w:p w14:paraId="1674335E"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periodo_anual</w:t>
            </w:r>
          </w:p>
        </w:tc>
        <w:tc>
          <w:tcPr>
            <w:tcW w:w="0" w:type="auto"/>
            <w:tcBorders>
              <w:top w:val="single" w:sz="6" w:space="0" w:color="666666"/>
              <w:left w:val="single" w:sz="6" w:space="0" w:color="666666"/>
              <w:bottom w:val="single" w:sz="6" w:space="0" w:color="666666"/>
              <w:right w:val="single" w:sz="6" w:space="0" w:color="666666"/>
            </w:tcBorders>
            <w:shd w:val="clear" w:color="auto" w:fill="D8D8D8"/>
            <w:tcMar>
              <w:top w:w="0" w:type="dxa"/>
              <w:left w:w="0" w:type="dxa"/>
              <w:bottom w:w="0" w:type="dxa"/>
              <w:right w:w="0" w:type="dxa"/>
            </w:tcMar>
            <w:vAlign w:val="center"/>
          </w:tcPr>
          <w:p w14:paraId="02E3502E"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tasa_int_consumo_drogas</w:t>
            </w:r>
          </w:p>
        </w:tc>
      </w:tr>
      <w:tr w:rsidR="00CA1A9F" w14:paraId="71CE841F"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E8E7F29"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150115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BB10483"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106ED68"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386.0</w:t>
            </w:r>
          </w:p>
        </w:tc>
      </w:tr>
      <w:tr w:rsidR="00CA1A9F" w14:paraId="3D242B26"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AAF9532"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150115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CFB636C"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2020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3221248"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759.3</w:t>
            </w:r>
          </w:p>
        </w:tc>
      </w:tr>
      <w:tr w:rsidR="00CA1A9F" w14:paraId="44DF7D0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F982639"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150115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AFF353D"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2021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BAA71E1"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1265.3</w:t>
            </w:r>
          </w:p>
        </w:tc>
      </w:tr>
      <w:tr w:rsidR="00CA1A9F" w14:paraId="36B96C37"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CCB9F60"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AAE040F"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0DE99A7"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83.7</w:t>
            </w:r>
          </w:p>
        </w:tc>
      </w:tr>
      <w:tr w:rsidR="00CA1A9F" w14:paraId="575C5111"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2795DF0"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5157F81"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2020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4C93E00"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46.8</w:t>
            </w:r>
          </w:p>
        </w:tc>
      </w:tr>
      <w:tr w:rsidR="00CA1A9F" w14:paraId="4A5A8CB1"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B9EEA49"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A8E99EE"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2021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BB42E20"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18.2</w:t>
            </w:r>
          </w:p>
        </w:tc>
      </w:tr>
      <w:tr w:rsidR="00CA1A9F" w14:paraId="040E955C"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ED440F0"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FCBFA78"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F54D224"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3.4</w:t>
            </w:r>
          </w:p>
        </w:tc>
      </w:tr>
      <w:tr w:rsidR="00CA1A9F" w14:paraId="30744ACF"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E849B93"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051363D"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2020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69A81D9"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25.2</w:t>
            </w:r>
          </w:p>
        </w:tc>
      </w:tr>
      <w:tr w:rsidR="00CA1A9F" w14:paraId="12E43176"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66BB6A"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830D802"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2021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4DB7A01"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4.6</w:t>
            </w:r>
          </w:p>
        </w:tc>
      </w:tr>
    </w:tbl>
    <w:p w14:paraId="574A3F14" w14:textId="77777777" w:rsidR="00CA1A9F" w:rsidRDefault="00000000">
      <w:pPr>
        <w:pStyle w:val="Textoindependiente"/>
      </w:pPr>
      <w:r>
        <w:t>Esta tabla servirá como ejemplo para explicar la metodología de cálculo de una medida representativa para cada ubigeo.</w:t>
      </w:r>
    </w:p>
    <w:p w14:paraId="5662B97B" w14:textId="77777777" w:rsidR="00CA1A9F" w:rsidRDefault="00000000">
      <w:pPr>
        <w:pStyle w:val="Ttulo1"/>
      </w:pPr>
      <w:bookmarkStart w:id="1" w:name="metodología-de-agregación-de-datos"/>
      <w:bookmarkEnd w:id="0"/>
      <w:r>
        <w:t>Metodología de agregación de datos</w:t>
      </w:r>
    </w:p>
    <w:p w14:paraId="24728E02" w14:textId="77777777" w:rsidR="00CA1A9F" w:rsidRDefault="00000000">
      <w:pPr>
        <w:pStyle w:val="FirstParagraph"/>
      </w:pPr>
      <w:r>
        <w:t>La agregación de datos se realiza para tener condensar múltiples observaciones en un solo valor que sea, en alguna medida específica, representativa de su conjunto (en este caso, para cada ubigeo). Entre las técnicas más conocidas de agregación se encuentran la obtención de recuentos, sumatorias, y medidas de tendencia central (como promedio, mediana, etc).</w:t>
      </w:r>
    </w:p>
    <w:p w14:paraId="59BEB2E6" w14:textId="77777777" w:rsidR="00CA1A9F" w:rsidRDefault="00000000">
      <w:pPr>
        <w:pStyle w:val="Textoindependiente"/>
      </w:pPr>
      <w:r>
        <w:lastRenderedPageBreak/>
        <w:t>Debido a que la estructura básica de datos con la que se trabaja para esta investigación contiene mediciones a lo largo del tiempo se ha buscado obtener una medida que pueda representar:</w:t>
      </w:r>
    </w:p>
    <w:p w14:paraId="03E20909" w14:textId="77777777" w:rsidR="00CA1A9F" w:rsidRDefault="00000000">
      <w:pPr>
        <w:pStyle w:val="Compact"/>
        <w:numPr>
          <w:ilvl w:val="0"/>
          <w:numId w:val="5"/>
        </w:numPr>
      </w:pPr>
      <w:r>
        <w:t>El estado más actual de la observación</w:t>
      </w:r>
    </w:p>
    <w:p w14:paraId="11814BD4" w14:textId="77777777" w:rsidR="00CA1A9F" w:rsidRDefault="00000000">
      <w:pPr>
        <w:pStyle w:val="Compact"/>
        <w:numPr>
          <w:ilvl w:val="0"/>
          <w:numId w:val="5"/>
        </w:numPr>
      </w:pPr>
      <w:r>
        <w:t>Su tendencia, a través de su cambio en un periodo de tiempo determinado</w:t>
      </w:r>
    </w:p>
    <w:p w14:paraId="2846C847" w14:textId="77777777" w:rsidR="00CA1A9F" w:rsidRDefault="00000000">
      <w:pPr>
        <w:pStyle w:val="FirstParagraph"/>
      </w:pPr>
      <w:r>
        <w:t>A continuación se explica cómo obtener ambas agregaciones y sus limitaciones.</w:t>
      </w:r>
    </w:p>
    <w:p w14:paraId="3E7E117A" w14:textId="77777777" w:rsidR="00CA1A9F" w:rsidRDefault="00000000">
      <w:pPr>
        <w:pStyle w:val="Ttulo2"/>
      </w:pPr>
      <w:bookmarkStart w:id="2" w:name="agregaciones-básicas"/>
      <w:r>
        <w:t>Agregaciones básicas</w:t>
      </w:r>
    </w:p>
    <w:p w14:paraId="05714C51" w14:textId="77777777" w:rsidR="00CA1A9F" w:rsidRDefault="00000000">
      <w:pPr>
        <w:pStyle w:val="FirstParagraph"/>
      </w:pPr>
      <w:r>
        <w:t>El estado más actual de la observación puede obtenerse fácilmente, extrayendo la medición obtenida en el periodo más reciente. Para obtener la tendencia, se calcula la diferencia entre la observación más antigua y la más reciente en términos relativos. En otras palabras, se obtiene el porcentaje de variación. El siguiente cuadro ilustra este proceso para la tabla de ejemplo.</w:t>
      </w:r>
    </w:p>
    <w:tbl>
      <w:tblPr>
        <w:tblW w:w="0" w:type="pct"/>
        <w:jc w:val="center"/>
        <w:tblLook w:val="0420" w:firstRow="1" w:lastRow="0" w:firstColumn="0" w:lastColumn="0" w:noHBand="0" w:noVBand="1"/>
      </w:tblPr>
      <w:tblGrid>
        <w:gridCol w:w="871"/>
        <w:gridCol w:w="1438"/>
        <w:gridCol w:w="1494"/>
        <w:gridCol w:w="916"/>
        <w:gridCol w:w="1638"/>
      </w:tblGrid>
      <w:tr w:rsidR="00CA1A9F" w14:paraId="4B6D8D61" w14:textId="77777777">
        <w:trPr>
          <w:tblHeader/>
          <w:jc w:val="center"/>
        </w:trPr>
        <w:tc>
          <w:tcPr>
            <w:tcW w:w="0" w:type="auto"/>
            <w:tcBorders>
              <w:top w:val="single" w:sz="6" w:space="0" w:color="666666"/>
              <w:left w:val="single" w:sz="6" w:space="0" w:color="666666"/>
              <w:bottom w:val="single" w:sz="6" w:space="0" w:color="666666"/>
              <w:right w:val="single" w:sz="6" w:space="0" w:color="666666"/>
            </w:tcBorders>
            <w:shd w:val="clear" w:color="auto" w:fill="D8D8D8"/>
            <w:tcMar>
              <w:top w:w="0" w:type="dxa"/>
              <w:left w:w="0" w:type="dxa"/>
              <w:bottom w:w="0" w:type="dxa"/>
              <w:right w:w="0" w:type="dxa"/>
            </w:tcMar>
            <w:vAlign w:val="center"/>
          </w:tcPr>
          <w:p w14:paraId="66896E7B"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0"/>
                <w:szCs w:val="20"/>
              </w:rPr>
              <w:t>ubigeo</w:t>
            </w:r>
          </w:p>
        </w:tc>
        <w:tc>
          <w:tcPr>
            <w:tcW w:w="0" w:type="auto"/>
            <w:tcBorders>
              <w:top w:val="single" w:sz="6" w:space="0" w:color="666666"/>
              <w:left w:val="single" w:sz="6" w:space="0" w:color="666666"/>
              <w:bottom w:val="single" w:sz="6" w:space="0" w:color="666666"/>
              <w:right w:val="single" w:sz="6" w:space="0" w:color="666666"/>
            </w:tcBorders>
            <w:shd w:val="clear" w:color="auto" w:fill="D8D8D8"/>
            <w:tcMar>
              <w:top w:w="0" w:type="dxa"/>
              <w:left w:w="0" w:type="dxa"/>
              <w:bottom w:w="0" w:type="dxa"/>
              <w:right w:w="0" w:type="dxa"/>
            </w:tcMar>
            <w:vAlign w:val="center"/>
          </w:tcPr>
          <w:p w14:paraId="41604138"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mas_antigua</w:t>
            </w:r>
          </w:p>
        </w:tc>
        <w:tc>
          <w:tcPr>
            <w:tcW w:w="0" w:type="auto"/>
            <w:tcBorders>
              <w:top w:val="single" w:sz="6" w:space="0" w:color="666666"/>
              <w:left w:val="single" w:sz="6" w:space="0" w:color="666666"/>
              <w:bottom w:val="single" w:sz="6" w:space="0" w:color="666666"/>
              <w:right w:val="single" w:sz="6" w:space="0" w:color="666666"/>
            </w:tcBorders>
            <w:shd w:val="clear" w:color="auto" w:fill="D8D8D8"/>
            <w:tcMar>
              <w:top w:w="0" w:type="dxa"/>
              <w:left w:w="0" w:type="dxa"/>
              <w:bottom w:w="0" w:type="dxa"/>
              <w:right w:w="0" w:type="dxa"/>
            </w:tcMar>
            <w:vAlign w:val="center"/>
          </w:tcPr>
          <w:p w14:paraId="24B2E7B3"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mas_reciente</w:t>
            </w:r>
          </w:p>
        </w:tc>
        <w:tc>
          <w:tcPr>
            <w:tcW w:w="0" w:type="auto"/>
            <w:tcBorders>
              <w:top w:val="single" w:sz="6" w:space="0" w:color="666666"/>
              <w:left w:val="single" w:sz="6" w:space="0" w:color="666666"/>
              <w:bottom w:val="single" w:sz="6" w:space="0" w:color="666666"/>
              <w:right w:val="single" w:sz="6" w:space="0" w:color="666666"/>
            </w:tcBorders>
            <w:shd w:val="clear" w:color="auto" w:fill="D8D8D8"/>
            <w:tcMar>
              <w:top w:w="0" w:type="dxa"/>
              <w:left w:w="0" w:type="dxa"/>
              <w:bottom w:w="0" w:type="dxa"/>
              <w:right w:w="0" w:type="dxa"/>
            </w:tcMar>
            <w:vAlign w:val="center"/>
          </w:tcPr>
          <w:p w14:paraId="7E6F7625"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cambio</w:t>
            </w:r>
          </w:p>
        </w:tc>
        <w:tc>
          <w:tcPr>
            <w:tcW w:w="0" w:type="auto"/>
            <w:tcBorders>
              <w:top w:val="single" w:sz="6" w:space="0" w:color="666666"/>
              <w:left w:val="single" w:sz="6" w:space="0" w:color="666666"/>
              <w:bottom w:val="single" w:sz="6" w:space="0" w:color="666666"/>
              <w:right w:val="single" w:sz="6" w:space="0" w:color="666666"/>
            </w:tcBorders>
            <w:shd w:val="clear" w:color="auto" w:fill="D8D8D8"/>
            <w:tcMar>
              <w:top w:w="0" w:type="dxa"/>
              <w:left w:w="0" w:type="dxa"/>
              <w:bottom w:w="0" w:type="dxa"/>
              <w:right w:w="0" w:type="dxa"/>
            </w:tcMar>
            <w:vAlign w:val="center"/>
          </w:tcPr>
          <w:p w14:paraId="15146B85"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porc_variacion</w:t>
            </w:r>
          </w:p>
        </w:tc>
      </w:tr>
      <w:tr w:rsidR="00CA1A9F" w14:paraId="753EA604"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4D5A7B1"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150115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38F08E4"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386.0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154F9A2"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1265.3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3F9776C"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879.3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4672D39"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227.8</w:t>
            </w:r>
          </w:p>
        </w:tc>
      </w:tr>
      <w:tr w:rsidR="00CA1A9F" w14:paraId="2E89EA9F"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F73DE23"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B1DDA21"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83.7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345EFBD"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18.2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D0B1801"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-65.5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DA498E1"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-78.3</w:t>
            </w:r>
          </w:p>
        </w:tc>
      </w:tr>
      <w:tr w:rsidR="00CA1A9F" w14:paraId="624B9C38"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BFAAB67"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A8E7FDC"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3.4</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7CBF510"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4.6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6852DFE"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E42588B"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35.3</w:t>
            </w:r>
          </w:p>
        </w:tc>
      </w:tr>
    </w:tbl>
    <w:p w14:paraId="09B4F460" w14:textId="77777777" w:rsidR="00CA1A9F" w:rsidRDefault="00000000">
      <w:pPr>
        <w:pStyle w:val="Textoindependiente"/>
      </w:pPr>
      <w:r>
        <w:t>En este ejemplo en particular, resulta valioso apreciar la diferencia entre el ubigeo “150115” y el ubigeo “150129”. Se puede ver que en las observaciones más antiguas, la medición de “150115” es de 386 intervenciones por cada 10 mil habitantes, al menos 100 veces mayor que en “150129”. Esta diferencia se hace mucho más evidente en las observaciones más recientes, en la que la tasa de intervenciones en “150115” es alrededor de 300 veces mayor a la de “150129”.</w:t>
      </w:r>
    </w:p>
    <w:p w14:paraId="7E0FCD27" w14:textId="77777777" w:rsidR="00CA1A9F" w:rsidRDefault="00000000">
      <w:pPr>
        <w:pStyle w:val="Textoindependiente"/>
      </w:pPr>
      <w:r>
        <w:t>Naturalmente, en términos absolutos, el cambio que se observa en la tasa de intervenciones en “150115” también es alto, siendo más de 700 veces mayor que en “150129”. Sin embargo, es sumamente importante considerar el cambio en términos relativos, viendo el porcentaje de variación. En este caso, se puede ver que, si bien en “150115” hubo un 227.8% de incremento, en “150129”, a pesar de tener un valor pequeño en su observación más reciente, tuvo un incremento de 35.3%.</w:t>
      </w:r>
    </w:p>
    <w:p w14:paraId="3F3E5FE8" w14:textId="77777777" w:rsidR="00CA1A9F" w:rsidRDefault="00000000">
      <w:pPr>
        <w:pStyle w:val="Textoindependiente"/>
      </w:pPr>
      <w:r>
        <w:t>Por otro lado, es importante analizar el comportamiento del ubigeo “150122”, ya que aún siendo en ambos momentos mayor a “150129”, ha tenido un cambio decreciente en el tiempo, habiendo reducido un 78.3% su tasa de intervenciones. Debido a ello, en términos de porcentaje de variación tiene un valor menor que “150129”.</w:t>
      </w:r>
    </w:p>
    <w:p w14:paraId="56F2222B" w14:textId="77777777" w:rsidR="00CA1A9F" w:rsidRDefault="00000000">
      <w:pPr>
        <w:pStyle w:val="Textoindependiente"/>
      </w:pPr>
      <w:r>
        <w:t>Con toda esta explicación, se está tratando de argumentar que no es suficiente tomar solo la última medición o solo el porcentaje de variación en el tiempo, ya que ambas agregaciones brindar información importante. Ante ello, es necesario elaborar una agregación compuesta, que se alimente de ambas al mismo tiempo.</w:t>
      </w:r>
    </w:p>
    <w:p w14:paraId="2215B220" w14:textId="77777777" w:rsidR="00CA1A9F" w:rsidRDefault="00000000">
      <w:pPr>
        <w:pStyle w:val="Ttulo2"/>
      </w:pPr>
      <w:bookmarkStart w:id="3" w:name="agregación-compuesta"/>
      <w:bookmarkEnd w:id="2"/>
      <w:r>
        <w:t>Agregación compuesta</w:t>
      </w:r>
    </w:p>
    <w:p w14:paraId="355F3BAF" w14:textId="77777777" w:rsidR="00CA1A9F" w:rsidRDefault="00000000">
      <w:pPr>
        <w:pStyle w:val="FirstParagraph"/>
      </w:pPr>
      <w:r>
        <w:t xml:space="preserve">La siguiente fórmula ilustra el cálculo necesario para la obtención de un puntaje compuesto. En ella, se asigna el mismo peso (0.5) a cada agregación, de tal modo que </w:t>
      </w:r>
      <w:r>
        <w:rPr>
          <w:rStyle w:val="VerbatimChar"/>
        </w:rPr>
        <w:t>Puntaje</w:t>
      </w:r>
      <w:r>
        <w:t xml:space="preserve"> se </w:t>
      </w:r>
      <w:r>
        <w:lastRenderedPageBreak/>
        <w:t>alimente de ambas en igual medida. Esta formula contiene un error grave, que se explicará en breve.</w:t>
      </w:r>
    </w:p>
    <w:p w14:paraId="21817C0C" w14:textId="77777777" w:rsidR="00CA1A9F" w:rsidRDefault="00000000">
      <w:pPr>
        <w:pStyle w:val="Textoindependiente"/>
      </w:pPr>
      <m:oMathPara>
        <m:oMathParaPr>
          <m:jc m:val="center"/>
        </m:oMathParaPr>
        <m:oMath>
          <m:r>
            <w:rPr>
              <w:rFonts w:ascii="Cambria Math" w:hAnsi="Cambria Math"/>
            </w:rPr>
            <m:t>Puntaje</m:t>
          </m:r>
          <m:r>
            <m:rPr>
              <m:sty m:val="p"/>
            </m:rPr>
            <w:rPr>
              <w:rFonts w:ascii="Cambria Math" w:hAnsi="Cambria Math"/>
            </w:rPr>
            <m:t>=</m:t>
          </m:r>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mas</m:t>
              </m:r>
              <m:r>
                <m:rPr>
                  <m:sty m:val="p"/>
                </m:rPr>
                <w:rPr>
                  <w:rFonts w:ascii="Cambria Math" w:hAnsi="Cambria Math"/>
                </w:rPr>
                <m:t>_</m:t>
              </m:r>
              <m:r>
                <w:rPr>
                  <w:rFonts w:ascii="Cambria Math" w:hAnsi="Cambria Math"/>
                </w:rPr>
                <m:t>reciente</m:t>
              </m:r>
            </m:e>
          </m:d>
          <m:r>
            <m:rPr>
              <m:sty m:val="p"/>
            </m:rPr>
            <w:rPr>
              <w:rFonts w:ascii="Cambria Math" w:hAnsi="Cambria Math"/>
            </w:rPr>
            <m:t>+</m:t>
          </m:r>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porc</m:t>
              </m:r>
              <m:r>
                <m:rPr>
                  <m:sty m:val="p"/>
                </m:rPr>
                <w:rPr>
                  <w:rFonts w:ascii="Cambria Math" w:hAnsi="Cambria Math"/>
                </w:rPr>
                <m:t>_</m:t>
              </m:r>
              <m:r>
                <w:rPr>
                  <w:rFonts w:ascii="Cambria Math" w:hAnsi="Cambria Math"/>
                </w:rPr>
                <m:t>variacion</m:t>
              </m:r>
            </m:e>
          </m:d>
        </m:oMath>
      </m:oMathPara>
    </w:p>
    <w:p w14:paraId="7F80992B" w14:textId="77777777" w:rsidR="00CA1A9F" w:rsidRDefault="00000000">
      <w:pPr>
        <w:pStyle w:val="FirstParagraph"/>
      </w:pPr>
      <w:r>
        <w:t>La siguiente tabla muestra los resultados obtenidos:</w:t>
      </w:r>
    </w:p>
    <w:tbl>
      <w:tblPr>
        <w:tblW w:w="0" w:type="pct"/>
        <w:jc w:val="center"/>
        <w:tblLook w:val="0420" w:firstRow="1" w:lastRow="0" w:firstColumn="0" w:lastColumn="0" w:noHBand="0" w:noVBand="1"/>
      </w:tblPr>
      <w:tblGrid>
        <w:gridCol w:w="871"/>
        <w:gridCol w:w="1494"/>
        <w:gridCol w:w="1638"/>
        <w:gridCol w:w="927"/>
      </w:tblGrid>
      <w:tr w:rsidR="00CA1A9F" w14:paraId="069D1779" w14:textId="77777777">
        <w:trPr>
          <w:tblHeader/>
          <w:jc w:val="center"/>
        </w:trPr>
        <w:tc>
          <w:tcPr>
            <w:tcW w:w="0" w:type="auto"/>
            <w:tcBorders>
              <w:top w:val="single" w:sz="6" w:space="0" w:color="666666"/>
              <w:left w:val="single" w:sz="6" w:space="0" w:color="666666"/>
              <w:bottom w:val="single" w:sz="6" w:space="0" w:color="666666"/>
              <w:right w:val="single" w:sz="6" w:space="0" w:color="666666"/>
            </w:tcBorders>
            <w:shd w:val="clear" w:color="auto" w:fill="D8D8D8"/>
            <w:tcMar>
              <w:top w:w="0" w:type="dxa"/>
              <w:left w:w="0" w:type="dxa"/>
              <w:bottom w:w="0" w:type="dxa"/>
              <w:right w:w="0" w:type="dxa"/>
            </w:tcMar>
            <w:vAlign w:val="center"/>
          </w:tcPr>
          <w:p w14:paraId="03810B66"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0"/>
                <w:szCs w:val="20"/>
              </w:rPr>
              <w:t>ubigeo</w:t>
            </w:r>
          </w:p>
        </w:tc>
        <w:tc>
          <w:tcPr>
            <w:tcW w:w="0" w:type="auto"/>
            <w:tcBorders>
              <w:top w:val="single" w:sz="6" w:space="0" w:color="666666"/>
              <w:left w:val="single" w:sz="6" w:space="0" w:color="666666"/>
              <w:bottom w:val="single" w:sz="6" w:space="0" w:color="666666"/>
              <w:right w:val="single" w:sz="6" w:space="0" w:color="666666"/>
            </w:tcBorders>
            <w:shd w:val="clear" w:color="auto" w:fill="D8D8D8"/>
            <w:tcMar>
              <w:top w:w="0" w:type="dxa"/>
              <w:left w:w="0" w:type="dxa"/>
              <w:bottom w:w="0" w:type="dxa"/>
              <w:right w:w="0" w:type="dxa"/>
            </w:tcMar>
            <w:vAlign w:val="center"/>
          </w:tcPr>
          <w:p w14:paraId="089EF670"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mas_reciente</w:t>
            </w:r>
          </w:p>
        </w:tc>
        <w:tc>
          <w:tcPr>
            <w:tcW w:w="0" w:type="auto"/>
            <w:tcBorders>
              <w:top w:val="single" w:sz="6" w:space="0" w:color="666666"/>
              <w:left w:val="single" w:sz="6" w:space="0" w:color="666666"/>
              <w:bottom w:val="single" w:sz="6" w:space="0" w:color="666666"/>
              <w:right w:val="single" w:sz="6" w:space="0" w:color="666666"/>
            </w:tcBorders>
            <w:shd w:val="clear" w:color="auto" w:fill="D8D8D8"/>
            <w:tcMar>
              <w:top w:w="0" w:type="dxa"/>
              <w:left w:w="0" w:type="dxa"/>
              <w:bottom w:w="0" w:type="dxa"/>
              <w:right w:w="0" w:type="dxa"/>
            </w:tcMar>
            <w:vAlign w:val="center"/>
          </w:tcPr>
          <w:p w14:paraId="5560EADF"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porc_variacion</w:t>
            </w:r>
          </w:p>
        </w:tc>
        <w:tc>
          <w:tcPr>
            <w:tcW w:w="0" w:type="auto"/>
            <w:tcBorders>
              <w:top w:val="single" w:sz="6" w:space="0" w:color="666666"/>
              <w:left w:val="single" w:sz="6" w:space="0" w:color="666666"/>
              <w:bottom w:val="single" w:sz="6" w:space="0" w:color="666666"/>
              <w:right w:val="single" w:sz="6" w:space="0" w:color="666666"/>
            </w:tcBorders>
            <w:shd w:val="clear" w:color="auto" w:fill="D8D8D8"/>
            <w:tcMar>
              <w:top w:w="0" w:type="dxa"/>
              <w:left w:w="0" w:type="dxa"/>
              <w:bottom w:w="0" w:type="dxa"/>
              <w:right w:w="0" w:type="dxa"/>
            </w:tcMar>
            <w:vAlign w:val="center"/>
          </w:tcPr>
          <w:p w14:paraId="021F5218"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puntaje</w:t>
            </w:r>
          </w:p>
        </w:tc>
      </w:tr>
      <w:tr w:rsidR="00CA1A9F" w14:paraId="6A9CE737"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39A2BA4"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150115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C890344"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1265.3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F4F2A50"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227.8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B16F409"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746.5</w:t>
            </w:r>
          </w:p>
        </w:tc>
      </w:tr>
      <w:tr w:rsidR="00CA1A9F" w14:paraId="6AB6696B"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05F2331"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CD5CC17"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18.2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1037E86"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-78.3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E19B15F"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-30.0</w:t>
            </w:r>
          </w:p>
        </w:tc>
      </w:tr>
      <w:tr w:rsidR="00CA1A9F" w14:paraId="3F400687"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2F71AE4"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CCF81AF"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4.6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FAEDCEF"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35.3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25E85CE" w14:textId="77777777" w:rsidR="00CA1A9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19.9</w:t>
            </w:r>
          </w:p>
        </w:tc>
      </w:tr>
    </w:tbl>
    <w:p w14:paraId="164748F4" w14:textId="77777777" w:rsidR="00CA1A9F" w:rsidRDefault="00000000">
      <w:pPr>
        <w:pStyle w:val="Textoindependiente"/>
      </w:pPr>
      <w:r>
        <w:t xml:space="preserve">Con estos resultados, el puntaje obtenido indicaría que se debe priorizar intervenir en el ubigeo “150115”, mientras que debería reducirse la intervención en el ubigeo “150122”. Sin embargo, la fórmula previamente mostrada no toma en cuenta que la observación más reciente de la </w:t>
      </w:r>
      <w:r>
        <w:rPr>
          <w:i/>
          <w:iCs/>
        </w:rPr>
        <w:t>tasa de intervenciones por 10 mil habitantes</w:t>
      </w:r>
      <w:r>
        <w:t xml:space="preserve"> opera en un nivel de abstracción diferente al </w:t>
      </w:r>
      <w:r>
        <w:rPr>
          <w:i/>
          <w:iCs/>
        </w:rPr>
        <w:t>porcentaje de variación</w:t>
      </w:r>
      <w:r>
        <w:t xml:space="preserve"> de la tasa. Es decir que aplicar la formula sin pre-procesar las variables equivale a sumar gotas de agua con baldes de agua: se obtiene un número pero este no sirve para extraer conclusiones razonables.</w:t>
      </w:r>
    </w:p>
    <w:p w14:paraId="47C67F4C" w14:textId="77777777" w:rsidR="00CA1A9F" w:rsidRDefault="00000000">
      <w:pPr>
        <w:pStyle w:val="Textoindependiente"/>
      </w:pPr>
      <w:r>
        <w:t xml:space="preserve">Para el pre-procesamiento de estas agregaciones se ha decidido usar una técnica llamada </w:t>
      </w:r>
      <w:r>
        <w:rPr>
          <w:b/>
          <w:bCs/>
        </w:rPr>
        <w:t>normalización</w:t>
      </w:r>
      <w:r>
        <w:rPr>
          <w:rStyle w:val="Refdenotaalpie"/>
        </w:rPr>
        <w:footnoteReference w:id="1"/>
      </w:r>
      <w:r>
        <w:t>. Esta consiste en</w:t>
      </w:r>
      <w:bookmarkEnd w:id="1"/>
      <w:bookmarkEnd w:id="3"/>
    </w:p>
    <w:sectPr w:rsidR="00CA1A9F">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03055" w14:textId="77777777" w:rsidR="001545F9" w:rsidRDefault="001545F9">
      <w:pPr>
        <w:spacing w:after="0"/>
      </w:pPr>
      <w:r>
        <w:separator/>
      </w:r>
    </w:p>
  </w:endnote>
  <w:endnote w:type="continuationSeparator" w:id="0">
    <w:p w14:paraId="505C12FA" w14:textId="77777777" w:rsidR="001545F9" w:rsidRDefault="001545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F048B" w14:textId="77777777" w:rsidR="001545F9" w:rsidRDefault="001545F9">
      <w:r>
        <w:separator/>
      </w:r>
    </w:p>
  </w:footnote>
  <w:footnote w:type="continuationSeparator" w:id="0">
    <w:p w14:paraId="0ABD11F7" w14:textId="77777777" w:rsidR="001545F9" w:rsidRDefault="001545F9">
      <w:r>
        <w:continuationSeparator/>
      </w:r>
    </w:p>
  </w:footnote>
  <w:footnote w:id="1">
    <w:p w14:paraId="7CCF1EB6" w14:textId="77777777" w:rsidR="00CA1A9F" w:rsidRPr="003F5CBE" w:rsidRDefault="00000000" w:rsidP="003F5CBE">
      <w:pPr>
        <w:pStyle w:val="Textonotapie"/>
      </w:pPr>
      <w:r w:rsidRPr="003F5CBE">
        <w:rPr>
          <w:rStyle w:val="Refdenotaalpie"/>
          <w:vertAlign w:val="baseline"/>
        </w:rPr>
        <w:footnoteRef/>
      </w:r>
      <w:r w:rsidRPr="003F5CBE">
        <w:t xml:space="preserve"> Para </w:t>
      </w:r>
      <w:proofErr w:type="spellStart"/>
      <w:r w:rsidRPr="003F5CBE">
        <w:t>este</w:t>
      </w:r>
      <w:proofErr w:type="spellEnd"/>
      <w:r w:rsidRPr="003F5CBE">
        <w:t xml:space="preserve"> </w:t>
      </w:r>
      <w:proofErr w:type="spellStart"/>
      <w:r w:rsidRPr="003F5CBE">
        <w:t>caso</w:t>
      </w:r>
      <w:proofErr w:type="spellEnd"/>
      <w:r w:rsidRPr="003F5CBE">
        <w:t xml:space="preserve"> </w:t>
      </w:r>
      <w:proofErr w:type="spellStart"/>
      <w:r w:rsidRPr="003F5CBE">
        <w:t>en</w:t>
      </w:r>
      <w:proofErr w:type="spellEnd"/>
      <w:r w:rsidRPr="003F5CBE">
        <w:t xml:space="preserve"> </w:t>
      </w:r>
      <w:proofErr w:type="spellStart"/>
      <w:r w:rsidRPr="003F5CBE">
        <w:t>específico</w:t>
      </w:r>
      <w:proofErr w:type="spellEnd"/>
      <w:r w:rsidRPr="003F5CBE">
        <w:t xml:space="preserve"> se ha </w:t>
      </w:r>
      <w:proofErr w:type="spellStart"/>
      <w:r w:rsidRPr="003F5CBE">
        <w:t>decidio</w:t>
      </w:r>
      <w:proofErr w:type="spellEnd"/>
      <w:r w:rsidRPr="003F5CBE">
        <w:t xml:space="preserve"> usar la </w:t>
      </w:r>
      <w:proofErr w:type="spellStart"/>
      <w:r w:rsidRPr="003F5CBE">
        <w:t>normalización</w:t>
      </w:r>
      <w:proofErr w:type="spellEnd"/>
      <w:r w:rsidRPr="003F5CBE">
        <w:t xml:space="preserve"> min-max. </w:t>
      </w:r>
      <w:proofErr w:type="spellStart"/>
      <w:r w:rsidRPr="003F5CBE">
        <w:t>Existe</w:t>
      </w:r>
      <w:proofErr w:type="spellEnd"/>
      <w:r w:rsidRPr="003F5CBE">
        <w:t xml:space="preserve"> </w:t>
      </w:r>
      <w:proofErr w:type="spellStart"/>
      <w:r w:rsidRPr="003F5CBE">
        <w:t>otra</w:t>
      </w:r>
      <w:proofErr w:type="spellEnd"/>
      <w:r w:rsidRPr="003F5CBE">
        <w:t xml:space="preserve"> </w:t>
      </w:r>
      <w:proofErr w:type="spellStart"/>
      <w:r w:rsidRPr="003F5CBE">
        <w:t>técnica</w:t>
      </w:r>
      <w:proofErr w:type="spellEnd"/>
      <w:r w:rsidRPr="003F5CBE">
        <w:t xml:space="preserve"> de </w:t>
      </w:r>
      <w:proofErr w:type="spellStart"/>
      <w:r w:rsidRPr="003F5CBE">
        <w:t>normalización</w:t>
      </w:r>
      <w:proofErr w:type="spellEnd"/>
      <w:r w:rsidRPr="003F5CBE">
        <w:t xml:space="preserve"> que </w:t>
      </w:r>
      <w:proofErr w:type="spellStart"/>
      <w:r w:rsidRPr="003F5CBE">
        <w:t>escala</w:t>
      </w:r>
      <w:proofErr w:type="spellEnd"/>
      <w:r w:rsidRPr="003F5CBE">
        <w:t xml:space="preserve"> </w:t>
      </w:r>
      <w:proofErr w:type="spellStart"/>
      <w:r w:rsidRPr="003F5CBE">
        <w:t>los</w:t>
      </w:r>
      <w:proofErr w:type="spellEnd"/>
      <w:r w:rsidRPr="003F5CBE">
        <w:t xml:space="preserve"> </w:t>
      </w:r>
      <w:proofErr w:type="spellStart"/>
      <w:r w:rsidRPr="003F5CBE">
        <w:t>valores</w:t>
      </w:r>
      <w:proofErr w:type="spellEnd"/>
      <w:r w:rsidRPr="003F5CBE">
        <w:t xml:space="preserve"> para </w:t>
      </w:r>
      <w:proofErr w:type="spellStart"/>
      <w:r w:rsidRPr="003F5CBE">
        <w:t>obtener</w:t>
      </w:r>
      <w:proofErr w:type="spellEnd"/>
      <w:r w:rsidRPr="003F5CBE">
        <w:t xml:space="preserve"> un </w:t>
      </w:r>
      <w:proofErr w:type="spellStart"/>
      <w:r w:rsidRPr="003F5CBE">
        <w:t>promedio</w:t>
      </w:r>
      <w:proofErr w:type="spellEnd"/>
      <w:r w:rsidRPr="003F5CBE">
        <w:t xml:space="preserve"> de cero (0) y </w:t>
      </w:r>
      <w:proofErr w:type="spellStart"/>
      <w:r w:rsidRPr="003F5CBE">
        <w:t>una</w:t>
      </w:r>
      <w:proofErr w:type="spellEnd"/>
      <w:r w:rsidRPr="003F5CBE">
        <w:t xml:space="preserve"> </w:t>
      </w:r>
      <w:proofErr w:type="spellStart"/>
      <w:r w:rsidRPr="003F5CBE">
        <w:t>desviación</w:t>
      </w:r>
      <w:proofErr w:type="spellEnd"/>
      <w:r w:rsidRPr="003F5CBE">
        <w:t xml:space="preserve"> </w:t>
      </w:r>
      <w:proofErr w:type="spellStart"/>
      <w:r w:rsidRPr="003F5CBE">
        <w:t>estándar</w:t>
      </w:r>
      <w:proofErr w:type="spellEnd"/>
      <w:r w:rsidRPr="003F5CBE">
        <w:t xml:space="preserve"> de uno (1), que es </w:t>
      </w:r>
      <w:proofErr w:type="spellStart"/>
      <w:r w:rsidRPr="003F5CBE">
        <w:t>menos</w:t>
      </w:r>
      <w:proofErr w:type="spellEnd"/>
      <w:r w:rsidRPr="003F5CBE">
        <w:t xml:space="preserve"> sensible a </w:t>
      </w:r>
      <w:proofErr w:type="spellStart"/>
      <w:r w:rsidRPr="003F5CBE">
        <w:t>valores</w:t>
      </w:r>
      <w:proofErr w:type="spellEnd"/>
      <w:r w:rsidRPr="003F5CBE">
        <w:t xml:space="preserve"> </w:t>
      </w:r>
      <w:proofErr w:type="spellStart"/>
      <w:r w:rsidRPr="003F5CBE">
        <w:t>extremos</w:t>
      </w:r>
      <w:proofErr w:type="spellEnd"/>
      <w:r w:rsidRPr="003F5CBE">
        <w:t xml:space="preserve">. Se </w:t>
      </w:r>
      <w:proofErr w:type="spellStart"/>
      <w:r w:rsidRPr="003F5CBE">
        <w:t>decidió</w:t>
      </w:r>
      <w:proofErr w:type="spellEnd"/>
      <w:r w:rsidRPr="003F5CBE">
        <w:t xml:space="preserve"> no usar </w:t>
      </w:r>
      <w:proofErr w:type="spellStart"/>
      <w:r w:rsidRPr="003F5CBE">
        <w:t>esta</w:t>
      </w:r>
      <w:proofErr w:type="spellEnd"/>
      <w:r w:rsidRPr="003F5CBE">
        <w:t xml:space="preserve"> </w:t>
      </w:r>
      <w:proofErr w:type="spellStart"/>
      <w:r w:rsidRPr="003F5CBE">
        <w:t>otra</w:t>
      </w:r>
      <w:proofErr w:type="spellEnd"/>
      <w:r w:rsidRPr="003F5CBE">
        <w:t xml:space="preserve"> </w:t>
      </w:r>
      <w:proofErr w:type="spellStart"/>
      <w:r w:rsidRPr="003F5CBE">
        <w:t>técnica</w:t>
      </w:r>
      <w:proofErr w:type="spellEnd"/>
      <w:r w:rsidRPr="003F5CBE">
        <w:t xml:space="preserve"> </w:t>
      </w:r>
      <w:proofErr w:type="spellStart"/>
      <w:r w:rsidRPr="003F5CBE">
        <w:t>debido</w:t>
      </w:r>
      <w:proofErr w:type="spellEnd"/>
      <w:r w:rsidRPr="003F5CBE">
        <w:t xml:space="preserve"> a que </w:t>
      </w:r>
      <w:proofErr w:type="spellStart"/>
      <w:r w:rsidRPr="003F5CBE">
        <w:t>los</w:t>
      </w:r>
      <w:proofErr w:type="spellEnd"/>
      <w:r w:rsidRPr="003F5CBE">
        <w:t xml:space="preserve"> </w:t>
      </w:r>
      <w:proofErr w:type="spellStart"/>
      <w:r w:rsidRPr="003F5CBE">
        <w:t>datos</w:t>
      </w:r>
      <w:proofErr w:type="spellEnd"/>
      <w:r w:rsidRPr="003F5CBE">
        <w:t xml:space="preserve"> </w:t>
      </w:r>
      <w:proofErr w:type="spellStart"/>
      <w:r w:rsidRPr="003F5CBE">
        <w:t>ya</w:t>
      </w:r>
      <w:proofErr w:type="spellEnd"/>
      <w:r w:rsidRPr="003F5CBE">
        <w:t xml:space="preserve"> se </w:t>
      </w:r>
      <w:proofErr w:type="spellStart"/>
      <w:r w:rsidRPr="003F5CBE">
        <w:t>encuentran</w:t>
      </w:r>
      <w:proofErr w:type="spellEnd"/>
      <w:r w:rsidRPr="003F5CBE">
        <w:t xml:space="preserve"> </w:t>
      </w:r>
      <w:proofErr w:type="spellStart"/>
      <w:r w:rsidRPr="003F5CBE">
        <w:t>ponderados</w:t>
      </w:r>
      <w:proofErr w:type="spellEnd"/>
      <w:r w:rsidRPr="003F5CBE">
        <w:t xml:space="preserve"> </w:t>
      </w:r>
      <w:proofErr w:type="spellStart"/>
      <w:r w:rsidRPr="003F5CBE">
        <w:t>por</w:t>
      </w:r>
      <w:proofErr w:type="spellEnd"/>
      <w:r w:rsidRPr="003F5CBE">
        <w:t xml:space="preserve"> población, </w:t>
      </w:r>
      <w:proofErr w:type="spellStart"/>
      <w:r w:rsidRPr="003F5CBE">
        <w:t>reduciendo</w:t>
      </w:r>
      <w:proofErr w:type="spellEnd"/>
      <w:r w:rsidRPr="003F5CBE">
        <w:t xml:space="preserve"> la </w:t>
      </w:r>
      <w:proofErr w:type="spellStart"/>
      <w:r w:rsidRPr="003F5CBE">
        <w:t>posible</w:t>
      </w:r>
      <w:proofErr w:type="spellEnd"/>
      <w:r w:rsidRPr="003F5CBE">
        <w:t xml:space="preserve"> </w:t>
      </w:r>
      <w:proofErr w:type="spellStart"/>
      <w:r w:rsidRPr="003F5CBE">
        <w:t>aparición</w:t>
      </w:r>
      <w:proofErr w:type="spellEnd"/>
      <w:r w:rsidRPr="003F5CBE">
        <w:t xml:space="preserve"> de </w:t>
      </w:r>
      <w:proofErr w:type="spellStart"/>
      <w:r w:rsidRPr="003F5CBE">
        <w:t>valores</w:t>
      </w:r>
      <w:proofErr w:type="spellEnd"/>
      <w:r w:rsidRPr="003F5CBE">
        <w:t xml:space="preserve"> </w:t>
      </w:r>
      <w:proofErr w:type="spellStart"/>
      <w:r w:rsidRPr="003F5CBE">
        <w:t>extremos</w:t>
      </w:r>
      <w:proofErr w:type="spellEnd"/>
      <w:r w:rsidRPr="003F5CBE">
        <w:t xml:space="preserve">. </w:t>
      </w:r>
      <w:proofErr w:type="spellStart"/>
      <w:r w:rsidRPr="003F5CBE">
        <w:t>Además</w:t>
      </w:r>
      <w:proofErr w:type="spellEnd"/>
      <w:r w:rsidRPr="003F5CBE">
        <w:t xml:space="preserve">, </w:t>
      </w:r>
      <w:proofErr w:type="spellStart"/>
      <w:r w:rsidRPr="003F5CBE">
        <w:t>mantener</w:t>
      </w:r>
      <w:proofErr w:type="spellEnd"/>
      <w:r w:rsidRPr="003F5CBE">
        <w:t xml:space="preserve"> </w:t>
      </w:r>
      <w:proofErr w:type="spellStart"/>
      <w:r w:rsidRPr="003F5CBE">
        <w:t>los</w:t>
      </w:r>
      <w:proofErr w:type="spellEnd"/>
      <w:r w:rsidRPr="003F5CBE">
        <w:t xml:space="preserve"> </w:t>
      </w:r>
      <w:proofErr w:type="spellStart"/>
      <w:r w:rsidRPr="003F5CBE">
        <w:t>valores</w:t>
      </w:r>
      <w:proofErr w:type="spellEnd"/>
      <w:r w:rsidRPr="003F5CBE">
        <w:t xml:space="preserve"> </w:t>
      </w:r>
      <w:proofErr w:type="spellStart"/>
      <w:r w:rsidRPr="003F5CBE">
        <w:t>en</w:t>
      </w:r>
      <w:proofErr w:type="spellEnd"/>
      <w:r w:rsidRPr="003F5CBE">
        <w:t xml:space="preserve"> </w:t>
      </w:r>
      <w:proofErr w:type="spellStart"/>
      <w:r w:rsidRPr="003F5CBE">
        <w:t>una</w:t>
      </w:r>
      <w:proofErr w:type="spellEnd"/>
      <w:r w:rsidRPr="003F5CBE">
        <w:t xml:space="preserve"> </w:t>
      </w:r>
      <w:proofErr w:type="spellStart"/>
      <w:r w:rsidRPr="003F5CBE">
        <w:t>escala</w:t>
      </w:r>
      <w:proofErr w:type="spellEnd"/>
      <w:r w:rsidRPr="003F5CBE">
        <w:t xml:space="preserve"> del 0 al 1 </w:t>
      </w:r>
      <w:proofErr w:type="spellStart"/>
      <w:r w:rsidRPr="003F5CBE">
        <w:t>facilita</w:t>
      </w:r>
      <w:proofErr w:type="spellEnd"/>
      <w:r w:rsidRPr="003F5CBE">
        <w:t xml:space="preserve"> </w:t>
      </w:r>
      <w:proofErr w:type="spellStart"/>
      <w:r w:rsidRPr="003F5CBE">
        <w:t>ponderar</w:t>
      </w:r>
      <w:proofErr w:type="spellEnd"/>
      <w:r w:rsidRPr="003F5CBE">
        <w:t xml:space="preserve"> </w:t>
      </w:r>
      <w:proofErr w:type="spellStart"/>
      <w:r w:rsidRPr="003F5CBE">
        <w:t>el</w:t>
      </w:r>
      <w:proofErr w:type="spellEnd"/>
      <w:r w:rsidRPr="003F5CBE">
        <w:t xml:space="preserve"> </w:t>
      </w:r>
      <w:proofErr w:type="spellStart"/>
      <w:r w:rsidRPr="003F5CBE">
        <w:t>puntaje</w:t>
      </w:r>
      <w:proofErr w:type="spellEnd"/>
      <w:r w:rsidRPr="003F5CBE">
        <w:t xml:space="preserve"> </w:t>
      </w:r>
      <w:proofErr w:type="spellStart"/>
      <w:r w:rsidRPr="003F5CBE">
        <w:t>normalizado</w:t>
      </w:r>
      <w:proofErr w:type="spellEnd"/>
      <w:r w:rsidRPr="003F5CBE">
        <w:t xml:space="preserve"> </w:t>
      </w:r>
      <w:proofErr w:type="spellStart"/>
      <w:r w:rsidRPr="003F5CBE">
        <w:t>por</w:t>
      </w:r>
      <w:proofErr w:type="spellEnd"/>
      <w:r w:rsidRPr="003F5CBE">
        <w:t xml:space="preserve"> </w:t>
      </w:r>
      <w:proofErr w:type="spellStart"/>
      <w:r w:rsidRPr="003F5CBE">
        <w:t>factores</w:t>
      </w:r>
      <w:proofErr w:type="spellEnd"/>
      <w:r w:rsidRPr="003F5CBE">
        <w:t xml:space="preserve"> que, </w:t>
      </w:r>
      <w:proofErr w:type="spellStart"/>
      <w:r w:rsidRPr="003F5CBE">
        <w:t>sumados</w:t>
      </w:r>
      <w:proofErr w:type="spellEnd"/>
      <w:r w:rsidRPr="003F5CBE">
        <w:t xml:space="preserve">, </w:t>
      </w:r>
      <w:proofErr w:type="spellStart"/>
      <w:r w:rsidRPr="003F5CBE">
        <w:t>equivalgan</w:t>
      </w:r>
      <w:proofErr w:type="spellEnd"/>
      <w:r w:rsidRPr="003F5CBE">
        <w:t xml:space="preserve"> a 1 </w:t>
      </w:r>
      <w:proofErr w:type="spellStart"/>
      <w:r w:rsidRPr="003F5CBE">
        <w:t>también</w:t>
      </w:r>
      <w:proofErr w:type="spellEnd"/>
      <w:r w:rsidRPr="003F5CBE">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990EE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B0567E1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364647578">
    <w:abstractNumId w:val="0"/>
  </w:num>
  <w:num w:numId="2" w16cid:durableId="496652511">
    <w:abstractNumId w:val="0"/>
  </w:num>
  <w:num w:numId="3" w16cid:durableId="11502504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55861313">
    <w:abstractNumId w:val="0"/>
  </w:num>
  <w:num w:numId="5" w16cid:durableId="11310490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A9F"/>
    <w:rsid w:val="001545F9"/>
    <w:rsid w:val="00250E0D"/>
    <w:rsid w:val="003F5CBE"/>
    <w:rsid w:val="00CA1A9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CBD8D4"/>
  <w15:docId w15:val="{46930BB0-0102-4FA5-A648-F5E8BB2D7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7937CA"/>
    <w:pPr>
      <w:keepNext/>
      <w:keepLines/>
      <w:spacing w:before="480" w:after="0"/>
      <w:outlineLvl w:val="0"/>
    </w:pPr>
    <w:rPr>
      <w:rFonts w:asciiTheme="majorHAnsi" w:eastAsiaTheme="majorEastAsia" w:hAnsiTheme="majorHAnsi" w:cstheme="majorBidi"/>
      <w:b/>
      <w:bCs/>
      <w:sz w:val="32"/>
      <w:szCs w:val="32"/>
    </w:rPr>
  </w:style>
  <w:style w:type="paragraph" w:styleId="Ttulo2">
    <w:name w:val="heading 2"/>
    <w:basedOn w:val="Normal"/>
    <w:next w:val="Textoindependiente"/>
    <w:uiPriority w:val="9"/>
    <w:unhideWhenUsed/>
    <w:qFormat/>
    <w:rsid w:val="003C1A35"/>
    <w:pPr>
      <w:keepNext/>
      <w:keepLines/>
      <w:spacing w:before="200" w:after="0"/>
      <w:outlineLvl w:val="1"/>
    </w:pPr>
    <w:rPr>
      <w:rFonts w:asciiTheme="majorHAnsi" w:eastAsiaTheme="majorEastAsia" w:hAnsiTheme="majorHAnsi" w:cstheme="majorBidi"/>
      <w:b/>
      <w:bCs/>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556BAB"/>
    <w:pPr>
      <w:spacing w:before="180" w:after="180"/>
      <w:jc w:val="both"/>
    </w:pPr>
    <w:rPr>
      <w:rFonts w:ascii="Arial" w:hAnsi="Arial" w:cs="Arial"/>
      <w:sz w:val="22"/>
      <w:szCs w:val="22"/>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C657DE"/>
    <w:pPr>
      <w:keepNext/>
      <w:keepLines/>
      <w:spacing w:before="480" w:after="240"/>
      <w:jc w:val="center"/>
    </w:pPr>
    <w:rPr>
      <w:rFonts w:asciiTheme="majorHAnsi" w:eastAsiaTheme="majorEastAsia" w:hAnsiTheme="majorHAnsi" w:cstheme="majorBidi"/>
      <w:b/>
      <w:bCs/>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rsid w:val="003F5CBE"/>
    <w:pPr>
      <w:jc w:val="both"/>
    </w:pPr>
    <w:rPr>
      <w:rFonts w:ascii="Arial" w:hAnsi="Arial" w:cs="Arial"/>
      <w:sz w:val="18"/>
      <w:szCs w:val="18"/>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1242</Words>
  <Characters>6831</Characters>
  <Application>Microsoft Office Word</Application>
  <DocSecurity>0</DocSecurity>
  <Lines>56</Lines>
  <Paragraphs>16</Paragraphs>
  <ScaleCrop>false</ScaleCrop>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metodología para la priorización de distrito de intervención</dc:title>
  <dc:creator>Equipo de Gestión de la información y políticas públicas</dc:creator>
  <cp:keywords/>
  <cp:lastModifiedBy>Samuel Enrique Calderon Serrano</cp:lastModifiedBy>
  <cp:revision>2</cp:revision>
  <dcterms:created xsi:type="dcterms:W3CDTF">2023-10-17T16:50:00Z</dcterms:created>
  <dcterms:modified xsi:type="dcterms:W3CDTF">2023-10-17T16:50:00Z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