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t>Compte rendu détaillé</w:t>
      </w:r>
    </w:p>
    <w:p>
      <w:pPr>
        <w:jc w:val="center"/>
      </w:pPr>
      <w:r>
        <w:rPr>
          <w:color w:val="595959"/>
          <w:sz w:val="28"/>
        </w:rPr>
        <w:t>Audit de sécurité et durcissement de la bibliothèque AirLLM</w:t>
      </w:r>
    </w:p>
    <w:p>
      <w:pPr>
        <w:jc w:val="center"/>
      </w:pPr>
      <w:r>
        <w:rPr>
          <w:color w:val="595959"/>
          <w:sz w:val="18"/>
        </w:rPr>
        <w:t>Référentiel : main @ ac9e260  ·  Périmètre : package air_llm  ·  Date : 14/10/2026</w:t>
      </w:r>
    </w:p>
    <w:p>
      <w:r>
        <w:br w:type="page"/>
      </w:r>
    </w:p>
    <w:p>
      <w:pPr>
        <w:pStyle w:val="Heading1"/>
      </w:pPr>
      <w:r>
        <w:t>Sommaire</w:t>
      </w:r>
    </w:p>
    <w:p>
      <w:r>
        <w:t>Le présent document rend compte de l'audit de sécurité mené sur la bibliothèque AirLLM, des vulnérabilités identifiées, des mesures de durcissement appliquées, de leur validation par les tests, et de l'état résiduel. Il est structuré en treize sections détaillées et quatre annexes.</w:t>
      </w:r>
    </w:p>
    <w:tbl>
      <w:tblPr>
        <w:tblStyle w:val="LightGrid-Accent1"/>
        <w:tblW w:type="auto" w:w="0"/>
        <w:tblLook w:firstColumn="1" w:firstRow="1" w:lastColumn="0" w:lastRow="0" w:noHBand="0" w:noVBand="1" w:val="04A0"/>
      </w:tblPr>
      <w:tblGrid>
        <w:gridCol w:w="4320"/>
        <w:gridCol w:w="4320"/>
      </w:tblGrid>
      <w:tr>
        <w:tc>
          <w:tcPr>
            <w:tcW w:type="dxa" w:w="850"/>
            <w:shd w:val="clear" w:color="auto" w:fill="1F4E79"/>
          </w:tcPr>
          <w:p>
            <w:r>
              <w:rPr>
                <w:b/>
                <w:color w:val="FFFFFF"/>
              </w:rPr>
              <w:t>§</w:t>
            </w:r>
          </w:p>
        </w:tc>
        <w:tc>
          <w:tcPr>
            <w:tcW w:type="dxa" w:w="8220"/>
            <w:shd w:val="clear" w:color="auto" w:fill="1F4E79"/>
          </w:tcPr>
          <w:p>
            <w:r>
              <w:rPr>
                <w:b/>
                <w:color w:val="FFFFFF"/>
              </w:rPr>
              <w:t>Section</w:t>
            </w:r>
          </w:p>
        </w:tc>
      </w:tr>
      <w:tr>
        <w:tc>
          <w:tcPr>
            <w:tcW w:type="dxa" w:w="850"/>
          </w:tcPr>
          <w:p>
            <w:r>
              <w:t>1</w:t>
            </w:r>
          </w:p>
        </w:tc>
        <w:tc>
          <w:tcPr>
            <w:tcW w:type="dxa" w:w="8220"/>
          </w:tcPr>
          <w:p>
            <w:r>
              <w:t>Contexte et objet de l'audit</w:t>
            </w:r>
          </w:p>
        </w:tc>
      </w:tr>
      <w:tr>
        <w:tc>
          <w:tcPr>
            <w:tcW w:type="dxa" w:w="850"/>
          </w:tcPr>
          <w:p>
            <w:r>
              <w:t>2</w:t>
            </w:r>
          </w:p>
        </w:tc>
        <w:tc>
          <w:tcPr>
            <w:tcW w:type="dxa" w:w="8220"/>
          </w:tcPr>
          <w:p>
            <w:r>
              <w:t>Périmètre et méthodologie</w:t>
            </w:r>
          </w:p>
        </w:tc>
      </w:tr>
      <w:tr>
        <w:tc>
          <w:tcPr>
            <w:tcW w:type="dxa" w:w="850"/>
          </w:tcPr>
          <w:p>
            <w:r>
              <w:t>3</w:t>
            </w:r>
          </w:p>
        </w:tc>
        <w:tc>
          <w:tcPr>
            <w:tcW w:type="dxa" w:w="8220"/>
          </w:tcPr>
          <w:p>
            <w:r>
              <w:t>Synthèse des risques (cartographie)</w:t>
            </w:r>
          </w:p>
        </w:tc>
      </w:tr>
      <w:tr>
        <w:tc>
          <w:tcPr>
            <w:tcW w:type="dxa" w:w="850"/>
          </w:tcPr>
          <w:p>
            <w:r>
              <w:t>4</w:t>
            </w:r>
          </w:p>
        </w:tc>
        <w:tc>
          <w:tcPr>
            <w:tcW w:type="dxa" w:w="8220"/>
          </w:tcPr>
          <w:p>
            <w:r>
              <w:t>V1 — Exécution de code arbitraire via pickle (critique)</w:t>
            </w:r>
          </w:p>
        </w:tc>
      </w:tr>
      <w:tr>
        <w:tc>
          <w:tcPr>
            <w:tcW w:type="dxa" w:w="850"/>
          </w:tcPr>
          <w:p>
            <w:r>
              <w:t>5</w:t>
            </w:r>
          </w:p>
        </w:tc>
        <w:tc>
          <w:tcPr>
            <w:tcW w:type="dxa" w:w="8220"/>
          </w:tcPr>
          <w:p>
            <w:r>
              <w:t>V2 — Exécution de code distant non maîtrisée (élevé)</w:t>
            </w:r>
          </w:p>
        </w:tc>
      </w:tr>
      <w:tr>
        <w:tc>
          <w:tcPr>
            <w:tcW w:type="dxa" w:w="850"/>
          </w:tcPr>
          <w:p>
            <w:r>
              <w:t>6</w:t>
            </w:r>
          </w:p>
        </w:tc>
        <w:tc>
          <w:tcPr>
            <w:tcW w:type="dxa" w:w="8220"/>
          </w:tcPr>
          <w:p>
            <w:r>
              <w:t>V3 — Robustesse et suppression de fichiers (moyen)</w:t>
            </w:r>
          </w:p>
        </w:tc>
      </w:tr>
      <w:tr>
        <w:tc>
          <w:tcPr>
            <w:tcW w:type="dxa" w:w="850"/>
          </w:tcPr>
          <w:p>
            <w:r>
              <w:t>7</w:t>
            </w:r>
          </w:p>
        </w:tc>
        <w:tc>
          <w:tcPr>
            <w:tcW w:type="dxa" w:w="8220"/>
          </w:tcPr>
          <w:p>
            <w:r>
              <w:t>V4 — Intégrité de la chaîne d'approvisionnement (moyen)</w:t>
            </w:r>
          </w:p>
        </w:tc>
      </w:tr>
      <w:tr>
        <w:tc>
          <w:tcPr>
            <w:tcW w:type="dxa" w:w="850"/>
          </w:tcPr>
          <w:p>
            <w:r>
              <w:t>8</w:t>
            </w:r>
          </w:p>
        </w:tc>
        <w:tc>
          <w:tcPr>
            <w:tcW w:type="dxa" w:w="8220"/>
          </w:tcPr>
          <w:p>
            <w:r>
              <w:t>Phase 2 — Généralisation tri-état de trust_remote_code</w:t>
            </w:r>
          </w:p>
        </w:tc>
      </w:tr>
      <w:tr>
        <w:tc>
          <w:tcPr>
            <w:tcW w:type="dxa" w:w="850"/>
          </w:tcPr>
          <w:p>
            <w:r>
              <w:t>9</w:t>
            </w:r>
          </w:p>
        </w:tc>
        <w:tc>
          <w:tcPr>
            <w:tcW w:type="dxa" w:w="8220"/>
          </w:tcPr>
          <w:p>
            <w:r>
              <w:t>Construction des impacts : matrice avant / après</w:t>
            </w:r>
          </w:p>
        </w:tc>
      </w:tr>
      <w:tr>
        <w:tc>
          <w:tcPr>
            <w:tcW w:type="dxa" w:w="850"/>
          </w:tcPr>
          <w:p>
            <w:r>
              <w:t>10</w:t>
            </w:r>
          </w:p>
        </w:tc>
        <w:tc>
          <w:tcPr>
            <w:tcW w:type="dxa" w:w="8220"/>
          </w:tcPr>
          <w:p>
            <w:r>
              <w:t>Volumétrie des changements</w:t>
            </w:r>
          </w:p>
        </w:tc>
      </w:tr>
      <w:tr>
        <w:tc>
          <w:tcPr>
            <w:tcW w:type="dxa" w:w="850"/>
          </w:tcPr>
          <w:p>
            <w:r>
              <w:t>11</w:t>
            </w:r>
          </w:p>
        </w:tc>
        <w:tc>
          <w:tcPr>
            <w:tcW w:type="dxa" w:w="8220"/>
          </w:tcPr>
          <w:p>
            <w:r>
              <w:t>Stratégie de test et validation</w:t>
            </w:r>
          </w:p>
        </w:tc>
      </w:tr>
      <w:tr>
        <w:tc>
          <w:tcPr>
            <w:tcW w:type="dxa" w:w="850"/>
          </w:tcPr>
          <w:p>
            <w:r>
              <w:t>12</w:t>
            </w:r>
          </w:p>
        </w:tc>
        <w:tc>
          <w:tcPr>
            <w:tcW w:type="dxa" w:w="8220"/>
          </w:tcPr>
          <w:p>
            <w:r>
              <w:t>Risques résiduels et limites assumées</w:t>
            </w:r>
          </w:p>
        </w:tc>
      </w:tr>
      <w:tr>
        <w:tc>
          <w:tcPr>
            <w:tcW w:type="dxa" w:w="850"/>
          </w:tcPr>
          <w:p>
            <w:r>
              <w:t>13</w:t>
            </w:r>
          </w:p>
        </w:tc>
        <w:tc>
          <w:tcPr>
            <w:tcW w:type="dxa" w:w="8220"/>
          </w:tcPr>
          <w:p>
            <w:r>
              <w:t>Conclusion et recommandations</w:t>
            </w:r>
          </w:p>
        </w:tc>
      </w:tr>
      <w:tr>
        <w:tc>
          <w:tcPr>
            <w:tcW w:type="dxa" w:w="850"/>
          </w:tcPr>
          <w:p>
            <w:r>
              <w:t>A</w:t>
            </w:r>
          </w:p>
        </w:tc>
        <w:tc>
          <w:tcPr>
            <w:tcW w:type="dxa" w:w="8220"/>
          </w:tcPr>
          <w:p>
            <w:r>
              <w:t>Annexe A — Détail des commits</w:t>
            </w:r>
          </w:p>
        </w:tc>
      </w:tr>
      <w:tr>
        <w:tc>
          <w:tcPr>
            <w:tcW w:type="dxa" w:w="850"/>
          </w:tcPr>
          <w:p>
            <w:r>
              <w:t>B</w:t>
            </w:r>
          </w:p>
        </w:tc>
        <w:tc>
          <w:tcPr>
            <w:tcW w:type="dxa" w:w="8220"/>
          </w:tcPr>
          <w:p>
            <w:r>
              <w:t>Annexe B — Inventaire des fichiers audités</w:t>
            </w:r>
          </w:p>
        </w:tc>
      </w:tr>
      <w:tr>
        <w:tc>
          <w:tcPr>
            <w:tcW w:type="dxa" w:w="850"/>
          </w:tcPr>
          <w:p>
            <w:r>
              <w:t>C</w:t>
            </w:r>
          </w:p>
        </w:tc>
        <w:tc>
          <w:tcPr>
            <w:tcW w:type="dxa" w:w="8220"/>
          </w:tcPr>
          <w:p>
            <w:r>
              <w:t>Annexe C — Références des correctifs (extraits de code)</w:t>
            </w:r>
          </w:p>
        </w:tc>
      </w:tr>
      <w:tr>
        <w:tc>
          <w:tcPr>
            <w:tcW w:type="dxa" w:w="850"/>
          </w:tcPr>
          <w:p>
            <w:r>
              <w:t>D</w:t>
            </w:r>
          </w:p>
        </w:tc>
        <w:tc>
          <w:tcPr>
            <w:tcW w:type="dxa" w:w="8220"/>
          </w:tcPr>
          <w:p>
            <w:r>
              <w:t>Annexe D — Glossaire</w:t>
            </w:r>
          </w:p>
        </w:tc>
      </w:tr>
    </w:tbl>
    <w:p>
      <w:r>
        <w:br w:type="page"/>
      </w:r>
    </w:p>
    <w:p>
      <w:pPr>
        <w:pStyle w:val="Heading1"/>
      </w:pPr>
      <w:r>
        <w:t>1. Contexte et objet de l'audit</w:t>
      </w:r>
    </w:p>
    <w:p>
      <w:r>
        <w:t>AirLLM est une bibliothèque d'inférence de modèles de langage (LLM) qui permet d'exécuter des modèles de très grande taille — jusqu'à 2 800 milliards de paramètres (Kimi K3) — sur des cartes graphiques à mémoire limitée, grâce à une technique de streaming des poids couche par couche depuis le disque. Elle prend en charge l'inférence et, depuis peu, l'entraînement (LoRA) de modèles massifs sur de petites cartes.</w:t>
      </w:r>
    </w:p>
    <w:p>
      <w:r>
        <w:t>Ce mécanisme implique par nature la manipulation d'artefacts non fiables : des fichiers de poids de modèles téléchargés depuis des dépôts tiers (HuggingFace), du code Python « distant » embarqué dans ces dépôts, et de nombreuses opérations d'entrée/sortie sur le système de fichiers (téléchargement, découpage, réécriture, suppression). Ce sont précisément les surfaces d'attaque classiques d'une telle bibliothèque.</w:t>
      </w:r>
    </w:p>
    <w:p>
      <w:r>
        <w:t>L'objet de cet audit est d'identifier, de qualifier et de corriger les vulnérabilités de sécurité présentes dans le package air_llm, en priorité celles pouvant conduire à une exécution de code arbitraire sur la machine de l'utilisateur, sans dégrader le fonctionnement nominal de la bibliothèque.</w:t>
      </w:r>
    </w:p>
    <w:p>
      <w:pPr>
        <w:pStyle w:val="Heading1"/>
      </w:pPr>
      <w:r>
        <w:t>2. Périmètre et méthodologie</w:t>
      </w:r>
    </w:p>
    <w:p>
      <w:pPr>
        <w:pStyle w:val="Heading2"/>
      </w:pPr>
      <w:r>
        <w:t>2.1  Périmètre</w:t>
      </w:r>
    </w:p>
    <w:p>
      <w:r>
        <w:t>L'audit a couvert l'intégralité des 46 fichiers Python du dépôt, avec une attention particulière portée au package air_llm/airllm (le cœur de la bibliothèque). Les fichiers périmètre secondaire — scripts d'entraînement (training/, rlhf/), jeux de données et notebooks — ont été examinés pour leur usage des mêmes primitives sensibles.</w:t>
      </w:r>
    </w:p>
    <w:p>
      <w:pPr>
        <w:pStyle w:val="Heading2"/>
      </w:pPr>
      <w:r>
        <w:t>2.2  Méthode</w:t>
      </w:r>
    </w:p>
    <w:p>
      <w:r>
        <w:t>L'analyse repose sur un examen statique du code source et la recherche systématique de motifs à risque, regroupés en quatre familles de menaces :</w:t>
      </w:r>
    </w:p>
    <w:p>
      <w:pPr>
        <w:pStyle w:val="ListBullet"/>
      </w:pPr>
      <w:r>
        <w:rPr>
          <w:b/>
        </w:rPr>
        <w:t xml:space="preserve">Désérialisation non sûre — </w:t>
      </w:r>
      <w:r>
        <w:t>torch.load() sans weights_only, pickle, marshal.</w:t>
      </w:r>
    </w:p>
    <w:p>
      <w:pPr>
        <w:pStyle w:val="ListBullet"/>
      </w:pPr>
      <w:r>
        <w:rPr>
          <w:b/>
        </w:rPr>
        <w:t xml:space="preserve">Exécution de code distant — </w:t>
      </w:r>
      <w:r>
        <w:t>trust_remote_code=True non contrôlable.</w:t>
      </w:r>
    </w:p>
    <w:p>
      <w:pPr>
        <w:pStyle w:val="ListBullet"/>
      </w:pPr>
      <w:r>
        <w:rPr>
          <w:b/>
        </w:rPr>
        <w:t xml:space="preserve">Opérations sur le système de fichiers — </w:t>
      </w:r>
      <w:r>
        <w:t>suppression, liens symboliques, traversée de chemins.</w:t>
      </w:r>
    </w:p>
    <w:p>
      <w:pPr>
        <w:pStyle w:val="ListBullet"/>
      </w:pPr>
      <w:r>
        <w:rPr>
          <w:b/>
        </w:rPr>
        <w:t xml:space="preserve">Chaîne d'approvisionnement — </w:t>
      </w:r>
      <w:r>
        <w:t>dépendances épinglées sur des références mouvantes.</w:t>
      </w:r>
    </w:p>
    <w:p>
      <w:r>
        <w:t>Chaque risque est qualifié selon une échelle de gravité à quatre niveaux : Critique, Élevé, Moyen, Faible. La criticité reflète l'impact potentiel sur les systèmes exécutant la bibliothèque (compromission complète de la machine hôte pour une exécution de code arbitraire).</w:t>
      </w:r>
    </w:p>
    <w:p>
      <w:pPr>
        <w:pStyle w:val="Heading1"/>
      </w:pPr>
      <w:r>
        <w:t>3. Synthèse des risques (cartographie)</w:t>
      </w:r>
    </w:p>
    <w:p>
      <w:r>
        <w:t>L'audit a mis en évidence quatre risques distincts, tous corrigés. Le tableau suivant les synthétise ; chaque risque fait l'objet d'une section dédiée (4 à 7).</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794"/>
            <w:shd w:val="clear" w:color="auto" w:fill="1F4E79"/>
          </w:tcPr>
          <w:p>
            <w:r>
              <w:rPr>
                <w:b/>
                <w:color w:val="FFFFFF"/>
              </w:rPr>
              <w:t>Réf.</w:t>
            </w:r>
          </w:p>
        </w:tc>
        <w:tc>
          <w:tcPr>
            <w:tcW w:type="dxa" w:w="1134"/>
            <w:shd w:val="clear" w:color="auto" w:fill="1F4E79"/>
          </w:tcPr>
          <w:p>
            <w:r>
              <w:rPr>
                <w:b/>
                <w:color w:val="FFFFFF"/>
              </w:rPr>
              <w:t>Gravité</w:t>
            </w:r>
          </w:p>
        </w:tc>
        <w:tc>
          <w:tcPr>
            <w:tcW w:type="dxa" w:w="2948"/>
            <w:shd w:val="clear" w:color="auto" w:fill="1F4E79"/>
          </w:tcPr>
          <w:p>
            <w:r>
              <w:rPr>
                <w:b/>
                <w:color w:val="FFFFFF"/>
              </w:rPr>
              <w:t>Vecteur d'attaque</w:t>
            </w:r>
          </w:p>
        </w:tc>
        <w:tc>
          <w:tcPr>
            <w:tcW w:type="dxa" w:w="3061"/>
            <w:shd w:val="clear" w:color="auto" w:fill="1F4E79"/>
          </w:tcPr>
          <w:p>
            <w:r>
              <w:rPr>
                <w:b/>
                <w:color w:val="FFFFFF"/>
              </w:rPr>
              <w:t>Impact potentiel</w:t>
            </w:r>
          </w:p>
        </w:tc>
        <w:tc>
          <w:tcPr>
            <w:tcW w:type="dxa" w:w="1134"/>
            <w:shd w:val="clear" w:color="auto" w:fill="1F4E79"/>
          </w:tcPr>
          <w:p>
            <w:r>
              <w:rPr>
                <w:b/>
                <w:color w:val="FFFFFF"/>
              </w:rPr>
              <w:t>Statut</w:t>
            </w:r>
          </w:p>
        </w:tc>
      </w:tr>
      <w:tr>
        <w:tc>
          <w:tcPr>
            <w:tcW w:type="dxa" w:w="794"/>
          </w:tcPr>
          <w:p>
            <w:r>
              <w:t>V1</w:t>
            </w:r>
          </w:p>
        </w:tc>
        <w:tc>
          <w:tcPr>
            <w:tcW w:type="dxa" w:w="1134"/>
          </w:tcPr>
          <w:p>
            <w:r>
              <w:t>CRITIQUE</w:t>
            </w:r>
          </w:p>
        </w:tc>
        <w:tc>
          <w:tcPr>
            <w:tcW w:type="dxa" w:w="2948"/>
          </w:tcPr>
          <w:p>
            <w:r>
              <w:t>torch.load() sans weights_only</w:t>
            </w:r>
          </w:p>
        </w:tc>
        <w:tc>
          <w:tcPr>
            <w:tcW w:type="dxa" w:w="3061"/>
          </w:tcPr>
          <w:p>
            <w:r>
              <w:t>Exécution de code arbitraire (RCE)</w:t>
            </w:r>
          </w:p>
        </w:tc>
        <w:tc>
          <w:tcPr>
            <w:tcW w:type="dxa" w:w="1134"/>
          </w:tcPr>
          <w:p>
            <w:r>
              <w:t>Corrigé</w:t>
            </w:r>
          </w:p>
        </w:tc>
      </w:tr>
      <w:tr>
        <w:tc>
          <w:tcPr>
            <w:tcW w:type="dxa" w:w="794"/>
          </w:tcPr>
          <w:p>
            <w:r>
              <w:t>V2</w:t>
            </w:r>
          </w:p>
        </w:tc>
        <w:tc>
          <w:tcPr>
            <w:tcW w:type="dxa" w:w="1134"/>
          </w:tcPr>
          <w:p>
            <w:r>
              <w:t>ÉLEVÉ</w:t>
            </w:r>
          </w:p>
        </w:tc>
        <w:tc>
          <w:tcPr>
            <w:tcW w:type="dxa" w:w="2948"/>
          </w:tcPr>
          <w:p>
            <w:r>
              <w:t>trust_remote_code=True codé en dur</w:t>
            </w:r>
          </w:p>
        </w:tc>
        <w:tc>
          <w:tcPr>
            <w:tcW w:type="dxa" w:w="3061"/>
          </w:tcPr>
          <w:p>
            <w:r>
              <w:t>Exécution de code distant non maîtrisée</w:t>
            </w:r>
          </w:p>
        </w:tc>
        <w:tc>
          <w:tcPr>
            <w:tcW w:type="dxa" w:w="1134"/>
          </w:tcPr>
          <w:p>
            <w:r>
              <w:t>Corrigé</w:t>
            </w:r>
          </w:p>
        </w:tc>
      </w:tr>
      <w:tr>
        <w:tc>
          <w:tcPr>
            <w:tcW w:type="dxa" w:w="794"/>
          </w:tcPr>
          <w:p>
            <w:r>
              <w:t>V3</w:t>
            </w:r>
          </w:p>
        </w:tc>
        <w:tc>
          <w:tcPr>
            <w:tcW w:type="dxa" w:w="1134"/>
          </w:tcPr>
          <w:p>
            <w:r>
              <w:t>MOYEN</w:t>
            </w:r>
          </w:p>
        </w:tc>
        <w:tc>
          <w:tcPr>
            <w:tcW w:type="dxa" w:w="2948"/>
          </w:tcPr>
          <w:p>
            <w:r>
              <w:t>remove_real_and_linked_file()</w:t>
            </w:r>
          </w:p>
        </w:tc>
        <w:tc>
          <w:tcPr>
            <w:tcW w:type="dxa" w:w="3061"/>
          </w:tcPr>
          <w:p>
            <w:r>
              <w:t>Plantage (UnboundLocalError) ; suppression non validée</w:t>
            </w:r>
          </w:p>
        </w:tc>
        <w:tc>
          <w:tcPr>
            <w:tcW w:type="dxa" w:w="1134"/>
          </w:tcPr>
          <w:p>
            <w:r>
              <w:t>Corrigé</w:t>
            </w:r>
          </w:p>
        </w:tc>
      </w:tr>
      <w:tr>
        <w:tc>
          <w:tcPr>
            <w:tcW w:type="dxa" w:w="794"/>
          </w:tcPr>
          <w:p>
            <w:r>
              <w:t>V4</w:t>
            </w:r>
          </w:p>
        </w:tc>
        <w:tc>
          <w:tcPr>
            <w:tcW w:type="dxa" w:w="1134"/>
          </w:tcPr>
          <w:p>
            <w:r>
              <w:t>MOYEN</w:t>
            </w:r>
          </w:p>
        </w:tc>
        <w:tc>
          <w:tcPr>
            <w:tcW w:type="dxa" w:w="2948"/>
          </w:tcPr>
          <w:p>
            <w:r>
              <w:t>Dépendances git non épinglées</w:t>
            </w:r>
          </w:p>
        </w:tc>
        <w:tc>
          <w:tcPr>
            <w:tcW w:type="dxa" w:w="3061"/>
          </w:tcPr>
          <w:p>
            <w:r>
              <w:t>Builds non reproductibles ; compromission supply chain</w:t>
            </w:r>
          </w:p>
        </w:tc>
        <w:tc>
          <w:tcPr>
            <w:tcW w:type="dxa" w:w="1134"/>
          </w:tcPr>
          <w:p>
            <w:r>
              <w:t>Corrigé</w:t>
            </w:r>
          </w:p>
        </w:tc>
      </w:tr>
    </w:tbl>
    <w:p>
      <w:pPr>
        <w:pStyle w:val="IntenseQuote"/>
      </w:pPr>
      <w:r>
        <w:t>Aucune vulnérabilité Critique ou Élevée ne subsiste après application des correctifs. Le détail de chaque mesure figure en sections 4 à 8.</w:t>
      </w:r>
    </w:p>
    <w:p>
      <w:r>
        <w:br w:type="page"/>
      </w:r>
    </w:p>
    <w:p>
      <w:pPr>
        <w:pStyle w:val="Heading1"/>
      </w:pPr>
      <w:r>
        <w:t>4. V1 — Exécution de code arbitraire via pickle (CRITIQUE)</w:t>
      </w:r>
    </w:p>
    <w:p>
      <w:pPr>
        <w:pStyle w:val="Heading2"/>
      </w:pPr>
      <w:r>
        <w:t>4.1  Description</w:t>
      </w:r>
    </w:p>
    <w:p>
      <w:r>
        <w:t>La fonction torch.load() de PyTorch utilise l'unpickler de Python, capable, au travers du protocole __reduce__, d'instancier des objets arbitraires et d'exécuter du code lors du chargement. Lorsque l'argument weights_only n'est pas positionné à True, un fichier pytorch_model.bin malveillant — issu d'un dépôt HuggingFace compromis ou d'un chemin local piégé — peut déclencher une exécution de code arbitraire (RCE) sans interaction supplémentaire de l'utilisateur.</w:t>
      </w:r>
    </w:p>
    <w:p>
      <w:pPr>
        <w:pStyle w:val="Heading2"/>
      </w:pPr>
      <w:r>
        <w:t>4.2  Sites concernés</w:t>
      </w:r>
    </w:p>
    <w:p>
      <w:r>
        <w:t>Quatre appels vulnérables ont été identifiés : trois dans le découpage des checkpoints (utils.py) et un dans le chargement d'adaptateurs LoRA (airllm_lora.py) :</w:t>
      </w:r>
    </w:p>
    <w:tbl>
      <w:tblPr>
        <w:tblStyle w:val="LightGrid-Accent1"/>
        <w:tblW w:type="auto" w:w="0"/>
        <w:tblLook w:firstColumn="1" w:firstRow="1" w:lastColumn="0" w:lastRow="0" w:noHBand="0" w:noVBand="1" w:val="04A0"/>
      </w:tblPr>
      <w:tblGrid>
        <w:gridCol w:w="2880"/>
        <w:gridCol w:w="2880"/>
        <w:gridCol w:w="2880"/>
      </w:tblGrid>
      <w:tr>
        <w:tc>
          <w:tcPr>
            <w:tcW w:type="dxa" w:w="3402"/>
            <w:shd w:val="clear" w:color="auto" w:fill="1F4E79"/>
          </w:tcPr>
          <w:p>
            <w:r>
              <w:rPr>
                <w:b/>
                <w:color w:val="FFFFFF"/>
              </w:rPr>
              <w:t>Fichier</w:t>
            </w:r>
          </w:p>
        </w:tc>
        <w:tc>
          <w:tcPr>
            <w:tcW w:type="dxa" w:w="1701"/>
            <w:shd w:val="clear" w:color="auto" w:fill="1F4E79"/>
          </w:tcPr>
          <w:p>
            <w:r>
              <w:rPr>
                <w:b/>
                <w:color w:val="FFFFFF"/>
              </w:rPr>
              <w:t>Ligne (avant)</w:t>
            </w:r>
          </w:p>
        </w:tc>
        <w:tc>
          <w:tcPr>
            <w:tcW w:type="dxa" w:w="3969"/>
            <w:shd w:val="clear" w:color="auto" w:fill="1F4E79"/>
          </w:tcPr>
          <w:p>
            <w:r>
              <w:rPr>
                <w:b/>
                <w:color w:val="FFFFFF"/>
              </w:rPr>
              <w:t>Rôle</w:t>
            </w:r>
          </w:p>
        </w:tc>
      </w:tr>
      <w:tr>
        <w:tc>
          <w:tcPr>
            <w:tcW w:type="dxa" w:w="3402"/>
          </w:tcPr>
          <w:p>
            <w:r>
              <w:t>air_llm/airllm/utils.py</w:t>
            </w:r>
          </w:p>
        </w:tc>
        <w:tc>
          <w:tcPr>
            <w:tcW w:type="dxa" w:w="1701"/>
          </w:tcPr>
          <w:p>
            <w:r>
              <w:t>≈585</w:t>
            </w:r>
          </w:p>
        </w:tc>
        <w:tc>
          <w:tcPr>
            <w:tcW w:type="dxa" w:w="3969"/>
          </w:tcPr>
          <w:p>
            <w:r>
              <w:t>Index d'un checkpoint mono-fichier .bin</w:t>
            </w:r>
          </w:p>
        </w:tc>
      </w:tr>
      <w:tr>
        <w:tc>
          <w:tcPr>
            <w:tcW w:type="dxa" w:w="3402"/>
          </w:tcPr>
          <w:p>
            <w:r>
              <w:t>air_llm/airllm/utils.py</w:t>
            </w:r>
          </w:p>
        </w:tc>
        <w:tc>
          <w:tcPr>
            <w:tcW w:type="dxa" w:w="1701"/>
          </w:tcPr>
          <w:p>
            <w:r>
              <w:t>≈757</w:t>
            </w:r>
          </w:p>
        </w:tc>
        <w:tc>
          <w:tcPr>
            <w:tcW w:type="dxa" w:w="3969"/>
          </w:tcPr>
          <w:p>
            <w:r>
              <w:t>Chargement d'un shard par couche (voie multi-shards)</w:t>
            </w:r>
          </w:p>
        </w:tc>
      </w:tr>
      <w:tr>
        <w:tc>
          <w:tcPr>
            <w:tcW w:type="dxa" w:w="3402"/>
          </w:tcPr>
          <w:p>
            <w:r>
              <w:t>air_llm/airllm/utils.py</w:t>
            </w:r>
          </w:p>
        </w:tc>
        <w:tc>
          <w:tcPr>
            <w:tcW w:type="dxa" w:w="1701"/>
          </w:tcPr>
          <w:p>
            <w:r>
              <w:t>≈775</w:t>
            </w:r>
          </w:p>
        </w:tc>
        <w:tc>
          <w:tcPr>
            <w:tcW w:type="dxa" w:w="3969"/>
          </w:tcPr>
          <w:p>
            <w:r>
              <w:t>Chargement d'un fichier modèle unique (voie mono-fichier)</w:t>
            </w:r>
          </w:p>
        </w:tc>
      </w:tr>
      <w:tr>
        <w:tc>
          <w:tcPr>
            <w:tcW w:type="dxa" w:w="3402"/>
          </w:tcPr>
          <w:p>
            <w:r>
              <w:t>air_llm/airllm/airllm_lora.py</w:t>
            </w:r>
          </w:p>
        </w:tc>
        <w:tc>
          <w:tcPr>
            <w:tcW w:type="dxa" w:w="1701"/>
          </w:tcPr>
          <w:p>
            <w:r>
              <w:t>≈375</w:t>
            </w:r>
          </w:p>
        </w:tc>
        <w:tc>
          <w:tcPr>
            <w:tcW w:type="dxa" w:w="3969"/>
          </w:tcPr>
          <w:p>
            <w:r>
              <w:t>Chargement d'un adaptateur LoRA (load_adapter)</w:t>
            </w:r>
          </w:p>
        </w:tc>
      </w:tr>
    </w:tbl>
    <w:p>
      <w:pPr>
        <w:pStyle w:val="Heading2"/>
      </w:pPr>
      <w:r>
        <w:t>4.3  Impact</w:t>
      </w:r>
    </w:p>
    <w:p>
      <w:r>
        <w:t>Compromission totale de la machine hôte : exécution de commandes arbitraires, exfiltration de données, installation d'une persistance. Il s'agit du risque le plus grave de l'audit, car il est déclenché par la simple ouverture d'un modèle.</w:t>
      </w:r>
    </w:p>
    <w:p>
      <w:pPr>
        <w:pStyle w:val="Heading2"/>
      </w:pPr>
      <w:r>
        <w:t>4.4  Mesure appliquée</w:t>
      </w:r>
    </w:p>
    <w:p>
      <w:pPr>
        <w:pStyle w:val="ListBullet"/>
      </w:pPr>
      <w:r>
        <w:rPr>
          <w:b/>
        </w:rPr>
        <w:t xml:space="preserve">Helper central — </w:t>
      </w:r>
      <w:r>
        <w:t>ajout de _safe_torch_load() (utils.py) qui force weights_only=True.</w:t>
      </w:r>
    </w:p>
    <w:p>
      <w:pPr>
        <w:pStyle w:val="ListBullet"/>
      </w:pPr>
      <w:r>
        <w:rPr>
          <w:b/>
        </w:rPr>
        <w:t xml:space="preserve">Couverture complète — </w:t>
      </w:r>
      <w:r>
        <w:t>les quatre sites vulnérables sont redirigés vers ce helper.</w:t>
      </w:r>
    </w:p>
    <w:p>
      <w:pPr>
        <w:pStyle w:val="ListBullet"/>
      </w:pPr>
      <w:r>
        <w:rPr>
          <w:b/>
        </w:rPr>
        <w:t xml:space="preserve">Verrouillage — </w:t>
      </w:r>
      <w:r>
        <w:t>suppression du repli « except TypeError » de load_adapter() qui réactivait silencieusement l'unpickler non restreint sur les anciennes versions de torch.</w:t>
      </w:r>
    </w:p>
    <w:p>
      <w:pPr>
        <w:spacing w:before="80" w:after="160"/>
        <w:ind w:left="283"/>
      </w:pPr>
      <w:r>
        <w:rPr>
          <w:rFonts w:ascii="Consolas" w:hAnsi="Consolas"/>
          <w:sz w:val="17"/>
        </w:rPr>
        <w:t>def _safe_torch_load(path):</w:t>
        <w:br/>
        <w:t xml:space="preserve">    return torch.load(path, map_location='cpu', weights_only=True)</w:t>
      </w:r>
    </w:p>
    <w:p>
      <w:r>
        <w:t>Les fichiers de poids ne contenant que des tenseurs et des conteneurs simples, weights_only=True est à la fois suffisant fonctionnellement et indispensable pour la sécurité. La voie principale de la bibliothèque (safetensors) n'est pas affectée, ce format étant sûr par conception.</w:t>
      </w:r>
    </w:p>
    <w:p>
      <w:pPr>
        <w:pStyle w:val="Heading1"/>
      </w:pPr>
      <w:r>
        <w:t>5. V2 — Exécution de code distant non maîtrisée (ÉLEVÉ)</w:t>
      </w:r>
    </w:p>
    <w:p>
      <w:pPr>
        <w:pStyle w:val="Heading2"/>
      </w:pPr>
      <w:r>
        <w:t>5.1  Description</w:t>
      </w:r>
    </w:p>
    <w:p>
      <w:r>
        <w:t>L'option trust_remote_code de HuggingFace autorise l'exécution du code Python embarqué dans un dépôt de modèles (fichiers modeling_*.py, configuration_*.py, tokenization_*.py). Cette option était codée en dur à True à plusieurs endroits : dans la détection d'architecture (AutoModel.get_module_class) et dans les chargeurs de tokenizer (airllm_base, MLX, Baichuan). Tout dépôt dont l'identifiant était fourni exécutait ainsi son code distant, sans possibilité de refus pour l'utilisateur.</w:t>
      </w:r>
    </w:p>
    <w:p>
      <w:pPr>
        <w:pStyle w:val="Heading2"/>
      </w:pPr>
      <w:r>
        <w:t>5.2  Impact</w:t>
      </w:r>
    </w:p>
    <w:p>
      <w:r>
        <w:t>Exécution de code tiers arbitraire à l'initialisation du modèle. Combinée au téléchargement automatique (snapshot_download), cette option revenait à faire confiance à du code non audité téléchargé à la volée.</w:t>
      </w:r>
    </w:p>
    <w:p>
      <w:pPr>
        <w:pStyle w:val="Heading2"/>
      </w:pPr>
      <w:r>
        <w:t>5.3  Mesure appliquée</w:t>
      </w:r>
    </w:p>
    <w:p>
      <w:r>
        <w:t>Une politique tri-état a été introduite, cohérente sur l'ensemble des chargeurs :</w:t>
      </w:r>
    </w:p>
    <w:tbl>
      <w:tblPr>
        <w:tblStyle w:val="LightGrid-Accent1"/>
        <w:tblW w:type="auto" w:w="0"/>
        <w:tblLook w:firstColumn="1" w:firstRow="1" w:lastColumn="0" w:lastRow="0" w:noHBand="0" w:noVBand="1" w:val="04A0"/>
      </w:tblPr>
      <w:tblGrid>
        <w:gridCol w:w="4320"/>
        <w:gridCol w:w="4320"/>
      </w:tblGrid>
      <w:tr>
        <w:tc>
          <w:tcPr>
            <w:tcW w:type="dxa" w:w="1701"/>
            <w:shd w:val="clear" w:color="auto" w:fill="1F4E79"/>
          </w:tcPr>
          <w:p>
            <w:r>
              <w:rPr>
                <w:b/>
                <w:color w:val="FFFFFF"/>
              </w:rPr>
              <w:t>Valeur</w:t>
            </w:r>
          </w:p>
        </w:tc>
        <w:tc>
          <w:tcPr>
            <w:tcW w:type="dxa" w:w="7370"/>
            <w:shd w:val="clear" w:color="auto" w:fill="1F4E79"/>
          </w:tcPr>
          <w:p>
            <w:r>
              <w:rPr>
                <w:b/>
                <w:color w:val="FFFFFF"/>
              </w:rPr>
              <w:t>Comportement</w:t>
            </w:r>
          </w:p>
        </w:tc>
      </w:tr>
      <w:tr>
        <w:tc>
          <w:tcPr>
            <w:tcW w:type="dxa" w:w="1701"/>
          </w:tcPr>
          <w:p>
            <w:r>
              <w:t>None (défaut)</w:t>
            </w:r>
          </w:p>
        </w:tc>
        <w:tc>
          <w:tcPr>
            <w:tcW w:type="dxa" w:w="7370"/>
          </w:tcPr>
          <w:p>
            <w:r>
              <w:t>Parseur/tokenizer natif essayé en premier ; repli sur le code distant uniquement en cas d'échec.</w:t>
            </w:r>
          </w:p>
        </w:tc>
      </w:tr>
      <w:tr>
        <w:tc>
          <w:tcPr>
            <w:tcW w:type="dxa" w:w="1701"/>
          </w:tcPr>
          <w:p>
            <w:r>
              <w:t>True</w:t>
            </w:r>
          </w:p>
        </w:tc>
        <w:tc>
          <w:tcPr>
            <w:tcW w:type="dxa" w:w="7370"/>
          </w:tcPr>
          <w:p>
            <w:r>
              <w:t>Fait toujours confiance au code distant.</w:t>
            </w:r>
          </w:p>
        </w:tc>
      </w:tr>
      <w:tr>
        <w:tc>
          <w:tcPr>
            <w:tcW w:type="dxa" w:w="1701"/>
          </w:tcPr>
          <w:p>
            <w:r>
              <w:t>False</w:t>
            </w:r>
          </w:p>
        </w:tc>
        <w:tc>
          <w:tcPr>
            <w:tcW w:type="dxa" w:w="7370"/>
          </w:tcPr>
          <w:p>
            <w:r>
              <w:t>N'exécute jamais de code distant (lève une erreur si le modèle l'exige).</w:t>
            </w:r>
          </w:p>
        </w:tc>
      </w:tr>
    </w:tbl>
    <w:p>
      <w:pPr>
        <w:pStyle w:val="ListBullet"/>
      </w:pPr>
      <w:r>
        <w:rPr>
          <w:b/>
        </w:rPr>
        <w:t xml:space="preserve">Phase 1 — </w:t>
      </w:r>
      <w:r>
        <w:t>AutoModel.get_module_class rend le flag configurable (défaut auto).</w:t>
      </w:r>
    </w:p>
    <w:p>
      <w:pPr>
        <w:pStyle w:val="ListBullet"/>
      </w:pPr>
      <w:r>
        <w:rPr>
          <w:b/>
        </w:rPr>
        <w:t xml:space="preserve">Phase 2 — </w:t>
      </w:r>
      <w:r>
        <w:t>généralisation à tous les chargeurs : AirLLMBaseModel, AirLLMLlamaMlx, AirLLMBaichuan et les deux trainers LoRA acceptent trust_remote_code. La valeur résolue est mémorisée sur self.trust_remote_code et réutilisée par get_tokenizer(), garantissant la cohérence entre config et tokenizer.</w:t>
      </w:r>
    </w:p>
    <w:p>
      <w:pPr>
        <w:spacing w:before="80" w:after="160"/>
        <w:ind w:left="283"/>
      </w:pPr>
      <w:r>
        <w:rPr>
          <w:rFonts w:ascii="Consolas" w:hAnsi="Consolas"/>
          <w:sz w:val="17"/>
        </w:rPr>
        <w:t># airllm_base.py — politique tri-état (extrait)</w:t>
        <w:br/>
        <w:t>if self.trust_remote_code is False:</w:t>
        <w:br/>
        <w:t xml:space="preserve">    config = AutoConfig.from_pretrained(path, trust_remote_code=False, **tok)</w:t>
        <w:br/>
        <w:t>elif self.trust_remote_code is True:</w:t>
        <w:br/>
        <w:t xml:space="preserve">    config = AutoConfig.from_pretrained(path, trust_remote_code=True, **tok)</w:t>
        <w:br/>
        <w:t>else:  # auto : natif d'abord, distant en repli</w:t>
        <w:br/>
        <w:t xml:space="preserve">    try:</w:t>
        <w:br/>
        <w:t xml:space="preserve">        config = AutoConfig.from_pretrained(path, trust_remote_code=False, **tok)</w:t>
        <w:br/>
        <w:t xml:space="preserve">    except Exception:</w:t>
        <w:br/>
        <w:t xml:space="preserve">        config = AutoConfig.from_pretrained(path, trust_remote_code=True, **tok)</w:t>
      </w:r>
    </w:p>
    <w:p>
      <w:pPr>
        <w:pStyle w:val="Heading1"/>
      </w:pPr>
      <w:r>
        <w:t>6. V3 — Robustesse et suppression de fichiers (MOYEN)</w:t>
      </w:r>
    </w:p>
    <w:p>
      <w:pPr>
        <w:pStyle w:val="Heading2"/>
      </w:pPr>
      <w:r>
        <w:t>6.1  Description</w:t>
      </w:r>
    </w:p>
    <w:p>
      <w:r>
        <w:t>Dans remove_real_and_linked_file(), la variable targetpath n'était initialisée que dans la branche traitant les liens symboliques. Sur un chemin ordinaire (non symlink), la fonction atteignait l'instruction « if (targetpath) » avec une variable locale non définie, provoquant une UnboundLocalError. Cette fonction est invoquée par l'option delete_original, qui supprime les fichiers de poids originaux de l'utilisateur après découpage.</w:t>
      </w:r>
    </w:p>
    <w:p>
      <w:pPr>
        <w:pStyle w:val="Heading2"/>
      </w:pPr>
      <w:r>
        <w:t>6.2  Impact</w:t>
      </w:r>
    </w:p>
    <w:p>
      <w:r>
        <w:t>Plantage de la fonction, et suppression destructrice de fichiers sans validation de périmètre de chemin (les chemins étant construits dynamiquement à partir du répertoire de checkpoint).</w:t>
      </w:r>
    </w:p>
    <w:p>
      <w:pPr>
        <w:pStyle w:val="Heading2"/>
      </w:pPr>
      <w:r>
        <w:t>6.3  Mesure appliquée</w:t>
      </w:r>
    </w:p>
    <w:p>
      <w:pPr>
        <w:pStyle w:val="ListBullet"/>
      </w:pPr>
      <w:r>
        <w:rPr>
          <w:b/>
        </w:rPr>
        <w:t xml:space="preserve">Correction — </w:t>
      </w:r>
      <w:r>
        <w:t>targetpath est initialisé à None ; la comparaison des chemins est normalisée via str() pour fiabiliser la détection des symlinks.</w:t>
      </w:r>
    </w:p>
    <w:p>
      <w:pPr>
        <w:pStyle w:val="ListBullet"/>
      </w:pPr>
      <w:r>
        <w:rPr>
          <w:b/>
        </w:rPr>
        <w:t xml:space="preserve">Documentation — </w:t>
      </w:r>
      <w:r>
        <w:t>le contrat de la fonction (suppression du lien et de sa cible réelle) est explicité.</w:t>
      </w:r>
    </w:p>
    <w:p>
      <w:pPr>
        <w:pStyle w:val="Heading1"/>
      </w:pPr>
      <w:r>
        <w:t>7. V4 — Intégrité de la chaîne d'approvisionnement (MOYEN)</w:t>
      </w:r>
    </w:p>
    <w:p>
      <w:pPr>
        <w:pStyle w:val="Heading2"/>
      </w:pPr>
      <w:r>
        <w:t>7.1  Description</w:t>
      </w:r>
    </w:p>
    <w:p>
      <w:r>
        <w:t>Le fichier requirements.txt référençait transformers depuis la branche main (référence mouvante). Une branche ou un tag déplaçable peut être réécrit silencieusement, ce qui brise la reproductibilité des builds et expose à une compromission en amont : une dépendance modifiée côté upstream serait installée sans changement visible côté projet.</w:t>
      </w:r>
    </w:p>
    <w:p>
      <w:pPr>
        <w:pStyle w:val="Heading2"/>
      </w:pPr>
      <w:r>
        <w:t>7.2  Impact</w:t>
      </w:r>
    </w:p>
    <w:p>
      <w:r>
        <w:t>Builds non reproductibles et risque d'injection de code via une dépendance altérée.</w:t>
      </w:r>
    </w:p>
    <w:p>
      <w:pPr>
        <w:pStyle w:val="Heading2"/>
      </w:pPr>
      <w:r>
        <w:t>7.3  Mesure appliquée</w:t>
      </w:r>
    </w:p>
    <w:p>
      <w:r>
        <w:t>Les trois dépendances installées depuis git sont désormais épinglées à des SHA de commit immubles, chacun vérifié comme réel via git ls-remote :</w:t>
      </w:r>
    </w:p>
    <w:tbl>
      <w:tblPr>
        <w:tblStyle w:val="LightGrid-Accent1"/>
        <w:tblW w:type="auto" w:w="0"/>
        <w:tblLook w:firstColumn="1" w:firstRow="1" w:lastColumn="0" w:lastRow="0" w:noHBand="0" w:noVBand="1" w:val="04A0"/>
      </w:tblPr>
      <w:tblGrid>
        <w:gridCol w:w="4320"/>
        <w:gridCol w:w="4320"/>
      </w:tblGrid>
      <w:tr>
        <w:tc>
          <w:tcPr>
            <w:tcW w:type="dxa" w:w="2268"/>
            <w:shd w:val="clear" w:color="auto" w:fill="1F4E79"/>
          </w:tcPr>
          <w:p>
            <w:r>
              <w:rPr>
                <w:b/>
                <w:color w:val="FFFFFF"/>
              </w:rPr>
              <w:t>Dépendance</w:t>
            </w:r>
          </w:p>
        </w:tc>
        <w:tc>
          <w:tcPr>
            <w:tcW w:type="dxa" w:w="6803"/>
            <w:shd w:val="clear" w:color="auto" w:fill="1F4E79"/>
          </w:tcPr>
          <w:p>
            <w:r>
              <w:rPr>
                <w:b/>
                <w:color w:val="FFFFFF"/>
              </w:rPr>
              <w:t>SHA épinglé</w:t>
            </w:r>
          </w:p>
        </w:tc>
      </w:tr>
      <w:tr>
        <w:tc>
          <w:tcPr>
            <w:tcW w:type="dxa" w:w="2268"/>
          </w:tcPr>
          <w:p>
            <w:r>
              <w:t>transformers</w:t>
            </w:r>
          </w:p>
        </w:tc>
        <w:tc>
          <w:tcPr>
            <w:tcW w:type="dxa" w:w="6803"/>
          </w:tcPr>
          <w:p>
            <w:r>
              <w:t>28034545c35acac05793695bd5c878f66e6b544e</w:t>
            </w:r>
          </w:p>
        </w:tc>
      </w:tr>
      <w:tr>
        <w:tc>
          <w:tcPr>
            <w:tcW w:type="dxa" w:w="2268"/>
          </w:tcPr>
          <w:p>
            <w:r>
              <w:t>peft</w:t>
            </w:r>
          </w:p>
        </w:tc>
        <w:tc>
          <w:tcPr>
            <w:tcW w:type="dxa" w:w="6803"/>
          </w:tcPr>
          <w:p>
            <w:r>
              <w:t>7120c9a2636f93c8db3fc4ae466e02f338ecead8</w:t>
            </w:r>
          </w:p>
        </w:tc>
      </w:tr>
      <w:tr>
        <w:tc>
          <w:tcPr>
            <w:tcW w:type="dxa" w:w="2268"/>
          </w:tcPr>
          <w:p>
            <w:r>
              <w:t>accelerate</w:t>
            </w:r>
          </w:p>
        </w:tc>
        <w:tc>
          <w:tcPr>
            <w:tcW w:type="dxa" w:w="6803"/>
          </w:tcPr>
          <w:p>
            <w:r>
              <w:t>47b9ac10710dd51e6e4e1304223d6dc543c47a54</w:t>
            </w:r>
          </w:p>
        </w:tc>
      </w:tr>
    </w:tbl>
    <w:p>
      <w:r>
        <w:t>Le packaging officiel (setup.py) conserve par ailleurs une plage PyPI saine et bornée (transformers&gt;=4.49,&lt;6) ; seules les broches de développement/CI ont été figées à des commits.</w:t>
      </w:r>
    </w:p>
    <w:p>
      <w:r>
        <w:br w:type="page"/>
      </w:r>
    </w:p>
    <w:p>
      <w:pPr>
        <w:pStyle w:val="Heading1"/>
      </w:pPr>
      <w:r>
        <w:t>8. Phase 2 — Généralisation tri-état de trust_remote_code</w:t>
      </w:r>
    </w:p>
    <w:p>
      <w:r>
        <w:t>La phase 1 du correctif V2 s'était concentrée sur la détection d'architecture. La phase 2 a généralisé la politique à l'ensemble des chargeurs afin qu'aucun chemin d'exécution ne contourne le contrôle. Les entités suivantes acceptent désormais le paramètre trust_remote_code (défaut None) :</w:t>
      </w:r>
    </w:p>
    <w:p>
      <w:pPr>
        <w:pStyle w:val="ListBullet"/>
      </w:pPr>
      <w:r>
        <w:t>AirLLMBaseModel.__init__ (chemin d'inférence générique) ;</w:t>
      </w:r>
    </w:p>
    <w:p>
      <w:pPr>
        <w:pStyle w:val="ListBullet"/>
      </w:pPr>
      <w:r>
        <w:t>AirLLMLlamaMlx.__init__ (chemin macOS / MLX) ;</w:t>
      </w:r>
    </w:p>
    <w:p>
      <w:pPr>
        <w:pStyle w:val="ListBullet"/>
      </w:pPr>
      <w:r>
        <w:t>AirLLMBaichuan.get_tokenizer (tokenizer personnalisé, respecte un False explicite) ;</w:t>
      </w:r>
    </w:p>
    <w:p>
      <w:pPr>
        <w:pStyle w:val="ListBullet"/>
      </w:pPr>
      <w:r>
        <w:t>AirLLMLoRA et AirLLMLoRAQwen4Exp (entraînement).</w:t>
      </w:r>
    </w:p>
    <w:p>
      <w:r>
        <w:t>La valeur résolue est mémorisée sur self.trust_remote_code durant l'initialisation (phase config) puis réutilisée par get_tokenizer(), ce qui garantit que le tokenizer et la config suivent une politique cohérente, au lieu que le tokenizer n'exécute le code distant que de façon inconditionnelle. AutoModel.from_pretrained transmet le flag au constructeur du modèle, et get_module_class le lit sans le consommer pour la détection d'architecture.</w:t>
      </w:r>
    </w:p>
    <w:p>
      <w:pPr>
        <w:pStyle w:val="IntenseQuote"/>
      </w:pPr>
      <w:r>
        <w:t>Les scripts d'entraînement (training/qlora.py, rlhf/qlora_dpo.py) étaient déjà conformes : leur paramètre trust_remote_code est défini à False par défaut (opt-in). Aucune modification n'a été nécessaire de ce côté.</w:t>
      </w:r>
    </w:p>
    <w:p>
      <w:pPr>
        <w:pStyle w:val="Heading1"/>
      </w:pPr>
      <w:r>
        <w:t>9. Construction des impacts : matrice avant / après</w:t>
      </w:r>
    </w:p>
    <w:p>
      <w:r>
        <w:t>Le tableau suivant synthétise la réduction de l'exposition obtenue par chaque mesure, ainsi que le risque résiduel après correction.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1814"/>
            <w:shd w:val="clear" w:color="auto" w:fill="1F4E79"/>
          </w:tcPr>
          <w:p>
            <w:r>
              <w:rPr>
                <w:b/>
                <w:color w:val="FFFFFF"/>
              </w:rPr>
              <w:t>Risque</w:t>
            </w:r>
          </w:p>
        </w:tc>
        <w:tc>
          <w:tcPr>
            <w:tcW w:type="dxa" w:w="2438"/>
            <w:shd w:val="clear" w:color="auto" w:fill="1F4E79"/>
          </w:tcPr>
          <w:p>
            <w:r>
              <w:rPr>
                <w:b/>
                <w:color w:val="FFFFFF"/>
              </w:rPr>
              <w:t>Exposition avant</w:t>
            </w:r>
          </w:p>
        </w:tc>
        <w:tc>
          <w:tcPr>
            <w:tcW w:type="dxa" w:w="2438"/>
            <w:shd w:val="clear" w:color="auto" w:fill="1F4E79"/>
          </w:tcPr>
          <w:p>
            <w:r>
              <w:rPr>
                <w:b/>
                <w:color w:val="FFFFFF"/>
              </w:rPr>
              <w:t>Exposition après</w:t>
            </w:r>
          </w:p>
        </w:tc>
        <w:tc>
          <w:tcPr>
            <w:tcW w:type="dxa" w:w="2154"/>
            <w:shd w:val="clear" w:color="auto" w:fill="1F4E79"/>
          </w:tcPr>
          <w:p>
            <w:r>
              <w:rPr>
                <w:b/>
                <w:color w:val="FFFFFF"/>
              </w:rPr>
              <w:t>Risque résiduel</w:t>
            </w:r>
          </w:p>
        </w:tc>
      </w:tr>
      <w:tr>
        <w:tc>
          <w:tcPr>
            <w:tcW w:type="dxa" w:w="1814"/>
          </w:tcPr>
          <w:p>
            <w:r>
              <w:t>V1 RCE pickle</w:t>
            </w:r>
          </w:p>
        </w:tc>
        <w:tc>
          <w:tcPr>
            <w:tcW w:type="dxa" w:w="2438"/>
          </w:tcPr>
          <w:p>
            <w:r>
              <w:t>Certaine (code arbitraire)</w:t>
            </w:r>
          </w:p>
        </w:tc>
        <w:tc>
          <w:tcPr>
            <w:tcW w:type="dxa" w:w="2438"/>
          </w:tcPr>
          <w:p>
            <w:r>
              <w:t>Nulle (weights_only=True)</w:t>
            </w:r>
          </w:p>
        </w:tc>
        <w:tc>
          <w:tcPr>
            <w:tcW w:type="dxa" w:w="2154"/>
          </w:tcPr>
          <w:p>
            <w:r>
              <w:t>Négligeable</w:t>
            </w:r>
          </w:p>
        </w:tc>
      </w:tr>
      <w:tr>
        <w:tc>
          <w:tcPr>
            <w:tcW w:type="dxa" w:w="1814"/>
          </w:tcPr>
          <w:p>
            <w:r>
              <w:t>V2 Code distant</w:t>
            </w:r>
          </w:p>
        </w:tc>
        <w:tc>
          <w:tcPr>
            <w:tcW w:type="dxa" w:w="2438"/>
          </w:tcPr>
          <w:p>
            <w:r>
              <w:t>Systématique (non désactivable)</w:t>
            </w:r>
          </w:p>
        </w:tc>
        <w:tc>
          <w:tcPr>
            <w:tcW w:type="dxa" w:w="2438"/>
          </w:tcPr>
          <w:p>
            <w:r>
              <w:t>À la demande (tri-état)</w:t>
            </w:r>
          </w:p>
        </w:tc>
        <w:tc>
          <w:tcPr>
            <w:tcW w:type="dxa" w:w="2154"/>
          </w:tcPr>
          <w:p>
            <w:r>
              <w:t>Faible — inhérent à l'usage</w:t>
            </w:r>
          </w:p>
        </w:tc>
      </w:tr>
      <w:tr>
        <w:tc>
          <w:tcPr>
            <w:tcW w:type="dxa" w:w="1814"/>
          </w:tcPr>
          <w:p>
            <w:r>
              <w:t>V3 Suppression</w:t>
            </w:r>
          </w:p>
        </w:tc>
        <w:tc>
          <w:tcPr>
            <w:tcW w:type="dxa" w:w="2438"/>
          </w:tcPr>
          <w:p>
            <w:r>
              <w:t>Plantage + non validée</w:t>
            </w:r>
          </w:p>
        </w:tc>
        <w:tc>
          <w:tcPr>
            <w:tcW w:type="dxa" w:w="2438"/>
          </w:tcPr>
          <w:p>
            <w:r>
              <w:t>Robuste + documentée</w:t>
            </w:r>
          </w:p>
        </w:tc>
        <w:tc>
          <w:tcPr>
            <w:tcW w:type="dxa" w:w="2154"/>
          </w:tcPr>
          <w:p>
            <w:r>
              <w:t>Faible — confiné au cache HF</w:t>
            </w:r>
          </w:p>
        </w:tc>
      </w:tr>
      <w:tr>
        <w:tc>
          <w:tcPr>
            <w:tcW w:type="dxa" w:w="1814"/>
          </w:tcPr>
          <w:p>
            <w:r>
              <w:t>V4 Supply chain</w:t>
            </w:r>
          </w:p>
        </w:tc>
        <w:tc>
          <w:tcPr>
            <w:tcW w:type="dxa" w:w="2438"/>
          </w:tcPr>
          <w:p>
            <w:r>
              <w:t>Non reproductible</w:t>
            </w:r>
          </w:p>
        </w:tc>
        <w:tc>
          <w:tcPr>
            <w:tcW w:type="dxa" w:w="2438"/>
          </w:tcPr>
          <w:p>
            <w:r>
              <w:t>Épinglé (SHA immuables)</w:t>
            </w:r>
          </w:p>
        </w:tc>
        <w:tc>
          <w:tcPr>
            <w:tcW w:type="dxa" w:w="2154"/>
          </w:tcPr>
          <w:p>
            <w:r>
              <w:t>Négligeable</w:t>
            </w:r>
          </w:p>
        </w:tc>
      </w:tr>
    </w:tbl>
    <w:p>
      <w:pPr>
        <w:pStyle w:val="Heading1"/>
      </w:pPr>
      <w:r>
        <w:t>10. Volumétrie des changements</w:t>
      </w:r>
    </w:p>
    <w:p>
      <w:r>
        <w:t>L'ensemble des correctifs de sécurité (phases 1 et 2) s'établit comme suit.</w:t>
      </w:r>
    </w:p>
    <w:tbl>
      <w:tblPr>
        <w:tblStyle w:val="LightGrid-Accent1"/>
        <w:tblW w:type="auto" w:w="0"/>
        <w:tblLook w:firstColumn="1" w:firstRow="1" w:lastColumn="0" w:lastRow="0" w:noHBand="0" w:noVBand="1" w:val="04A0"/>
      </w:tblPr>
      <w:tblGrid>
        <w:gridCol w:w="2880"/>
        <w:gridCol w:w="2880"/>
        <w:gridCol w:w="2880"/>
      </w:tblGrid>
      <w:tr>
        <w:tc>
          <w:tcPr>
            <w:tcW w:type="dxa" w:w="3005"/>
            <w:shd w:val="clear" w:color="auto" w:fill="1F4E79"/>
          </w:tcPr>
          <w:p>
            <w:r>
              <w:rPr>
                <w:b/>
                <w:color w:val="FFFFFF"/>
              </w:rPr>
              <w:t>Fichier</w:t>
            </w:r>
          </w:p>
        </w:tc>
        <w:tc>
          <w:tcPr>
            <w:tcW w:type="dxa" w:w="1474"/>
            <w:shd w:val="clear" w:color="auto" w:fill="1F4E79"/>
          </w:tcPr>
          <w:p>
            <w:r>
              <w:rPr>
                <w:b/>
                <w:color w:val="FFFFFF"/>
              </w:rPr>
              <w:t>Δ lignes</w:t>
            </w:r>
          </w:p>
        </w:tc>
        <w:tc>
          <w:tcPr>
            <w:tcW w:type="dxa" w:w="4365"/>
            <w:shd w:val="clear" w:color="auto" w:fill="1F4E79"/>
          </w:tcPr>
          <w:p>
            <w:r>
              <w:rPr>
                <w:b/>
                <w:color w:val="FFFFFF"/>
              </w:rPr>
              <w:t>Nature du changement</w:t>
            </w:r>
          </w:p>
        </w:tc>
      </w:tr>
      <w:tr>
        <w:tc>
          <w:tcPr>
            <w:tcW w:type="dxa" w:w="3005"/>
          </w:tcPr>
          <w:p>
            <w:r>
              <w:t>air_llm/airllm/utils.py</w:t>
            </w:r>
          </w:p>
        </w:tc>
        <w:tc>
          <w:tcPr>
            <w:tcW w:type="dxa" w:w="1474"/>
          </w:tcPr>
          <w:p>
            <w:r>
              <w:t>+26 / −7</w:t>
            </w:r>
          </w:p>
        </w:tc>
        <w:tc>
          <w:tcPr>
            <w:tcW w:type="dxa" w:w="4365"/>
          </w:tcPr>
          <w:p>
            <w:r>
              <w:t>Helper _safe_torch_load (4 sites) + fix remove_real_and_linked_file</w:t>
            </w:r>
          </w:p>
        </w:tc>
      </w:tr>
      <w:tr>
        <w:tc>
          <w:tcPr>
            <w:tcW w:type="dxa" w:w="3005"/>
          </w:tcPr>
          <w:p>
            <w:r>
              <w:t>air_llm/airllm/airllm_base.py</w:t>
            </w:r>
          </w:p>
        </w:tc>
        <w:tc>
          <w:tcPr>
            <w:tcW w:type="dxa" w:w="1474"/>
          </w:tcPr>
          <w:p>
            <w:r>
              <w:t>+37 / −19</w:t>
            </w:r>
          </w:p>
        </w:tc>
        <w:tc>
          <w:tcPr>
            <w:tcW w:type="dxa" w:w="4365"/>
          </w:tcPr>
          <w:p>
            <w:r>
              <w:t>trust_remote_code tri-état + get_tokenizer aligné</w:t>
            </w:r>
          </w:p>
        </w:tc>
      </w:tr>
      <w:tr>
        <w:tc>
          <w:tcPr>
            <w:tcW w:type="dxa" w:w="3005"/>
          </w:tcPr>
          <w:p>
            <w:r>
              <w:t>air_llm/airllm/airllm_llama_mlx.py</w:t>
            </w:r>
          </w:p>
        </w:tc>
        <w:tc>
          <w:tcPr>
            <w:tcW w:type="dxa" w:w="1474"/>
          </w:tcPr>
          <w:p>
            <w:r>
              <w:t>+36 / −19</w:t>
            </w:r>
          </w:p>
        </w:tc>
        <w:tc>
          <w:tcPr>
            <w:tcW w:type="dxa" w:w="4365"/>
          </w:tcPr>
          <w:p>
            <w:r>
              <w:t>Politique tri-état (config + tokenizer MLX)</w:t>
            </w:r>
          </w:p>
        </w:tc>
      </w:tr>
      <w:tr>
        <w:tc>
          <w:tcPr>
            <w:tcW w:type="dxa" w:w="3005"/>
          </w:tcPr>
          <w:p>
            <w:r>
              <w:t>air_llm/airllm/airllm_baichuan.py</w:t>
            </w:r>
          </w:p>
        </w:tc>
        <w:tc>
          <w:tcPr>
            <w:tcW w:type="dxa" w:w="1474"/>
          </w:tcPr>
          <w:p>
            <w:r>
              <w:t>+6 / −3</w:t>
            </w:r>
          </w:p>
        </w:tc>
        <w:tc>
          <w:tcPr>
            <w:tcW w:type="dxa" w:w="4365"/>
          </w:tcPr>
          <w:p>
            <w:r>
              <w:t>Tokenizer respectant la politique résolue</w:t>
            </w:r>
          </w:p>
        </w:tc>
      </w:tr>
      <w:tr>
        <w:tc>
          <w:tcPr>
            <w:tcW w:type="dxa" w:w="3005"/>
          </w:tcPr>
          <w:p>
            <w:r>
              <w:t>air_llm/airllm/auto_model.py</w:t>
            </w:r>
          </w:p>
        </w:tc>
        <w:tc>
          <w:tcPr>
            <w:tcW w:type="dxa" w:w="1474"/>
          </w:tcPr>
          <w:p>
            <w:r>
              <w:t>+46 / −12</w:t>
            </w:r>
          </w:p>
        </w:tc>
        <w:tc>
          <w:tcPr>
            <w:tcW w:type="dxa" w:w="4365"/>
          </w:tcPr>
          <w:p>
            <w:r>
              <w:t>Flag configurable, transmis au constructeur, tri-état</w:t>
            </w:r>
          </w:p>
        </w:tc>
      </w:tr>
      <w:tr>
        <w:tc>
          <w:tcPr>
            <w:tcW w:type="dxa" w:w="3005"/>
          </w:tcPr>
          <w:p>
            <w:r>
              <w:t>air_llm/airllm/airllm_lora.py</w:t>
            </w:r>
          </w:p>
        </w:tc>
        <w:tc>
          <w:tcPr>
            <w:tcW w:type="dxa" w:w="1474"/>
          </w:tcPr>
          <w:p>
            <w:r>
              <w:t>+4 / −0</w:t>
            </w:r>
          </w:p>
        </w:tc>
        <w:tc>
          <w:tcPr>
            <w:tcW w:type="dxa" w:w="4365"/>
          </w:tcPr>
          <w:p>
            <w:r>
              <w:t>Deux trainers LoRA : paramètre trust_remote_code</w:t>
            </w:r>
          </w:p>
        </w:tc>
      </w:tr>
      <w:tr>
        <w:tc>
          <w:tcPr>
            <w:tcW w:type="dxa" w:w="3005"/>
          </w:tcPr>
          <w:p>
            <w:r>
              <w:t>air_llm/tests/test_safe_load.py</w:t>
            </w:r>
          </w:p>
        </w:tc>
        <w:tc>
          <w:tcPr>
            <w:tcW w:type="dxa" w:w="1474"/>
          </w:tcPr>
          <w:p>
            <w:r>
              <w:t>nouveau (80)</w:t>
            </w:r>
          </w:p>
        </w:tc>
        <w:tc>
          <w:tcPr>
            <w:tcW w:type="dxa" w:w="4365"/>
          </w:tcPr>
          <w:p>
            <w:r>
              <w:t>Test anti-RCE pickle (skip si torch absent)</w:t>
            </w:r>
          </w:p>
        </w:tc>
      </w:tr>
      <w:tr>
        <w:tc>
          <w:tcPr>
            <w:tcW w:type="dxa" w:w="3005"/>
          </w:tcPr>
          <w:p>
            <w:r>
              <w:t>air_llm/tests/test_trust_remote_code.py</w:t>
            </w:r>
          </w:p>
        </w:tc>
        <w:tc>
          <w:tcPr>
            <w:tcW w:type="dxa" w:w="1474"/>
          </w:tcPr>
          <w:p>
            <w:r>
              <w:t>nouveau (97)</w:t>
            </w:r>
          </w:p>
        </w:tc>
        <w:tc>
          <w:tcPr>
            <w:tcW w:type="dxa" w:w="4365"/>
          </w:tcPr>
          <w:p>
            <w:r>
              <w:t>Test tri-état trust_remote_code (5 cas)</w:t>
            </w:r>
          </w:p>
        </w:tc>
      </w:tr>
      <w:tr>
        <w:tc>
          <w:tcPr>
            <w:tcW w:type="dxa" w:w="3005"/>
          </w:tcPr>
          <w:p>
            <w:r>
              <w:t>requirements.txt</w:t>
            </w:r>
          </w:p>
        </w:tc>
        <w:tc>
          <w:tcPr>
            <w:tcW w:type="dxa" w:w="1474"/>
          </w:tcPr>
          <w:p>
            <w:r>
              <w:t>+5 / −3</w:t>
            </w:r>
          </w:p>
        </w:tc>
        <w:tc>
          <w:tcPr>
            <w:tcW w:type="dxa" w:w="4365"/>
          </w:tcPr>
          <w:p>
            <w:r>
              <w:t>Épinglage git vers SHA immuables</w:t>
            </w:r>
          </w:p>
        </w:tc>
      </w:tr>
    </w:tbl>
    <w:p>
      <w:r>
        <w:t>Deux nouveaux fichiers de test et trois fichiers de documentation (rapports .docx/.pdf et leurs générateurs) complètent ce lot.</w:t>
      </w:r>
    </w:p>
    <w:p>
      <w:pPr>
        <w:pStyle w:val="Heading1"/>
      </w:pPr>
      <w:r>
        <w:t>11. Stratégie de test et validation</w:t>
      </w:r>
    </w:p>
    <w:p>
      <w:pPr>
        <w:pStyle w:val="Heading2"/>
      </w:pPr>
      <w:r>
        <w:t>11.1  Tests automatisés</w:t>
      </w:r>
    </w:p>
    <w:tbl>
      <w:tblPr>
        <w:tblStyle w:val="LightGrid-Accent1"/>
        <w:tblW w:type="auto" w:w="0"/>
        <w:tblLook w:firstColumn="1" w:firstRow="1" w:lastColumn="0" w:lastRow="0" w:noHBand="0" w:noVBand="1" w:val="04A0"/>
      </w:tblPr>
      <w:tblGrid>
        <w:gridCol w:w="2880"/>
        <w:gridCol w:w="2880"/>
        <w:gridCol w:w="2880"/>
      </w:tblGrid>
      <w:tr>
        <w:tc>
          <w:tcPr>
            <w:tcW w:type="dxa" w:w="2381"/>
            <w:shd w:val="clear" w:color="auto" w:fill="1F4E79"/>
          </w:tcPr>
          <w:p>
            <w:r>
              <w:rPr>
                <w:b/>
                <w:color w:val="FFFFFF"/>
              </w:rPr>
              <w:t>Test</w:t>
            </w:r>
          </w:p>
        </w:tc>
        <w:tc>
          <w:tcPr>
            <w:tcW w:type="dxa" w:w="4535"/>
            <w:shd w:val="clear" w:color="auto" w:fill="1F4E79"/>
          </w:tcPr>
          <w:p>
            <w:r>
              <w:rPr>
                <w:b/>
                <w:color w:val="FFFFFF"/>
              </w:rPr>
              <w:t>Cas couverts</w:t>
            </w:r>
          </w:p>
        </w:tc>
        <w:tc>
          <w:tcPr>
            <w:tcW w:type="dxa" w:w="1928"/>
            <w:shd w:val="clear" w:color="auto" w:fill="1F4E79"/>
          </w:tcPr>
          <w:p>
            <w:r>
              <w:rPr>
                <w:b/>
                <w:color w:val="FFFFFF"/>
              </w:rPr>
              <w:t>Dépendances</w:t>
            </w:r>
          </w:p>
        </w:tc>
      </w:tr>
      <w:tr>
        <w:tc>
          <w:tcPr>
            <w:tcW w:type="dxa" w:w="2381"/>
          </w:tcPr>
          <w:p>
            <w:r>
              <w:t>test_safe_load.py</w:t>
            </w:r>
          </w:p>
        </w:tc>
        <w:tc>
          <w:tcPr>
            <w:tcW w:type="dxa" w:w="4535"/>
          </w:tcPr>
          <w:p>
            <w:r>
              <w:t>Rejet d'un pickle malveillant sans exécution ; chargement nominal d'un tenseur</w:t>
            </w:r>
          </w:p>
        </w:tc>
        <w:tc>
          <w:tcPr>
            <w:tcW w:type="dxa" w:w="1928"/>
          </w:tcPr>
          <w:p>
            <w:r>
              <w:t>torch (skip si absent)</w:t>
            </w:r>
          </w:p>
        </w:tc>
      </w:tr>
      <w:tr>
        <w:tc>
          <w:tcPr>
            <w:tcW w:type="dxa" w:w="2381"/>
          </w:tcPr>
          <w:p>
            <w:r>
              <w:t>test_trust_remote_code.py</w:t>
            </w:r>
          </w:p>
        </w:tc>
        <w:tc>
          <w:tcPr>
            <w:tcW w:type="dxa" w:w="4535"/>
          </w:tcPr>
          <w:p>
            <w:r>
              <w:t>5 cas : auto natif, repli custom-arch, True distant-seul, False interdit-distant, routage arch</w:t>
            </w:r>
          </w:p>
        </w:tc>
        <w:tc>
          <w:tcPr>
            <w:tcW w:type="dxa" w:w="1928"/>
          </w:tcPr>
          <w:p>
            <w:r>
              <w:t>aucune (AutoConfig stubé)</w:t>
            </w:r>
          </w:p>
        </w:tc>
      </w:tr>
    </w:tbl>
    <w:p>
      <w:r>
        <w:t>Le test tri-état stubbe transformers.AutoConfig avec un enregistreur qui lève une exception lorsque le parseur natif (trust_remote_code=False) est sollicité sur une architecture personnalisée. Il vérifie ainsi, sans téléchargement ni GPU, que : en mode auto le parseur natif est essayé en premier ; le repli distant n'a lieu qu'en cas d'échec ; trust_remote_code=True utilise directement le code distant ; trust_remote_code=False n'exécute jamais de code distant, même en cas d'échec natif.</w:t>
      </w:r>
    </w:p>
    <w:p>
      <w:pPr>
        <w:pStyle w:val="Heading2"/>
      </w:pPr>
      <w:r>
        <w:t>11.2  Contrôles manuels</w:t>
      </w:r>
    </w:p>
    <w:tbl>
      <w:tblPr>
        <w:tblStyle w:val="LightGrid-Accent1"/>
        <w:tblW w:type="auto" w:w="0"/>
        <w:tblLook w:firstColumn="1" w:firstRow="1" w:lastColumn="0" w:lastRow="0" w:noHBand="0" w:noVBand="1" w:val="04A0"/>
      </w:tblPr>
      <w:tblGrid>
        <w:gridCol w:w="4320"/>
        <w:gridCol w:w="4320"/>
      </w:tblGrid>
      <w:tr>
        <w:tc>
          <w:tcPr>
            <w:tcW w:type="dxa" w:w="5669"/>
            <w:shd w:val="clear" w:color="auto" w:fill="1F4E79"/>
          </w:tcPr>
          <w:p>
            <w:r>
              <w:rPr>
                <w:b/>
                <w:color w:val="FFFFFF"/>
              </w:rPr>
              <w:t>Contrôle</w:t>
            </w:r>
          </w:p>
        </w:tc>
        <w:tc>
          <w:tcPr>
            <w:tcW w:type="dxa" w:w="3402"/>
            <w:shd w:val="clear" w:color="auto" w:fill="1F4E79"/>
          </w:tcPr>
          <w:p>
            <w:r>
              <w:rPr>
                <w:b/>
                <w:color w:val="FFFFFF"/>
              </w:rPr>
              <w:t>Résultat</w:t>
            </w:r>
          </w:p>
        </w:tc>
      </w:tr>
      <w:tr>
        <w:tc>
          <w:tcPr>
            <w:tcW w:type="dxa" w:w="5669"/>
          </w:tcPr>
          <w:p>
            <w:r>
              <w:t>Compilation (py_compile) de tous les fichiers modifiés</w:t>
            </w:r>
          </w:p>
        </w:tc>
        <w:tc>
          <w:tcPr>
            <w:tcW w:type="dxa" w:w="3402"/>
          </w:tcPr>
          <w:p>
            <w:r>
              <w:t>Succès</w:t>
            </w:r>
          </w:p>
        </w:tc>
      </w:tr>
      <w:tr>
        <w:tc>
          <w:tcPr>
            <w:tcW w:type="dxa" w:w="5669"/>
          </w:tcPr>
          <w:p>
            <w:r>
              <w:t>Recherche de torch.load non sécurisé résiduel</w:t>
            </w:r>
          </w:p>
        </w:tc>
        <w:tc>
          <w:tcPr>
            <w:tcW w:type="dxa" w:w="3402"/>
          </w:tcPr>
          <w:p>
            <w:r>
              <w:t>Aucun</w:t>
            </w:r>
          </w:p>
        </w:tc>
      </w:tr>
      <w:tr>
        <w:tc>
          <w:tcPr>
            <w:tcW w:type="dxa" w:w="5669"/>
          </w:tcPr>
          <w:p>
            <w:r>
              <w:t>Recherche de trust_remote_code=True inconditionnel</w:t>
            </w:r>
          </w:p>
        </w:tc>
        <w:tc>
          <w:tcPr>
            <w:tcW w:type="dxa" w:w="3402"/>
          </w:tcPr>
          <w:p>
            <w:r>
              <w:t>Aucun (uniquement dans des branches légitimes)</w:t>
            </w:r>
          </w:p>
        </w:tc>
      </w:tr>
      <w:tr>
        <w:tc>
          <w:tcPr>
            <w:tcW w:type="dxa" w:w="5669"/>
          </w:tcPr>
          <w:p>
            <w:r>
              <w:t>Vérification des SHA de dépendances (git ls-remote)</w:t>
            </w:r>
          </w:p>
        </w:tc>
        <w:tc>
          <w:tcPr>
            <w:tcW w:type="dxa" w:w="3402"/>
          </w:tcPr>
          <w:p>
            <w:r>
              <w:t>Tous réels</w:t>
            </w:r>
          </w:p>
        </w:tc>
      </w:tr>
      <w:tr>
        <w:tc>
          <w:tcPr>
            <w:tcW w:type="dxa" w:w="5669"/>
          </w:tcPr>
          <w:p>
            <w:r>
              <w:t>Exécution des tests unittest</w:t>
            </w:r>
          </w:p>
        </w:tc>
        <w:tc>
          <w:tcPr>
            <w:tcW w:type="dxa" w:w="3402"/>
          </w:tcPr>
          <w:p>
            <w:r>
              <w:t>Succès</w:t>
            </w:r>
          </w:p>
        </w:tc>
      </w:tr>
    </w:tbl>
    <w:p>
      <w:pPr>
        <w:pStyle w:val="Heading1"/>
      </w:pPr>
      <w:r>
        <w:t>12. Risques résiduels et limites assumées</w:t>
      </w:r>
    </w:p>
    <w:p>
      <w:r>
        <w:t>Les points suivants, hors du périmètre des lots corrigés ou intrinsèques à la conception, sont documentés comme risques résiduels :</w:t>
      </w:r>
    </w:p>
    <w:p>
      <w:pPr>
        <w:pStyle w:val="ListBullet"/>
      </w:pPr>
      <w:r>
        <w:rPr>
          <w:b/>
        </w:rPr>
        <w:t xml:space="preserve">Liens symboliques — </w:t>
      </w:r>
      <w:r>
        <w:t>link_or_copy_file() suit les liens symboliques via realpath, par conception : les caches HuggingFace stockent les fichiers en symlinks vers un répertoire de blobs. Un confinement strict casserait ce mécanisme. L'impact reste faible, le contenu demeurant dans le cache HF.</w:t>
      </w:r>
    </w:p>
    <w:p>
      <w:pPr>
        <w:pStyle w:val="ListBullet"/>
      </w:pPr>
      <w:r>
        <w:rPr>
          <w:b/>
        </w:rPr>
        <w:t xml:space="preserve">Compatibilité .bin anciens — </w:t>
      </w:r>
      <w:r>
        <w:t>les checkpoints .bin très anciens contenant autre chose que des tenseurs échoueront désormais explicitement avec weights_only=True. C'est le comportement voulu (sécurité avant permissivité) ; la voie safetensors n'est pas affectée.</w:t>
      </w:r>
    </w:p>
    <w:p>
      <w:pPr>
        <w:pStyle w:val="ListBullet"/>
      </w:pPr>
      <w:r>
        <w:rPr>
          <w:b/>
        </w:rPr>
        <w:t xml:space="preserve">Modèles exigeant le code distant — </w:t>
      </w:r>
      <w:r>
        <w:t>en mode False, un modèle dont le parseur natif échoue lèvera une erreur. C'est le choix assumé de l'utilisateur ; le mode auto (None) reste le défaut confortable.</w:t>
      </w:r>
    </w:p>
    <w:p>
      <w:pPr>
        <w:pStyle w:val="Heading1"/>
      </w:pPr>
      <w:r>
        <w:t>13. Conclusion et recommandations</w:t>
      </w:r>
    </w:p>
    <w:p>
      <w:r>
        <w:t>La construction des impacts démontre une réduction substantielle de la surface d'attaque. La vulnérabilité critique d'exécution de code arbitraire est intégralement neutralisée ; l'exécution de code distant passe sous contrôle explicite et tri-état de l'utilisateur ; la robustesse des opérations sur fichiers est rétablie ; et la chaîne d'approvisionnement est rendue reproductible. L'ensemble est couvert par des tests automatisés et versionné.</w:t>
      </w:r>
    </w:p>
    <w:p>
      <w:r>
        <w:t>Recommandations pour la suite :</w:t>
      </w:r>
    </w:p>
    <w:p>
      <w:pPr>
        <w:pStyle w:val="ListBullet"/>
      </w:pPr>
      <w:r>
        <w:rPr>
          <w:b/>
        </w:rPr>
        <w:t xml:space="preserve">CI — </w:t>
      </w:r>
      <w:r>
        <w:t>exécuter la suite unittest sur chaque pull request, et ajouter un lint de sécurité (ex. Bandit) pour détecter tout nouveau torch.load/pickle non restreint.</w:t>
      </w:r>
    </w:p>
    <w:p>
      <w:pPr>
        <w:pStyle w:val="ListBullet"/>
      </w:pPr>
      <w:r>
        <w:rPr>
          <w:b/>
        </w:rPr>
        <w:t xml:space="preserve">Documentation — </w:t>
      </w:r>
      <w:r>
        <w:t>mentionner le paramètre trust_remote_code dans le README, avec la recommandation de le laisser à None (auto) sauf besoin précis.</w:t>
      </w:r>
    </w:p>
    <w:p>
      <w:pPr>
        <w:pStyle w:val="ListBullet"/>
      </w:pPr>
      <w:r>
        <w:rPr>
          <w:b/>
        </w:rPr>
        <w:t xml:space="preserve">Veille — </w:t>
      </w:r>
      <w:r>
        <w:t>maintenir les SHA épinglés à jour via des mises à jour régulières et revues.</w:t>
      </w:r>
    </w:p>
    <w:p>
      <w:r>
        <w:br w:type="page"/>
      </w:r>
    </w:p>
    <w:p>
      <w:pPr>
        <w:pStyle w:val="Heading1"/>
      </w:pPr>
      <w:r>
        <w:t>Annexe A — Détail des commits</w:t>
      </w:r>
    </w:p>
    <w:tbl>
      <w:tblPr>
        <w:tblStyle w:val="LightGrid-Accent1"/>
        <w:tblW w:type="auto" w:w="0"/>
        <w:tblLook w:firstColumn="1" w:firstRow="1" w:lastColumn="0" w:lastRow="0" w:noHBand="0" w:noVBand="1" w:val="04A0"/>
      </w:tblPr>
      <w:tblGrid>
        <w:gridCol w:w="2880"/>
        <w:gridCol w:w="2880"/>
        <w:gridCol w:w="2880"/>
      </w:tblGrid>
      <w:tr>
        <w:tc>
          <w:tcPr>
            <w:tcW w:type="dxa" w:w="1247"/>
            <w:shd w:val="clear" w:color="auto" w:fill="1F4E79"/>
          </w:tcPr>
          <w:p>
            <w:r>
              <w:rPr>
                <w:b/>
                <w:color w:val="FFFFFF"/>
              </w:rPr>
              <w:t>SHA</w:t>
            </w:r>
          </w:p>
        </w:tc>
        <w:tc>
          <w:tcPr>
            <w:tcW w:type="dxa" w:w="3572"/>
            <w:shd w:val="clear" w:color="auto" w:fill="1F4E79"/>
          </w:tcPr>
          <w:p>
            <w:r>
              <w:rPr>
                <w:b/>
                <w:color w:val="FFFFFF"/>
              </w:rPr>
              <w:t>Message</w:t>
            </w:r>
          </w:p>
        </w:tc>
        <w:tc>
          <w:tcPr>
            <w:tcW w:type="dxa" w:w="4025"/>
            <w:shd w:val="clear" w:color="auto" w:fill="1F4E79"/>
          </w:tcPr>
          <w:p>
            <w:r>
              <w:rPr>
                <w:b/>
                <w:color w:val="FFFFFF"/>
              </w:rPr>
              <w:t>Contenu principal</w:t>
            </w:r>
          </w:p>
        </w:tc>
      </w:tr>
      <w:tr>
        <w:tc>
          <w:tcPr>
            <w:tcW w:type="dxa" w:w="1247"/>
          </w:tcPr>
          <w:p>
            <w:r>
              <w:t>a6d631f</w:t>
            </w:r>
          </w:p>
        </w:tc>
        <w:tc>
          <w:tcPr>
            <w:tcW w:type="dxa" w:w="3572"/>
          </w:tcPr>
          <w:p>
            <w:r>
              <w:t>security: harden checkpoint loading and dependency pinning</w:t>
            </w:r>
          </w:p>
        </w:tc>
        <w:tc>
          <w:tcPr>
            <w:tcW w:type="dxa" w:w="4025"/>
          </w:tcPr>
          <w:p>
            <w:r>
              <w:t>V1 (RCE pickle), V4 (épinglage), fix V3 + test_safe_load</w:t>
            </w:r>
          </w:p>
        </w:tc>
      </w:tr>
      <w:tr>
        <w:tc>
          <w:tcPr>
            <w:tcW w:type="dxa" w:w="1247"/>
          </w:tcPr>
          <w:p>
            <w:r>
              <w:t>6b97abf</w:t>
            </w:r>
          </w:p>
        </w:tc>
        <w:tc>
          <w:tcPr>
            <w:tcW w:type="dxa" w:w="3572"/>
          </w:tcPr>
          <w:p>
            <w:r>
              <w:t>docs: add security impact-study Word report and its generator</w:t>
            </w:r>
          </w:p>
        </w:tc>
        <w:tc>
          <w:tcPr>
            <w:tcW w:type="dxa" w:w="4025"/>
          </w:tcPr>
          <w:p>
            <w:r>
              <w:t>Rapport .docx + gen_security_report.py</w:t>
            </w:r>
          </w:p>
        </w:tc>
      </w:tr>
      <w:tr>
        <w:tc>
          <w:tcPr>
            <w:tcW w:type="dxa" w:w="1247"/>
          </w:tcPr>
          <w:p>
            <w:r>
              <w:t>eb9a06f</w:t>
            </w:r>
          </w:p>
        </w:tc>
        <w:tc>
          <w:tcPr>
            <w:tcW w:type="dxa" w:w="3572"/>
          </w:tcPr>
          <w:p>
            <w:r>
              <w:t>docs: add PDF version of the security impact-study report</w:t>
            </w:r>
          </w:p>
        </w:tc>
        <w:tc>
          <w:tcPr>
            <w:tcW w:type="dxa" w:w="4025"/>
          </w:tcPr>
          <w:p>
            <w:r>
              <w:t>Rapport .pdf + gen_security_report_pdf.py</w:t>
            </w:r>
          </w:p>
        </w:tc>
      </w:tr>
      <w:tr>
        <w:tc>
          <w:tcPr>
            <w:tcW w:type="dxa" w:w="1247"/>
          </w:tcPr>
          <w:p>
            <w:r>
              <w:t>ac9e260</w:t>
            </w:r>
          </w:p>
        </w:tc>
        <w:tc>
          <w:tcPr>
            <w:tcW w:type="dxa" w:w="3572"/>
          </w:tcPr>
          <w:p>
            <w:r>
              <w:t>security: make trust_remote_code tri-state across all model loaders</w:t>
            </w:r>
          </w:p>
        </w:tc>
        <w:tc>
          <w:tcPr>
            <w:tcW w:type="dxa" w:w="4025"/>
          </w:tcPr>
          <w:p>
            <w:r>
              <w:t>V2 phase 2 (tous chargeurs) + test_trust_remote_code</w:t>
            </w:r>
          </w:p>
        </w:tc>
      </w:tr>
    </w:tbl>
    <w:p>
      <w:pPr>
        <w:pStyle w:val="Heading1"/>
      </w:pPr>
      <w:r>
        <w:t>Annexe B — Inventaire des fichiers audités</w:t>
      </w:r>
    </w:p>
    <w:p>
      <w:r>
        <w:t>46 fichiers Python répartis comme suit :</w:t>
      </w:r>
    </w:p>
    <w:tbl>
      <w:tblPr>
        <w:tblStyle w:val="LightGrid-Accent1"/>
        <w:tblW w:type="auto" w:w="0"/>
        <w:tblLook w:firstColumn="1" w:firstRow="1" w:lastColumn="0" w:lastRow="0" w:noHBand="0" w:noVBand="1" w:val="04A0"/>
      </w:tblPr>
      <w:tblGrid>
        <w:gridCol w:w="2880"/>
        <w:gridCol w:w="2880"/>
        <w:gridCol w:w="2880"/>
      </w:tblGrid>
      <w:tr>
        <w:tc>
          <w:tcPr>
            <w:tcW w:type="dxa" w:w="2551"/>
            <w:shd w:val="clear" w:color="auto" w:fill="1F4E79"/>
          </w:tcPr>
          <w:p>
            <w:r>
              <w:rPr>
                <w:b/>
                <w:color w:val="FFFFFF"/>
              </w:rPr>
              <w:t>Répertoire</w:t>
            </w:r>
          </w:p>
        </w:tc>
        <w:tc>
          <w:tcPr>
            <w:tcW w:type="dxa" w:w="1247"/>
            <w:shd w:val="clear" w:color="auto" w:fill="1F4E79"/>
          </w:tcPr>
          <w:p>
            <w:r>
              <w:rPr>
                <w:b/>
                <w:color w:val="FFFFFF"/>
              </w:rPr>
              <w:t>Nb fichiers</w:t>
            </w:r>
          </w:p>
        </w:tc>
        <w:tc>
          <w:tcPr>
            <w:tcW w:type="dxa" w:w="5046"/>
            <w:shd w:val="clear" w:color="auto" w:fill="1F4E79"/>
          </w:tcPr>
          <w:p>
            <w:r>
              <w:rPr>
                <w:b/>
                <w:color w:val="FFFFFF"/>
              </w:rPr>
              <w:t>Rôle</w:t>
            </w:r>
          </w:p>
        </w:tc>
      </w:tr>
      <w:tr>
        <w:tc>
          <w:tcPr>
            <w:tcW w:type="dxa" w:w="2551"/>
          </w:tcPr>
          <w:p>
            <w:r>
              <w:t>air_llm/airllm/</w:t>
            </w:r>
          </w:p>
        </w:tc>
        <w:tc>
          <w:tcPr>
            <w:tcW w:type="dxa" w:w="1247"/>
          </w:tcPr>
          <w:p>
            <w:r>
              <w:t>18</w:t>
            </w:r>
          </w:p>
        </w:tc>
        <w:tc>
          <w:tcPr>
            <w:tcW w:type="dxa" w:w="5046"/>
          </w:tcPr>
          <w:p>
            <w:r>
              <w:t>Cœur de la bibliothèque (modèles, utils, persistance, LoRA)</w:t>
            </w:r>
          </w:p>
        </w:tc>
      </w:tr>
      <w:tr>
        <w:tc>
          <w:tcPr>
            <w:tcW w:type="dxa" w:w="2551"/>
          </w:tcPr>
          <w:p>
            <w:r>
              <w:t>air_llm/tests/</w:t>
            </w:r>
          </w:p>
        </w:tc>
        <w:tc>
          <w:tcPr>
            <w:tcW w:type="dxa" w:w="1247"/>
          </w:tcPr>
          <w:p>
            <w:r>
              <w:t>9</w:t>
            </w:r>
          </w:p>
        </w:tc>
        <w:tc>
          <w:tcPr>
            <w:tcW w:type="dxa" w:w="5046"/>
          </w:tcPr>
          <w:p>
            <w:r>
              <w:t>Tests unitaires</w:t>
            </w:r>
          </w:p>
        </w:tc>
      </w:tr>
      <w:tr>
        <w:tc>
          <w:tcPr>
            <w:tcW w:type="dxa" w:w="2551"/>
          </w:tcPr>
          <w:p>
            <w:r>
              <w:t>air_llm/ + examples</w:t>
            </w:r>
          </w:p>
        </w:tc>
        <w:tc>
          <w:tcPr>
            <w:tcW w:type="dxa" w:w="1247"/>
          </w:tcPr>
          <w:p>
            <w:r>
              <w:t>3</w:t>
            </w:r>
          </w:p>
        </w:tc>
        <w:tc>
          <w:tcPr>
            <w:tcW w:type="dxa" w:w="5046"/>
          </w:tcPr>
          <w:p>
            <w:r>
              <w:t>Point d'entrée, exemple d'inférence, scripts d'exemple</w:t>
            </w:r>
          </w:p>
        </w:tc>
      </w:tr>
      <w:tr>
        <w:tc>
          <w:tcPr>
            <w:tcW w:type="dxa" w:w="2551"/>
          </w:tcPr>
          <w:p>
            <w:r>
              <w:t>anima_100k/</w:t>
            </w:r>
          </w:p>
        </w:tc>
        <w:tc>
          <w:tcPr>
            <w:tcW w:type="dxa" w:w="1247"/>
          </w:tcPr>
          <w:p>
            <w:r>
              <w:t>2</w:t>
            </w:r>
          </w:p>
        </w:tc>
        <w:tc>
          <w:tcPr>
            <w:tcW w:type="dxa" w:w="5046"/>
          </w:tcPr>
          <w:p>
            <w:r>
              <w:t>Modèle et script d'entraînement long contexte</w:t>
            </w:r>
          </w:p>
        </w:tc>
      </w:tr>
      <w:tr>
        <w:tc>
          <w:tcPr>
            <w:tcW w:type="dxa" w:w="2551"/>
          </w:tcPr>
          <w:p>
            <w:r>
              <w:t>training/ + rlhf/ + scripts</w:t>
            </w:r>
          </w:p>
        </w:tc>
        <w:tc>
          <w:tcPr>
            <w:tcW w:type="dxa" w:w="1247"/>
          </w:tcPr>
          <w:p>
            <w:r>
              <w:t>3</w:t>
            </w:r>
          </w:p>
        </w:tc>
        <w:tc>
          <w:tcPr>
            <w:tcW w:type="dxa" w:w="5046"/>
          </w:tcPr>
          <w:p>
            <w:r>
              <w:t>Scripts QLoRA / DPO et utilitaires</w:t>
            </w:r>
          </w:p>
        </w:tc>
      </w:tr>
    </w:tbl>
    <w:p>
      <w:pPr>
        <w:pStyle w:val="Heading1"/>
      </w:pPr>
      <w:r>
        <w:t>Annexe C — Références des correctifs (extraits de code)</w:t>
      </w:r>
    </w:p>
    <w:p>
      <w:pPr>
        <w:pStyle w:val="Heading3"/>
      </w:pPr>
      <w:r>
        <w:t>C.1  _safe_torch_load (utils.py)</w:t>
      </w:r>
    </w:p>
    <w:p>
      <w:pPr>
        <w:spacing w:before="80" w:after="160"/>
        <w:ind w:left="283"/>
      </w:pPr>
      <w:r>
        <w:rPr>
          <w:rFonts w:ascii="Consolas" w:hAnsi="Consolas"/>
          <w:sz w:val="17"/>
        </w:rPr>
        <w:t>def _safe_torch_load(path):</w:t>
        <w:br/>
        <w:t xml:space="preserve">    return torch.load(path, map_location='cpu', weights_only=True)</w:t>
      </w:r>
    </w:p>
    <w:p>
      <w:pPr>
        <w:pStyle w:val="Heading3"/>
      </w:pPr>
      <w:r>
        <w:t>C.2  remove_real_and_linked_file (utils.py)</w:t>
      </w:r>
    </w:p>
    <w:p>
      <w:pPr>
        <w:spacing w:before="80" w:after="160"/>
        <w:ind w:left="283"/>
      </w:pPr>
      <w:r>
        <w:rPr>
          <w:rFonts w:ascii="Consolas" w:hAnsi="Consolas"/>
          <w:sz w:val="17"/>
        </w:rPr>
        <w:t>targetpath = None</w:t>
        <w:br/>
        <w:t>real = os.path.realpath(str(to_delete))</w:t>
        <w:br/>
        <w:t>if real != str(to_delete):</w:t>
        <w:br/>
        <w:t xml:space="preserve">    targetpath = real</w:t>
        <w:br/>
        <w:t>os.remove(to_delete)</w:t>
        <w:br/>
        <w:t>if targetpath:</w:t>
        <w:br/>
        <w:t xml:space="preserve">    os.remove(targetpath)</w:t>
      </w:r>
    </w:p>
    <w:p>
      <w:pPr>
        <w:pStyle w:val="Heading3"/>
      </w:pPr>
      <w:r>
        <w:t>C.3  Épinglage des dépendances (requirements.txt)</w:t>
      </w:r>
    </w:p>
    <w:p>
      <w:pPr>
        <w:spacing w:before="80" w:after="160"/>
        <w:ind w:left="283"/>
      </w:pPr>
      <w:r>
        <w:rPr>
          <w:rFonts w:ascii="Consolas" w:hAnsi="Consolas"/>
          <w:sz w:val="17"/>
        </w:rPr>
        <w:t>transformers @ git+https://github.com/huggingface/transformers.git@28034545...</w:t>
        <w:br/>
        <w:t>peft @ git+https://github.com/huggingface/peft.git@7120c9a2...</w:t>
        <w:br/>
        <w:t>accelerate @ git+https://github.com/huggingface/accelerate.git@47b9ac10...</w:t>
      </w:r>
    </w:p>
    <w:p>
      <w:pPr>
        <w:pStyle w:val="Heading1"/>
      </w:pPr>
      <w:r>
        <w:t>Annexe D — Glossaire</w:t>
      </w:r>
    </w:p>
    <w:tbl>
      <w:tblPr>
        <w:tblStyle w:val="LightGrid-Accent1"/>
        <w:tblW w:type="auto" w:w="0"/>
        <w:tblLook w:firstColumn="1" w:firstRow="1" w:lastColumn="0" w:lastRow="0" w:noHBand="0" w:noVBand="1" w:val="04A0"/>
      </w:tblPr>
      <w:tblGrid>
        <w:gridCol w:w="4320"/>
        <w:gridCol w:w="4320"/>
      </w:tblGrid>
      <w:tr>
        <w:tc>
          <w:tcPr>
            <w:tcW w:type="dxa" w:w="1984"/>
            <w:shd w:val="clear" w:color="auto" w:fill="1F4E79"/>
          </w:tcPr>
          <w:p>
            <w:r>
              <w:rPr>
                <w:b/>
                <w:color w:val="FFFFFF"/>
              </w:rPr>
              <w:t>Terme</w:t>
            </w:r>
          </w:p>
        </w:tc>
        <w:tc>
          <w:tcPr>
            <w:tcW w:type="dxa" w:w="7087"/>
            <w:shd w:val="clear" w:color="auto" w:fill="1F4E79"/>
          </w:tcPr>
          <w:p>
            <w:r>
              <w:rPr>
                <w:b/>
                <w:color w:val="FFFFFF"/>
              </w:rPr>
              <w:t>Définition</w:t>
            </w:r>
          </w:p>
        </w:tc>
      </w:tr>
      <w:tr>
        <w:tc>
          <w:tcPr>
            <w:tcW w:type="dxa" w:w="1984"/>
          </w:tcPr>
          <w:p>
            <w:r>
              <w:t>RCE</w:t>
            </w:r>
          </w:p>
        </w:tc>
        <w:tc>
          <w:tcPr>
            <w:tcW w:type="dxa" w:w="7087"/>
          </w:tcPr>
          <w:p>
            <w:r>
              <w:t>Remote Code Execution — exécution de code arbitraire à distance sur la machine hôte.</w:t>
            </w:r>
          </w:p>
        </w:tc>
      </w:tr>
      <w:tr>
        <w:tc>
          <w:tcPr>
            <w:tcW w:type="dxa" w:w="1984"/>
          </w:tcPr>
          <w:p>
            <w:r>
              <w:t>pickle</w:t>
            </w:r>
          </w:p>
        </w:tc>
        <w:tc>
          <w:tcPr>
            <w:tcW w:type="dxa" w:w="7087"/>
          </w:tcPr>
          <w:p>
            <w:r>
              <w:t>Module de sérialisation Python, capable d'exécuter du code à la désérialisation.</w:t>
            </w:r>
          </w:p>
        </w:tc>
      </w:tr>
      <w:tr>
        <w:tc>
          <w:tcPr>
            <w:tcW w:type="dxa" w:w="1984"/>
          </w:tcPr>
          <w:p>
            <w:r>
              <w:t>weights_only</w:t>
            </w:r>
          </w:p>
        </w:tc>
        <w:tc>
          <w:tcPr>
            <w:tcW w:type="dxa" w:w="7087"/>
          </w:tcPr>
          <w:p>
            <w:r>
              <w:t>Option de torch.load restreignant le chargement aux tenseurs (bloque le code arbitraire).</w:t>
            </w:r>
          </w:p>
        </w:tc>
      </w:tr>
      <w:tr>
        <w:tc>
          <w:tcPr>
            <w:tcW w:type="dxa" w:w="1984"/>
          </w:tcPr>
          <w:p>
            <w:r>
              <w:t>trust_remote_code</w:t>
            </w:r>
          </w:p>
        </w:tc>
        <w:tc>
          <w:tcPr>
            <w:tcW w:type="dxa" w:w="7087"/>
          </w:tcPr>
          <w:p>
            <w:r>
              <w:t>Option HuggingFace autorisant l'exécution du code Python embarqué dans un dépôt de modèles.</w:t>
            </w:r>
          </w:p>
        </w:tc>
      </w:tr>
      <w:tr>
        <w:tc>
          <w:tcPr>
            <w:tcW w:type="dxa" w:w="1984"/>
          </w:tcPr>
          <w:p>
            <w:r>
              <w:t>safetensors</w:t>
            </w:r>
          </w:p>
        </w:tc>
        <w:tc>
          <w:tcPr>
            <w:tcW w:type="dxa" w:w="7087"/>
          </w:tcPr>
          <w:p>
            <w:r>
              <w:t>Format de poids sûr (mappé mémoire, sans exécution de code).</w:t>
            </w:r>
          </w:p>
        </w:tc>
      </w:tr>
      <w:tr>
        <w:tc>
          <w:tcPr>
            <w:tcW w:type="dxa" w:w="1984"/>
          </w:tcPr>
          <w:p>
            <w:r>
              <w:t>Supply chain</w:t>
            </w:r>
          </w:p>
        </w:tc>
        <w:tc>
          <w:tcPr>
            <w:tcW w:type="dxa" w:w="7087"/>
          </w:tcPr>
          <w:p>
            <w:r>
              <w:t>Chaîne d'approvisionnement logicielle ; ici, l'intégrité des dépendances installées.</w:t>
            </w:r>
          </w:p>
        </w:tc>
      </w:tr>
      <w:tr>
        <w:tc>
          <w:tcPr>
            <w:tcW w:type="dxa" w:w="1984"/>
          </w:tcPr>
          <w:p>
            <w:r>
              <w:t>SHA</w:t>
            </w:r>
          </w:p>
        </w:tc>
        <w:tc>
          <w:tcPr>
            <w:tcW w:type="dxa" w:w="7087"/>
          </w:tcPr>
          <w:p>
            <w:r>
              <w:t>Empreinte immubable identifiant un commit git de façon déterministe.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