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6"/>
          <w:szCs w:val="36"/>
        </w:rPr>
        <w:t xml:space="preserve">Some Reflections on the Implementation Details of an LLM-aided TSN Orchestrator, and a Comparison with TTASelector</w:t>
      </w:r>
    </w:p>
    <w:p>
      <w:pPr>
        <w:pStyle w:val="Heading2"/>
        <w:spacing w:after="160" w:before="280"/>
      </w:pPr>
      <w:r>
        <w:rPr>
          <w:rFonts w:ascii="Arial" w:cs="Arial" w:eastAsia="Arial" w:hAnsi="Arial"/>
          <w:b/>
          <w:bCs/>
          <w:sz w:val="28"/>
          <w:szCs w:val="28"/>
        </w:rPr>
        <w:t xml:space="preserve">TL;DR</w:t>
      </w:r>
    </w:p>
    <w:p>
      <w:pPr>
        <w:spacing w:after="160" w:line="320"/>
        <w:jc w:val="both"/>
      </w:pPr>
      <w:r>
        <w:rPr>
          <w:rFonts w:ascii="Arial" w:cs="Arial" w:eastAsia="Arial" w:hAnsi="Arial"/>
          <w:b w:val="false"/>
          <w:bCs w:val="false"/>
          <w:i w:val="false"/>
          <w:iCs w:val="false"/>
          <w:sz w:val="22"/>
          <w:szCs w:val="22"/>
        </w:rPr>
        <w:t xml:space="preserve">This document, framed around your 10-step pipeline in Section III and the hybrid vision in Section IV.C, proposes five implementation-layer components as a concrete path to realizing that vision: (1) a </w:t>
      </w:r>
      <w:r>
        <w:rPr>
          <w:rFonts w:ascii="Arial" w:cs="Arial" w:eastAsia="Arial" w:hAnsi="Arial"/>
          <w:b/>
          <w:bCs/>
          <w:i w:val="false"/>
          <w:iCs w:val="false"/>
          <w:sz w:val="22"/>
          <w:szCs w:val="22"/>
        </w:rPr>
        <w:t xml:space="preserve">Multi-Agent Framework</w:t>
      </w:r>
      <w:r>
        <w:rPr>
          <w:rFonts w:ascii="Arial" w:cs="Arial" w:eastAsia="Arial" w:hAnsi="Arial"/>
          <w:b w:val="false"/>
          <w:bCs w:val="false"/>
          <w:i w:val="false"/>
          <w:iCs w:val="false"/>
          <w:sz w:val="22"/>
          <w:szCs w:val="22"/>
        </w:rPr>
        <w:t xml:space="preserve"> as the underlying architecture; (2) a </w:t>
      </w:r>
      <w:r>
        <w:rPr>
          <w:rFonts w:ascii="Arial" w:cs="Arial" w:eastAsia="Arial" w:hAnsi="Arial"/>
          <w:b/>
          <w:bCs/>
          <w:i w:val="false"/>
          <w:iCs w:val="false"/>
          <w:sz w:val="22"/>
          <w:szCs w:val="22"/>
        </w:rPr>
        <w:t xml:space="preserve">Workflow Toolchain</w:t>
      </w:r>
      <w:r>
        <w:rPr>
          <w:rFonts w:ascii="Arial" w:cs="Arial" w:eastAsia="Arial" w:hAnsi="Arial"/>
          <w:b w:val="false"/>
          <w:bCs w:val="false"/>
          <w:i w:val="false"/>
          <w:iCs w:val="false"/>
          <w:sz w:val="22"/>
          <w:szCs w:val="22"/>
        </w:rPr>
        <w:t xml:space="preserve"> as the interface protocol between agents and external tools; (3) </w:t>
      </w:r>
      <w:r>
        <w:rPr>
          <w:rFonts w:ascii="Arial" w:cs="Arial" w:eastAsia="Arial" w:hAnsi="Arial"/>
          <w:b/>
          <w:bCs/>
          <w:i w:val="false"/>
          <w:iCs w:val="false"/>
          <w:sz w:val="22"/>
          <w:szCs w:val="22"/>
        </w:rPr>
        <w:t xml:space="preserve">Aggregator-based Parallel Specialists</w:t>
      </w:r>
      <w:r>
        <w:rPr>
          <w:rFonts w:ascii="Arial" w:cs="Arial" w:eastAsia="Arial" w:hAnsi="Arial"/>
          <w:b w:val="false"/>
          <w:bCs w:val="false"/>
          <w:i w:val="false"/>
          <w:iCs w:val="false"/>
          <w:sz w:val="22"/>
          <w:szCs w:val="22"/>
        </w:rPr>
        <w:t xml:space="preserve"> as a reinforcement inside Steps C/D; (4) </w:t>
      </w:r>
      <w:r>
        <w:rPr>
          <w:rFonts w:ascii="Arial" w:cs="Arial" w:eastAsia="Arial" w:hAnsi="Arial"/>
          <w:b/>
          <w:bCs/>
          <w:i w:val="false"/>
          <w:iCs w:val="false"/>
          <w:sz w:val="22"/>
          <w:szCs w:val="22"/>
        </w:rPr>
        <w:t xml:space="preserve">Iterative Self-Refinement</w:t>
      </w:r>
      <w:r>
        <w:rPr>
          <w:rFonts w:ascii="Arial" w:cs="Arial" w:eastAsia="Arial" w:hAnsi="Arial"/>
          <w:b w:val="false"/>
          <w:bCs w:val="false"/>
          <w:i w:val="false"/>
          <w:iCs w:val="false"/>
          <w:sz w:val="22"/>
          <w:szCs w:val="22"/>
        </w:rPr>
        <w:t xml:space="preserve"> as a mature paradigm for in-stage iteration; and (5) a </w:t>
      </w:r>
      <w:r>
        <w:rPr>
          <w:rFonts w:ascii="Arial" w:cs="Arial" w:eastAsia="Arial" w:hAnsi="Arial"/>
          <w:b/>
          <w:bCs/>
          <w:i w:val="false"/>
          <w:iCs w:val="false"/>
          <w:sz w:val="22"/>
          <w:szCs w:val="22"/>
        </w:rPr>
        <w:t xml:space="preserve">Multi-Layer Conditional Feedback Topology</w:t>
      </w:r>
      <w:r>
        <w:rPr>
          <w:rFonts w:ascii="Arial" w:cs="Arial" w:eastAsia="Arial" w:hAnsi="Arial"/>
          <w:b w:val="false"/>
          <w:bCs w:val="false"/>
          <w:i w:val="false"/>
          <w:iCs w:val="false"/>
          <w:sz w:val="22"/>
          <w:szCs w:val="22"/>
        </w:rPr>
        <w:t xml:space="preserve"> as the top-level cross-stage coordination architecture. Points 3 and 5 use your [2] (TTASelector, ICC 2025) as a real-world reference for feasibility — TTASelector is itself a miniature hybrid system (DRL + ASAP + NetCal) that is structurally isomorphic to the hybrid vision in Section IV.C, with the only difference being that the orchestrator is a DRL agent rather than an LLM. Points 1, 2, and 4 map onto existing LLM-engineering paradigms (multi-agent frameworks / function calling / the Self-Refine family). Each point is expanded below.</w:t>
      </w:r>
    </w:p>
    <w:p>
      <w:pPr>
        <w:spacing w:after="160" w:line="320"/>
        <w:jc w:val="both"/>
      </w:pPr>
      <w:r>
        <w:rPr>
          <w:rFonts w:ascii="Arial" w:cs="Arial" w:eastAsia="Arial" w:hAnsi="Arial"/>
          <w:b w:val="false"/>
          <w:bCs w:val="false"/>
          <w:i w:val="false"/>
          <w:iCs w:val="false"/>
          <w:sz w:val="22"/>
          <w:szCs w:val="22"/>
        </w:rPr>
        <w:t xml:space="preserve">Your paper lays out a remarkably complete framework for achieving end-to-end automated TSN deployment via LLMs — from the 10-step pipeline in Section III, to the hybrid integration vision in Section IV.C, to the three research directions listed in Section VI (open dataset, fine-tuning, hybrid orchestration). The sentence at the end of Section II.B — </w:t>
      </w:r>
      <w:r>
        <w:rPr>
          <w:rFonts w:ascii="Arial" w:cs="Arial" w:eastAsia="Arial" w:hAnsi="Arial"/>
          <w:b w:val="false"/>
          <w:bCs w:val="false"/>
          <w:i/>
          <w:iCs/>
          <w:sz w:val="22"/>
          <w:szCs w:val="22"/>
        </w:rPr>
        <w:t xml:space="preserve">"LLMs can dynamically decompose complex orchestration pipelines into sub tasks, adaptively integrate heterogeneous tools, and iteratively refine outputs when errors occur"</w:t>
      </w:r>
      <w:r>
        <w:rPr>
          <w:rFonts w:ascii="Arial" w:cs="Arial" w:eastAsia="Arial" w:hAnsi="Arial"/>
          <w:b w:val="false"/>
          <w:bCs w:val="false"/>
          <w:i w:val="false"/>
          <w:iCs w:val="false"/>
          <w:sz w:val="22"/>
          <w:szCs w:val="22"/>
        </w:rPr>
        <w:t xml:space="preserve"> — already sketches in broad strokes the three characteristics of task decomposition, tool integration, and iterative refinement. Building on this framework, I was reminded of several concrete implementation patterns from current LLM research that seem to map naturally onto specific parts of it, and that can be read as one possible realization of that high-level description. I have organized these associations below, and would be curious whether they align with the directions you are actually pursuing.</w:t>
      </w:r>
    </w:p>
    <w:p>
      <w:pPr>
        <w:pStyle w:val="Heading2"/>
        <w:spacing w:after="160" w:before="280"/>
      </w:pPr>
      <w:r>
        <w:rPr>
          <w:rFonts w:ascii="Arial" w:cs="Arial" w:eastAsia="Arial" w:hAnsi="Arial"/>
          <w:b/>
          <w:bCs/>
          <w:sz w:val="28"/>
          <w:szCs w:val="28"/>
        </w:rPr>
        <w:t xml:space="preserve">1. Multi-Agent Framework</w:t>
      </w:r>
    </w:p>
    <w:p>
      <w:pPr>
        <w:spacing w:after="160" w:line="320"/>
        <w:jc w:val="both"/>
      </w:pPr>
      <w:r>
        <w:rPr>
          <w:rFonts w:ascii="Arial" w:cs="Arial" w:eastAsia="Arial" w:hAnsi="Arial"/>
          <w:b w:val="false"/>
          <w:bCs w:val="false"/>
          <w:i w:val="false"/>
          <w:iCs w:val="false"/>
          <w:sz w:val="22"/>
          <w:szCs w:val="22"/>
        </w:rPr>
        <w:t xml:space="preserve">The plural "Fine-tuned models" drawn in the middle of Fig. 3, together with the sentence in Section V.C — </w:t>
      </w:r>
      <w:r>
        <w:rPr>
          <w:rFonts w:ascii="Arial" w:cs="Arial" w:eastAsia="Arial" w:hAnsi="Arial"/>
          <w:b w:val="false"/>
          <w:bCs w:val="false"/>
          <w:i/>
          <w:iCs/>
          <w:sz w:val="22"/>
          <w:szCs w:val="22"/>
        </w:rPr>
        <w:t xml:space="preserve">"It is highly unlikely that all stages of TSN orchestration can be solved by a single model. Some models may excel in specific stages but fail in others"</w:t>
      </w:r>
      <w:r>
        <w:rPr>
          <w:rFonts w:ascii="Arial" w:cs="Arial" w:eastAsia="Arial" w:hAnsi="Arial"/>
          <w:b w:val="false"/>
          <w:bCs w:val="false"/>
          <w:i w:val="false"/>
          <w:iCs w:val="false"/>
          <w:sz w:val="22"/>
          <w:szCs w:val="22"/>
        </w:rPr>
        <w:t xml:space="preserve"> — reminded me of the multi-agent paradigm that has become quite active in LLM research over the past two years. For example, TradingAgents decomposes financial decision-making into specialized roles (analyst, researcher, trader, risk manager), while AutoGen and LangGraph provide general-purpose multi-agent coordination frameworks. The 10 steps (A through J) described in the paper themselves carry a natural potential for role decomposition: Step B could be viewed as an Architect Agent, Step C as a TTA Agent (which can directly wrap TTASelector), Step E as a Verifier Agent (wrapping the NC tool), and Step F as a Simulator-Bridge Agent.</w:t>
      </w:r>
    </w:p>
    <w:p>
      <w:pPr>
        <w:spacing w:after="160" w:line="320"/>
        <w:jc w:val="both"/>
      </w:pPr>
      <w:r>
        <w:rPr>
          <w:rFonts w:ascii="Arial" w:cs="Arial" w:eastAsia="Arial" w:hAnsi="Arial"/>
          <w:b w:val="false"/>
          <w:bCs w:val="false"/>
          <w:i w:val="false"/>
          <w:iCs w:val="false"/>
          <w:sz w:val="22"/>
          <w:szCs w:val="22"/>
        </w:rPr>
        <w:t xml:space="preserve">That said, the paper does not explicitly state whether these "fine-tuned models" cooperate, run in parallel, or are sequential invocations of the same model. It is worth noting that the case study in Section V cannot be used to answer this question — its experimental design merges Steps B–F into a single prompt and runs each of 10 off-the-shelf models independently for horizontal comparison, which is parallel benchmarking rather than a sequential agent chain. What does support the "sequential" reading is the sentence at the end of Section III: </w:t>
      </w:r>
      <w:r>
        <w:rPr>
          <w:rFonts w:ascii="Arial" w:cs="Arial" w:eastAsia="Arial" w:hAnsi="Arial"/>
          <w:b w:val="false"/>
          <w:bCs w:val="false"/>
          <w:i/>
          <w:iCs/>
          <w:sz w:val="22"/>
          <w:szCs w:val="22"/>
        </w:rPr>
        <w:t xml:space="preserve">"this article provides a sequential orchestration workflow in which each block builds on the previous one"</w:t>
      </w:r>
      <w:r>
        <w:rPr>
          <w:rFonts w:ascii="Arial" w:cs="Arial" w:eastAsia="Arial" w:hAnsi="Arial"/>
          <w:b w:val="false"/>
          <w:bCs w:val="false"/>
          <w:i w:val="false"/>
          <w:iCs w:val="false"/>
          <w:sz w:val="22"/>
          <w:szCs w:val="22"/>
        </w:rPr>
        <w:t xml:space="preserve">. My own inclination is that the steps proceed sequentially, but that within certain individual steps better results can be obtained through parallel processing (see point 3 below) and in-step iterative optimization (see point 4 below). The phrase in Section I.A — </w:t>
      </w:r>
      <w:r>
        <w:rPr>
          <w:rFonts w:ascii="Arial" w:cs="Arial" w:eastAsia="Arial" w:hAnsi="Arial"/>
          <w:b w:val="false"/>
          <w:bCs w:val="false"/>
          <w:i/>
          <w:iCs/>
          <w:sz w:val="22"/>
          <w:szCs w:val="22"/>
        </w:rPr>
        <w:t xml:space="preserve">"An LLM may participate in some or all of these steps, depending on the level of automation desired"</w:t>
      </w:r>
      <w:r>
        <w:rPr>
          <w:rFonts w:ascii="Arial" w:cs="Arial" w:eastAsia="Arial" w:hAnsi="Arial"/>
          <w:b w:val="false"/>
          <w:bCs w:val="false"/>
          <w:i w:val="false"/>
          <w:iCs w:val="false"/>
          <w:sz w:val="22"/>
          <w:szCs w:val="22"/>
        </w:rPr>
        <w:t xml:space="preserve"> — also leaves room for multi-agent design: not every step needs to be handled by an LLM.</w:t>
      </w:r>
    </w:p>
    <w:p>
      <w:pPr>
        <w:pStyle w:val="Heading2"/>
        <w:spacing w:after="160" w:before="280"/>
      </w:pPr>
      <w:r>
        <w:rPr>
          <w:rFonts w:ascii="Arial" w:cs="Arial" w:eastAsia="Arial" w:hAnsi="Arial"/>
          <w:b/>
          <w:bCs/>
          <w:sz w:val="28"/>
          <w:szCs w:val="28"/>
        </w:rPr>
        <w:t xml:space="preserve">2. Workflow Toolchain</w:t>
      </w:r>
    </w:p>
    <w:p>
      <w:pPr>
        <w:spacing w:after="160" w:line="320"/>
        <w:jc w:val="both"/>
      </w:pPr>
      <w:r>
        <w:rPr>
          <w:rFonts w:ascii="Arial" w:cs="Arial" w:eastAsia="Arial" w:hAnsi="Arial"/>
          <w:b w:val="false"/>
          <w:bCs w:val="false"/>
          <w:i w:val="false"/>
          <w:iCs w:val="false"/>
          <w:sz w:val="22"/>
          <w:szCs w:val="22"/>
        </w:rPr>
        <w:t xml:space="preserve">In Section IV.C you state explicitly that </w:t>
      </w:r>
      <w:r>
        <w:rPr>
          <w:rFonts w:ascii="Arial" w:cs="Arial" w:eastAsia="Arial" w:hAnsi="Arial"/>
          <w:b w:val="false"/>
          <w:bCs w:val="false"/>
          <w:i/>
          <w:iCs/>
          <w:sz w:val="22"/>
          <w:szCs w:val="22"/>
        </w:rPr>
        <w:t xml:space="preserve">"tasks such as GCL generation, network configuration, schedulability analysis, WCD calculation, and TTA should be handled by external tools"</w:t>
      </w:r>
      <w:r>
        <w:rPr>
          <w:rFonts w:ascii="Arial" w:cs="Arial" w:eastAsia="Arial" w:hAnsi="Arial"/>
          <w:b w:val="false"/>
          <w:bCs w:val="false"/>
          <w:i w:val="false"/>
          <w:iCs w:val="false"/>
          <w:sz w:val="22"/>
          <w:szCs w:val="22"/>
        </w:rPr>
        <w:t xml:space="preserve"> and that </w:t>
      </w:r>
      <w:r>
        <w:rPr>
          <w:rFonts w:ascii="Arial" w:cs="Arial" w:eastAsia="Arial" w:hAnsi="Arial"/>
          <w:b w:val="false"/>
          <w:bCs w:val="false"/>
          <w:i/>
          <w:iCs/>
          <w:sz w:val="22"/>
          <w:szCs w:val="22"/>
        </w:rPr>
        <w:t xml:space="preserve">"For performance evaluation, external simulators such as OMNeT++ and NS-3 are required"</w:t>
      </w:r>
      <w:r>
        <w:rPr>
          <w:rFonts w:ascii="Arial" w:cs="Arial" w:eastAsia="Arial" w:hAnsi="Arial"/>
          <w:b w:val="false"/>
          <w:bCs w:val="false"/>
          <w:i w:val="false"/>
          <w:iCs w:val="false"/>
          <w:sz w:val="22"/>
          <w:szCs w:val="22"/>
        </w:rPr>
        <w:t xml:space="preserve"> — but the paper does not specify which concrete mechanism is to be used to bind the LLM to these external tools. This brought to mind several standard LLM-tool integration patterns currently used in industry: native function calling from OpenAI/Anthropic, the Agent + Tool framework in LangChain, and the MCP (Model Context Protocol) released by Anthropic in 2024. Applied to your paper, each external tool (NC tool, TTA solver, OMNeT++ runner, GCL synthesizer) could be wrapped as an LLM-callable function, with the orchestrator deciding through a ReAct (Reason → Act → Observe) loop when to call it, with what arguments, and how to interpret the return value — forming an end-to-end toolchain. This is consistent in spirit with the vision in Section IV.C, but goes one level deeper into "which protocol stitches the LLM and the tools together."</w:t>
      </w:r>
    </w:p>
    <w:p>
      <w:pPr>
        <w:spacing w:after="160" w:line="320"/>
        <w:jc w:val="both"/>
      </w:pPr>
      <w:r>
        <w:rPr>
          <w:rFonts w:ascii="Arial" w:cs="Arial" w:eastAsia="Arial" w:hAnsi="Arial"/>
          <w:b w:val="false"/>
          <w:bCs w:val="false"/>
          <w:i w:val="false"/>
          <w:iCs w:val="false"/>
          <w:sz w:val="22"/>
          <w:szCs w:val="22"/>
        </w:rPr>
        <w:t xml:space="preserve">One detail here is worth elaborating: the granularity at which functions are wrapped. Taking TTASelector as an example, its internal reward computation depends on NetCal to compute the AVB WCD ([2], Fig. 1 + Algorithm 1 line 11), so from the LLM orchestrator's perspective there are at least two wrapping options: (a) treat TTASelector as a black-box function whose single invocation implicitly contains the NetCal sub-call; or (b) flatten TTASelector and NetCal into two parallel functions and let the LLM itself orchestrate the call order. The former is more LLM-friendly (one call resolves an entire stage), while the latter is more fine-grained (the LLM gains direct access to intermediate results). This choice of wrapping granularity is a detail not discussed in Section IV.C.</w:t>
      </w:r>
    </w:p>
    <w:p>
      <w:pPr>
        <w:pStyle w:val="Heading2"/>
        <w:spacing w:after="160" w:before="280"/>
      </w:pPr>
      <w:r>
        <w:rPr>
          <w:rFonts w:ascii="Arial" w:cs="Arial" w:eastAsia="Arial" w:hAnsi="Arial"/>
          <w:b/>
          <w:bCs/>
          <w:sz w:val="28"/>
          <w:szCs w:val="28"/>
        </w:rPr>
        <w:t xml:space="preserve">3. Aggregator-based Parallel Specialists (Parallel Multi-Agent Algorithm Selection in Steps C and D)</w:t>
      </w:r>
    </w:p>
    <w:p>
      <w:pPr>
        <w:spacing w:after="160" w:line="320"/>
        <w:jc w:val="both"/>
      </w:pPr>
      <w:r>
        <w:rPr>
          <w:rFonts w:ascii="Arial" w:cs="Arial" w:eastAsia="Arial" w:hAnsi="Arial"/>
          <w:b w:val="false"/>
          <w:bCs w:val="false"/>
          <w:i w:val="false"/>
          <w:iCs w:val="false"/>
          <w:sz w:val="22"/>
          <w:szCs w:val="22"/>
        </w:rPr>
        <w:t xml:space="preserve">In Section III.D you write explicitly that </w:t>
      </w:r>
      <w:r>
        <w:rPr>
          <w:rFonts w:ascii="Arial" w:cs="Arial" w:eastAsia="Arial" w:hAnsi="Arial"/>
          <w:b w:val="false"/>
          <w:bCs w:val="false"/>
          <w:i/>
          <w:iCs/>
          <w:sz w:val="22"/>
          <w:szCs w:val="22"/>
        </w:rPr>
        <w:t xml:space="preserve">"the LLM will automate the algorithm selection (from a bunch of existing algorithms), input preparation, and iterative refinement"</w:t>
      </w:r>
      <w:r>
        <w:rPr>
          <w:rFonts w:ascii="Arial" w:cs="Arial" w:eastAsia="Arial" w:hAnsi="Arial"/>
          <w:b w:val="false"/>
          <w:bCs w:val="false"/>
          <w:i w:val="false"/>
          <w:iCs w:val="false"/>
          <w:sz w:val="22"/>
          <w:szCs w:val="22"/>
        </w:rPr>
        <w:t xml:space="preserve">, with no implication of parallel multi-agent comparison. The following is therefore an extension I am proposing:</w:t>
      </w:r>
    </w:p>
    <w:p>
      <w:pPr>
        <w:spacing w:after="160" w:line="320"/>
        <w:jc w:val="both"/>
      </w:pPr>
      <w:r>
        <w:rPr>
          <w:rFonts w:ascii="Arial" w:cs="Arial" w:eastAsia="Arial" w:hAnsi="Arial"/>
          <w:b w:val="false"/>
          <w:bCs w:val="false"/>
          <w:i w:val="false"/>
          <w:iCs w:val="false"/>
          <w:sz w:val="22"/>
          <w:szCs w:val="22"/>
        </w:rPr>
        <w:t xml:space="preserve">Make Steps C and D internally multi-agent and parallel — run several specialist agents simultaneously, each proposing a solution based on the algorithm it specializes in (potentially with its own internal self-iteration), and then have an Aggregator agent compare the candidates along axes such as schedulability, complexity, and resource utilization, and pick the best to hand to the next step. This is essentially a TradingAgents-style Map-Reduce pattern embedded inside one stage of a sequential pipeline — it preserves the sequential backbone of the paper while increasing in-stage exploration depth at the most NP-hard stages.</w:t>
      </w:r>
    </w:p>
    <w:p>
      <w:pPr>
        <w:spacing w:after="160" w:line="320"/>
        <w:jc w:val="both"/>
      </w:pPr>
      <w:r>
        <w:rPr>
          <w:rFonts w:ascii="Arial" w:cs="Arial" w:eastAsia="Arial" w:hAnsi="Arial"/>
          <w:b w:val="false"/>
          <w:bCs w:val="false"/>
          <w:i w:val="false"/>
          <w:iCs w:val="false"/>
          <w:sz w:val="22"/>
          <w:szCs w:val="22"/>
        </w:rPr>
        <w:t xml:space="preserve">After reading [2], I realized that Step C already has two ready-made specialists that can be combined directly: the Tabu Search-based metaheuristic by Gavriluț &amp; Pop, and the PPO-based TTASelector from [2]. [2] also provides a set of hard numbers that support the value of such an Aggregator design — on the Orion CEV test case, TTASelector trades ~2.7 percentage points of SRT utility (95.98% vs. 98.68%) for 100% HRT and a ~15,000× runtime speedup (3 seconds vs. 12h30m), whereas Tabu Search wins slightly on SRT utility. When the system is sensitive to HRT guarantees and response time, DRL is preferable; when SRT QoS is the primary goal and offline computation is acceptable, the metaheuristic is preferable — the optimal point of this trade-off varies across deployment scenarios, and any fixed single-algorithm choice will sacrifice one side. An Aggregator can dynamically choose based on a user-supplied priority weighting. (Note: the paper only compares the two algorithms on the Orion case; whether the trade-off is correlated with network size requires more experimental validation.)</w:t>
      </w:r>
    </w:p>
    <w:p>
      <w:pPr>
        <w:spacing w:after="160" w:line="320"/>
        <w:jc w:val="both"/>
      </w:pPr>
      <w:r>
        <w:rPr>
          <w:rFonts w:ascii="Arial" w:cs="Arial" w:eastAsia="Arial" w:hAnsi="Arial"/>
          <w:b w:val="false"/>
          <w:bCs w:val="false"/>
          <w:i w:val="false"/>
          <w:iCs w:val="false"/>
          <w:sz w:val="22"/>
          <w:szCs w:val="22"/>
        </w:rPr>
        <w:t xml:space="preserve">Step D (GCL/scheduling synthesis) is amenable to the same pattern — one could run heuristic, DRL-based, and SMT-based specialists in parallel — but unlike Step C, there are currently no ready-made comparison numbers between two specific algorithms. The cost of this approach is higher response time and greater token consumption: combined with the numbers in your Section V.B (a single GPT-5 run already costs $0.742 and 77k tokens), running parallel multi-agents a few times inside Steps C/D could easily cost several times that, which is a trade-off worth flagging.</w:t>
      </w:r>
    </w:p>
    <w:p>
      <w:pPr>
        <w:pStyle w:val="Heading2"/>
        <w:spacing w:after="160" w:before="280"/>
      </w:pPr>
      <w:r>
        <w:rPr>
          <w:rFonts w:ascii="Arial" w:cs="Arial" w:eastAsia="Arial" w:hAnsi="Arial"/>
          <w:b/>
          <w:bCs/>
          <w:sz w:val="28"/>
          <w:szCs w:val="28"/>
        </w:rPr>
        <w:t xml:space="preserve">4. Iterative Self-Refinement (Autonomous Iterative Evaluation and Optimization)</w:t>
      </w:r>
    </w:p>
    <w:p>
      <w:pPr>
        <w:spacing w:after="160" w:line="320"/>
        <w:jc w:val="both"/>
      </w:pPr>
      <w:r>
        <w:rPr>
          <w:rFonts w:ascii="Arial" w:cs="Arial" w:eastAsia="Arial" w:hAnsi="Arial"/>
          <w:b w:val="false"/>
          <w:bCs w:val="false"/>
          <w:i w:val="false"/>
          <w:iCs w:val="false"/>
          <w:sz w:val="22"/>
          <w:szCs w:val="22"/>
        </w:rPr>
        <w:t xml:space="preserve">Section III.B mentions </w:t>
      </w:r>
      <w:r>
        <w:rPr>
          <w:rFonts w:ascii="Arial" w:cs="Arial" w:eastAsia="Arial" w:hAnsi="Arial"/>
          <w:b w:val="false"/>
          <w:bCs w:val="false"/>
          <w:i/>
          <w:iCs/>
          <w:sz w:val="22"/>
          <w:szCs w:val="22"/>
        </w:rPr>
        <w:t xml:space="preserve">"The model iterates over candidate designs, refining choices using validation feedback"</w:t>
      </w:r>
      <w:r>
        <w:rPr>
          <w:rFonts w:ascii="Arial" w:cs="Arial" w:eastAsia="Arial" w:hAnsi="Arial"/>
          <w:b w:val="false"/>
          <w:bCs w:val="false"/>
          <w:i w:val="false"/>
          <w:iCs w:val="false"/>
          <w:sz w:val="22"/>
          <w:szCs w:val="22"/>
        </w:rPr>
        <w:t xml:space="preserve">, and Section III.C mentions </w:t>
      </w:r>
      <w:r>
        <w:rPr>
          <w:rFonts w:ascii="Arial" w:cs="Arial" w:eastAsia="Arial" w:hAnsi="Arial"/>
          <w:b w:val="false"/>
          <w:bCs w:val="false"/>
          <w:i/>
          <w:iCs/>
          <w:sz w:val="22"/>
          <w:szCs w:val="22"/>
        </w:rPr>
        <w:t xml:space="preserve">"An efficient model should iteratively refine the traffic type and priority assignment through schedulability and simulation-based performance analysis"</w:t>
      </w:r>
      <w:r>
        <w:rPr>
          <w:rFonts w:ascii="Arial" w:cs="Arial" w:eastAsia="Arial" w:hAnsi="Arial"/>
          <w:b w:val="false"/>
          <w:bCs w:val="false"/>
          <w:i w:val="false"/>
          <w:iCs w:val="false"/>
          <w:sz w:val="22"/>
          <w:szCs w:val="22"/>
        </w:rPr>
        <w:t xml:space="preserve"> — iterative refinement is a recurring keyword throughout the paper, but the specific technique used to implement the iteration is not made explicit. Several mature paradigms in current LLM research may correspond to what you have in mind: Self-Refine (Madaan et al., 2023) is an in-model generate → critique → refine self-correction loop; Reflexion (Shinn et al., 2023) writes the "lessons" from each failed round into persistent memory for later use; TextGrad (Yuksekgonul et al., Stanford, 2024) treats textual critique as a "natural-language gradient" and back-propagates it into upstream prompts. None of these requires fine-tuning; they rely primarily on prompting and architecture for autonomous iteration — low cost, fast to deploy — and may be plausible candidates at the implementation layer for the "iteratively refine" referenced in your paper.</w:t>
      </w:r>
    </w:p>
    <w:p>
      <w:pPr>
        <w:pStyle w:val="Heading2"/>
        <w:spacing w:after="160" w:before="280"/>
      </w:pPr>
      <w:r>
        <w:rPr>
          <w:rFonts w:ascii="Arial" w:cs="Arial" w:eastAsia="Arial" w:hAnsi="Arial"/>
          <w:b/>
          <w:bCs/>
          <w:sz w:val="28"/>
          <w:szCs w:val="28"/>
        </w:rPr>
        <w:t xml:space="preserve">5. Multi-Layer Conditional Feedback Topology</w:t>
      </w:r>
    </w:p>
    <w:p>
      <w:pPr>
        <w:spacing w:after="160" w:line="320"/>
        <w:jc w:val="both"/>
      </w:pPr>
      <w:r>
        <w:rPr>
          <w:rFonts w:ascii="Arial" w:cs="Arial" w:eastAsia="Arial" w:hAnsi="Arial"/>
          <w:b w:val="false"/>
          <w:bCs w:val="false"/>
          <w:i w:val="false"/>
          <w:iCs w:val="false"/>
          <w:sz w:val="22"/>
          <w:szCs w:val="22"/>
        </w:rPr>
        <w:t xml:space="preserve">On a careful re-reading of your Section III, I noticed that you actually describe three distinct feedback modes — though the paper itself does not identify them as "three different feedback modes." The categorization below is a second-order abstraction of mine:</w:t>
      </w:r>
    </w:p>
    <w:p>
      <w:pPr>
        <w:spacing w:after="160" w:line="320"/>
        <w:jc w:val="both"/>
      </w:pPr>
      <w:r>
        <w:rPr>
          <w:rFonts w:ascii="Arial" w:cs="Arial" w:eastAsia="Arial" w:hAnsi="Arial"/>
          <w:b w:val="false"/>
          <w:bCs w:val="false"/>
          <w:i w:val="false"/>
          <w:iCs w:val="false"/>
          <w:sz w:val="22"/>
          <w:szCs w:val="22"/>
        </w:rPr>
        <w:t xml:space="preserve">(1) </w:t>
      </w:r>
      <w:r>
        <w:rPr>
          <w:rFonts w:ascii="Arial" w:cs="Arial" w:eastAsia="Arial" w:hAnsi="Arial"/>
          <w:b/>
          <w:bCs/>
          <w:i w:val="false"/>
          <w:iCs w:val="false"/>
          <w:sz w:val="22"/>
          <w:szCs w:val="22"/>
        </w:rPr>
        <w:t xml:space="preserve">Stage-internal refinement</w:t>
      </w:r>
      <w:r>
        <w:rPr>
          <w:rFonts w:ascii="Arial" w:cs="Arial" w:eastAsia="Arial" w:hAnsi="Arial"/>
          <w:b w:val="false"/>
          <w:bCs w:val="false"/>
          <w:i w:val="false"/>
          <w:iCs w:val="false"/>
          <w:sz w:val="22"/>
          <w:szCs w:val="22"/>
        </w:rPr>
        <w:t xml:space="preserve"> — Section III.B's "iterates over candidate designs," Section III.D's "iterative refinement," and Section III.F's "self-checks to evaluate syntax errors" are all multi-round iterations inside a single stage, not crossing steps.</w:t>
      </w:r>
    </w:p>
    <w:p>
      <w:pPr>
        <w:spacing w:after="160" w:line="320"/>
        <w:jc w:val="both"/>
      </w:pPr>
      <w:r>
        <w:rPr>
          <w:rFonts w:ascii="Arial" w:cs="Arial" w:eastAsia="Arial" w:hAnsi="Arial"/>
          <w:b w:val="false"/>
          <w:bCs w:val="false"/>
          <w:i w:val="false"/>
          <w:iCs w:val="false"/>
          <w:sz w:val="22"/>
          <w:szCs w:val="22"/>
        </w:rPr>
        <w:t xml:space="preserve">(2) </w:t>
      </w:r>
      <w:r>
        <w:rPr>
          <w:rFonts w:ascii="Arial" w:cs="Arial" w:eastAsia="Arial" w:hAnsi="Arial"/>
          <w:b/>
          <w:bCs/>
          <w:i w:val="false"/>
          <w:iCs w:val="false"/>
          <w:sz w:val="22"/>
          <w:szCs w:val="22"/>
        </w:rPr>
        <w:t xml:space="preserve">Cross-stage targeted backward edges</w:t>
      </w:r>
      <w:r>
        <w:rPr>
          <w:rFonts w:ascii="Arial" w:cs="Arial" w:eastAsia="Arial" w:hAnsi="Arial"/>
          <w:b w:val="false"/>
          <w:bCs w:val="false"/>
          <w:i w:val="false"/>
          <w:iCs w:val="false"/>
          <w:sz w:val="22"/>
          <w:szCs w:val="22"/>
        </w:rPr>
        <w:t xml:space="preserve"> — Section III.E explicitly writes </w:t>
      </w:r>
      <w:r>
        <w:rPr>
          <w:rFonts w:ascii="Arial" w:cs="Arial" w:eastAsia="Arial" w:hAnsi="Arial"/>
          <w:b w:val="false"/>
          <w:bCs w:val="false"/>
          <w:i/>
          <w:iCs/>
          <w:sz w:val="22"/>
          <w:szCs w:val="22"/>
        </w:rPr>
        <w:t xml:space="preserve">"the LLM feeds the results back into the traffic type and priority configuration for further refinement"</w:t>
      </w:r>
      <w:r>
        <w:rPr>
          <w:rFonts w:ascii="Arial" w:cs="Arial" w:eastAsia="Arial" w:hAnsi="Arial"/>
          <w:b w:val="false"/>
          <w:bCs w:val="false"/>
          <w:i w:val="false"/>
          <w:iCs w:val="false"/>
          <w:sz w:val="22"/>
          <w:szCs w:val="22"/>
        </w:rPr>
        <w:t xml:space="preserve">, and the end of Section III writes </w:t>
      </w:r>
      <w:r>
        <w:rPr>
          <w:rFonts w:ascii="Arial" w:cs="Arial" w:eastAsia="Arial" w:hAnsi="Arial"/>
          <w:b w:val="false"/>
          <w:bCs w:val="false"/>
          <w:i/>
          <w:iCs/>
          <w:sz w:val="22"/>
          <w:szCs w:val="22"/>
        </w:rPr>
        <w:t xml:space="preserve">"results from the schedulability and simulation stages feed back into earlier decisions"</w:t>
      </w:r>
      <w:r>
        <w:rPr>
          <w:rFonts w:ascii="Arial" w:cs="Arial" w:eastAsia="Arial" w:hAnsi="Arial"/>
          <w:b w:val="false"/>
          <w:bCs w:val="false"/>
          <w:i w:val="false"/>
          <w:iCs w:val="false"/>
          <w:sz w:val="22"/>
          <w:szCs w:val="22"/>
        </w:rPr>
        <w:t xml:space="preserve">. The key phrase is "earlier decisions" (plural + specific), not "the beginning" — meaning that what you describe is targeted feedback from a specific downstream stage to a specific upstream stage, not a restart of the whole pipeline from scratch. For instance, a failure at E → return to C to revise the TTA; a failure at G → possibly return to D to revise the GCL, or further upstream to B to revise the architecture.</w:t>
      </w:r>
    </w:p>
    <w:p>
      <w:pPr>
        <w:spacing w:after="160" w:line="320"/>
        <w:jc w:val="both"/>
      </w:pPr>
      <w:r>
        <w:rPr>
          <w:rFonts w:ascii="Arial" w:cs="Arial" w:eastAsia="Arial" w:hAnsi="Arial"/>
          <w:b w:val="false"/>
          <w:bCs w:val="false"/>
          <w:i w:val="false"/>
          <w:iCs w:val="false"/>
          <w:sz w:val="22"/>
          <w:szCs w:val="22"/>
        </w:rPr>
        <w:t xml:space="preserve">(3) </w:t>
      </w:r>
      <w:r>
        <w:rPr>
          <w:rFonts w:ascii="Arial" w:cs="Arial" w:eastAsia="Arial" w:hAnsi="Arial"/>
          <w:b/>
          <w:bCs/>
          <w:i w:val="false"/>
          <w:iCs w:val="false"/>
          <w:sz w:val="22"/>
          <w:szCs w:val="22"/>
        </w:rPr>
        <w:t xml:space="preserve">Runtime re-optimization</w:t>
      </w:r>
      <w:r>
        <w:rPr>
          <w:rFonts w:ascii="Arial" w:cs="Arial" w:eastAsia="Arial" w:hAnsi="Arial"/>
          <w:b w:val="false"/>
          <w:bCs w:val="false"/>
          <w:i w:val="false"/>
          <w:iCs w:val="false"/>
          <w:sz w:val="22"/>
          <w:szCs w:val="22"/>
        </w:rPr>
        <w:t xml:space="preserve"> — the </w:t>
      </w:r>
      <w:r>
        <w:rPr>
          <w:rFonts w:ascii="Arial" w:cs="Arial" w:eastAsia="Arial" w:hAnsi="Arial"/>
          <w:b w:val="false"/>
          <w:bCs w:val="false"/>
          <w:i/>
          <w:iCs/>
          <w:sz w:val="22"/>
          <w:szCs w:val="22"/>
        </w:rPr>
        <w:t xml:space="preserve">"re-optimize and reconfigure networks in response to topology or flow changes"</w:t>
      </w:r>
      <w:r>
        <w:rPr>
          <w:rFonts w:ascii="Arial" w:cs="Arial" w:eastAsia="Arial" w:hAnsi="Arial"/>
          <w:b w:val="false"/>
          <w:bCs w:val="false"/>
          <w:i w:val="false"/>
          <w:iCs w:val="false"/>
          <w:sz w:val="22"/>
          <w:szCs w:val="22"/>
        </w:rPr>
        <w:t xml:space="preserve"> mentioned in Section IV.A is post-deployment reconfiguration, operating on a timescale completely different from the previous two.</w:t>
      </w:r>
    </w:p>
    <w:p>
      <w:pPr>
        <w:spacing w:after="160" w:line="320"/>
        <w:jc w:val="both"/>
      </w:pPr>
      <w:r>
        <w:rPr>
          <w:rFonts w:ascii="Arial" w:cs="Arial" w:eastAsia="Arial" w:hAnsi="Arial"/>
          <w:b w:val="false"/>
          <w:bCs w:val="false"/>
          <w:i w:val="false"/>
          <w:iCs w:val="false"/>
          <w:sz w:val="22"/>
          <w:szCs w:val="22"/>
        </w:rPr>
        <w:t xml:space="preserve">The corresponding implementation that came to mind is a multi-layer conditional feedback topology in which the three layers form a cost gradient:</w:t>
      </w:r>
    </w:p>
    <w:p>
      <w:pPr>
        <w:spacing w:after="160" w:line="320"/>
        <w:jc w:val="both"/>
      </w:pPr>
      <w:r>
        <w:rPr>
          <w:rFonts w:ascii="Arial" w:cs="Arial" w:eastAsia="Arial" w:hAnsi="Arial"/>
          <w:b/>
          <w:bCs/>
          <w:i w:val="false"/>
          <w:iCs w:val="false"/>
          <w:sz w:val="22"/>
          <w:szCs w:val="22"/>
        </w:rPr>
        <w:t xml:space="preserve">Layer 1 (lowest cost, highest frequency): Stage-internal Self-Refine</w:t>
      </w:r>
      <w:r>
        <w:rPr>
          <w:rFonts w:ascii="Arial" w:cs="Arial" w:eastAsia="Arial" w:hAnsi="Arial"/>
          <w:b w:val="false"/>
          <w:bCs w:val="false"/>
          <w:i w:val="false"/>
          <w:iCs w:val="false"/>
          <w:sz w:val="22"/>
          <w:szCs w:val="22"/>
        </w:rPr>
        <w:t xml:space="preserve"> — each agent runs multi-round generate → critique → refine internally (e.g., the Architect Agent self-evaluates several candidate architectures until satisfied; the OMNeT++ Bridge Agent uses an LLM to check the syntax of its own generated .ned/.ini). This layer is a direct application of the Self-Refine pattern.</w:t>
      </w:r>
    </w:p>
    <w:p>
      <w:pPr>
        <w:spacing w:after="160" w:line="320"/>
        <w:jc w:val="both"/>
      </w:pPr>
      <w:r>
        <w:rPr>
          <w:rFonts w:ascii="Arial" w:cs="Arial" w:eastAsia="Arial" w:hAnsi="Arial"/>
          <w:b/>
          <w:bCs/>
          <w:i w:val="false"/>
          <w:iCs w:val="false"/>
          <w:sz w:val="22"/>
          <w:szCs w:val="22"/>
        </w:rPr>
        <w:t xml:space="preserve">Layer 2 (medium cost, surgical): Cross-stage targeted backward edges + Diagnoser agent</w:t>
      </w:r>
      <w:r>
        <w:rPr>
          <w:rFonts w:ascii="Arial" w:cs="Arial" w:eastAsia="Arial" w:hAnsi="Arial"/>
          <w:b w:val="false"/>
          <w:bCs w:val="false"/>
          <w:i w:val="false"/>
          <w:iCs w:val="false"/>
          <w:sz w:val="22"/>
          <w:szCs w:val="22"/>
        </w:rPr>
        <w:t xml:space="preserve"> — when a stage fails, a Diagnoser agent identifies the root cause and decides which step to return to. For example, E reports "WCD exceeds deadline by 200µs" → Diagnoser analyzes "likely a GCL slot collision" → returns to D to revise the GCL; if the analysis is "the shaper combination is unsuitable for the burst pattern of this flow set" → returns to B to revise the architecture. Compared with restarting the whole pipeline, this kind of surgical backward edge can in principle reduce repeated computation by a factor of 10–100×, since only the problematic portion is redone.</w:t>
      </w:r>
    </w:p>
    <w:p>
      <w:pPr>
        <w:spacing w:after="160" w:line="320"/>
        <w:jc w:val="both"/>
      </w:pPr>
      <w:r>
        <w:rPr>
          <w:rFonts w:ascii="Arial" w:cs="Arial" w:eastAsia="Arial" w:hAnsi="Arial"/>
          <w:b/>
          <w:bCs/>
          <w:i w:val="false"/>
          <w:iCs w:val="false"/>
          <w:sz w:val="22"/>
          <w:szCs w:val="22"/>
        </w:rPr>
        <w:t xml:space="preserve">Layer 3 (highest cost, last resort): Full pipeline reset with Reflexion memory</w:t>
      </w:r>
      <w:r>
        <w:rPr>
          <w:rFonts w:ascii="Arial" w:cs="Arial" w:eastAsia="Arial" w:hAnsi="Arial"/>
          <w:b w:val="false"/>
          <w:bCs w:val="false"/>
          <w:i w:val="false"/>
          <w:iCs w:val="false"/>
          <w:sz w:val="22"/>
          <w:szCs w:val="22"/>
        </w:rPr>
        <w:t xml:space="preserve"> — for extreme cases in which neither of the previous two layers converges, the entire pipeline is restarted. But not from zero: paired with Reflexion-style persistent memory, past failing (architecture, TTA, GCL) combinations are recorded so that they are explicitly avoided on the next restart.</w:t>
      </w:r>
    </w:p>
    <w:p>
      <w:pPr>
        <w:spacing w:after="160" w:line="320"/>
        <w:jc w:val="both"/>
      </w:pPr>
      <w:r>
        <w:rPr>
          <w:rFonts w:ascii="Arial" w:cs="Arial" w:eastAsia="Arial" w:hAnsi="Arial"/>
          <w:b w:val="false"/>
          <w:bCs w:val="false"/>
          <w:i w:val="false"/>
          <w:iCs w:val="false"/>
          <w:sz w:val="22"/>
          <w:szCs w:val="22"/>
        </w:rPr>
        <w:t xml:space="preserve">This three-layer structure bears some resemblance to the "mini-batch SGD (inner) + epoch (outer)" two-level loop in deep-learning training, but with an additional middle layer — analogous to conditional skip connections in neural networks: the gradient does not necessarily flow all the way to the first layer, nor does it only update the current layer; instead, an LLM-driven Diagnoser routes it to the correct backward edge.</w:t>
      </w:r>
    </w:p>
    <w:p>
      <w:pPr>
        <w:spacing w:after="160" w:line="320"/>
        <w:jc w:val="both"/>
      </w:pPr>
      <w:r>
        <w:rPr>
          <w:rFonts w:ascii="Arial" w:cs="Arial" w:eastAsia="Arial" w:hAnsi="Arial"/>
          <w:b/>
          <w:bCs/>
          <w:i w:val="false"/>
          <w:iCs w:val="false"/>
          <w:sz w:val="22"/>
          <w:szCs w:val="22"/>
        </w:rPr>
        <w:t xml:space="preserve">[2] (TTASelector) actually exhibits a minimal but complete mixed Layer 1 + Layer 2 example, which can serve as a real-world reference for this abstract architecture:</w:t>
      </w:r>
    </w:p>
    <w:p>
      <w:pPr>
        <w:spacing w:after="160" w:line="320"/>
        <w:jc w:val="both"/>
      </w:pPr>
      <w:r>
        <w:rPr>
          <w:rFonts w:ascii="Arial" w:cs="Arial" w:eastAsia="Arial" w:hAnsi="Arial"/>
          <w:b/>
          <w:bCs/>
          <w:i w:val="false"/>
          <w:iCs w:val="false"/>
          <w:sz w:val="22"/>
          <w:szCs w:val="22"/>
        </w:rPr>
        <w:t xml:space="preserve">Layer 1 (stage-internal)</w:t>
      </w:r>
      <w:r>
        <w:rPr>
          <w:rFonts w:ascii="Arial" w:cs="Arial" w:eastAsia="Arial" w:hAnsi="Arial"/>
          <w:b w:val="false"/>
          <w:bCs w:val="false"/>
          <w:i w:val="false"/>
          <w:iCs w:val="false"/>
          <w:sz w:val="22"/>
          <w:szCs w:val="22"/>
        </w:rPr>
        <w:t xml:space="preserve">: Within a single episode the PPO agent runs generate (sample action) → reward → refine (policy update) on its own, for up to 900 steps × 1000 episodes, entirely within Step C.</w:t>
      </w:r>
    </w:p>
    <w:p>
      <w:pPr>
        <w:spacing w:after="160" w:line="320"/>
        <w:jc w:val="both"/>
      </w:pPr>
      <w:r>
        <w:rPr>
          <w:rFonts w:ascii="Arial" w:cs="Arial" w:eastAsia="Arial" w:hAnsi="Arial"/>
          <w:b/>
          <w:bCs/>
          <w:i w:val="false"/>
          <w:iCs w:val="false"/>
          <w:sz w:val="22"/>
          <w:szCs w:val="22"/>
        </w:rPr>
        <w:t xml:space="preserve">Layer 2 (cross-stage)</w:t>
      </w:r>
      <w:r>
        <w:rPr>
          <w:rFonts w:ascii="Arial" w:cs="Arial" w:eastAsia="Arial" w:hAnsi="Arial"/>
          <w:b w:val="false"/>
          <w:bCs w:val="false"/>
          <w:i w:val="false"/>
          <w:iCs w:val="false"/>
          <w:sz w:val="22"/>
          <w:szCs w:val="22"/>
        </w:rPr>
        <w:t xml:space="preserve">: At the end of each episode, TTASelector calls NetCal (Step E) to compute the AVB WCD, then uses the WCD to compute a utility that is fed back into the PPO reward — which is precisely the literal implementation of what Section III.E describes as </w:t>
      </w:r>
      <w:r>
        <w:rPr>
          <w:rFonts w:ascii="Arial" w:cs="Arial" w:eastAsia="Arial" w:hAnsi="Arial"/>
          <w:b w:val="false"/>
          <w:bCs w:val="false"/>
          <w:i/>
          <w:iCs/>
          <w:sz w:val="22"/>
          <w:szCs w:val="22"/>
        </w:rPr>
        <w:t xml:space="preserve">"feeds the results back into the traffic type and priority configuration"</w:t>
      </w:r>
      <w:r>
        <w:rPr>
          <w:rFonts w:ascii="Arial" w:cs="Arial" w:eastAsia="Arial" w:hAnsi="Arial"/>
          <w:b w:val="false"/>
          <w:bCs w:val="false"/>
          <w:i w:val="false"/>
          <w:iCs w:val="false"/>
          <w:sz w:val="22"/>
          <w:szCs w:val="22"/>
        </w:rPr>
        <w:t xml:space="preserve">.</w:t>
      </w:r>
    </w:p>
    <w:p>
      <w:pPr>
        <w:spacing w:after="160" w:line="320"/>
        <w:jc w:val="both"/>
      </w:pPr>
      <w:r>
        <w:rPr>
          <w:rFonts w:ascii="Arial" w:cs="Arial" w:eastAsia="Arial" w:hAnsi="Arial"/>
          <w:b w:val="false"/>
          <w:bCs w:val="false"/>
          <w:i w:val="false"/>
          <w:iCs w:val="false"/>
          <w:sz w:val="22"/>
          <w:szCs w:val="22"/>
        </w:rPr>
        <w:t xml:space="preserve">But [2] also clearly exposes a key limitation, which conversely argues for the necessity of a Diagnoser in a larger pipeline: TTASelector's Layer 2 feedback is single and directed (only one edge, E → C), and the routing is hard-coded — no Diagnoser is needed to choose where to return to, because there is only one backward edge to begin with. In a simple 2-stage subsystem, hard-coded feedback is sufficient; but Fig. 3 of the LLM paper is a 10-stage complex pipeline, in which the number of meaningful backward edges grows super-linearly with pipeline depth — and it is in this setting that the routing value of an LLM-driven Diagnoser becomes apparent.</w:t>
      </w:r>
    </w:p>
    <w:p>
      <w:pPr>
        <w:spacing w:after="160" w:line="320"/>
        <w:jc w:val="both"/>
      </w:pPr>
      <w:r>
        <w:rPr>
          <w:rFonts w:ascii="Arial" w:cs="Arial" w:eastAsia="Arial" w:hAnsi="Arial"/>
          <w:b w:val="false"/>
          <w:bCs w:val="false"/>
          <w:i w:val="false"/>
          <w:iCs w:val="false"/>
          <w:sz w:val="22"/>
          <w:szCs w:val="22"/>
        </w:rPr>
        <w:t xml:space="preserve">Algorithm 1's InitialSolution in [2] also provides an engineering detail that was not discussed in your Section III: iterative refinement requires a bootstrap initial solution. TTASelector uses a naive approach (HRT→TT, SRT→AVB) as TTA₀ to start the first NetCal call — otherwise NetCal has no input, the reward cannot be computed, and PPO training cannot start. Generalizing this point to your multi-layer feedback design: every stage with a feedback loop needs a cold-start strategy, otherwise the first cross-stage call at Layer 2 has no upstream input.</w:t>
      </w:r>
    </w:p>
    <w:p>
      <w:pPr>
        <w:spacing w:after="160" w:line="320"/>
        <w:jc w:val="both"/>
      </w:pPr>
      <w:r>
        <w:rPr>
          <w:rFonts w:ascii="Arial" w:cs="Arial" w:eastAsia="Arial" w:hAnsi="Arial"/>
          <w:b w:val="false"/>
          <w:bCs w:val="false"/>
          <w:i w:val="false"/>
          <w:iCs w:val="false"/>
          <w:sz w:val="22"/>
          <w:szCs w:val="22"/>
        </w:rPr>
        <w:t xml:space="preserve">The Diagnoser agent component itself is a preliminary idea of mine. Its difficulty lies not only in "accurately diagnosing the root cause," but also in the fact that it requires domain-specific judgment about the causal chains between TSN stages (e.g., knowing under what conditions "WCD exceeds deadline" is a GCL problem, under what conditions it is a shaper-choice problem, and under what conditions it is a TTA problem) — which couples tightly with the missing "TSN datasets" you list as a challenge in Section IV.B: for the Diagnoser to do well, it would have to rely on sufficient (failure → root cause) training data, which is precisely the scarce resource in the current TSN domain that the paper points 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2026-05-16T21:35:48.037Z</dcterms:created>
  <dcterms:modified xsi:type="dcterms:W3CDTF">2026-05-16T21:35:48.056Z</dcterms:modified>
</cp:coreProperties>
</file>

<file path=docProps/custom.xml><?xml version="1.0" encoding="utf-8"?>
<Properties xmlns="http://schemas.openxmlformats.org/officeDocument/2006/custom-properties" xmlns:vt="http://schemas.openxmlformats.org/officeDocument/2006/docPropsVTypes"/>
</file>