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400"/>
              <w:left w:type="dxa" w:w="400"/>
              <w:bottom w:type="dxa" w:w="400"/>
              <w:right w:type="dxa" w:w="400"/>
            </w:tcMar>
          </w:tcPr>
          <w:p>
            <w:pPr>
              <w:jc w:val="center"/>
            </w:pPr>
            <w:r>
              <w:rPr>
                <w:rFonts w:ascii="Arial" w:cs="Arial" w:eastAsia="Arial" w:hAnsi="Arial"/>
                <w:b/>
                <w:bCs/>
                <w:color w:val="AABBDD"/>
                <w:sz w:val="24"/>
                <w:szCs w:val="24"/>
              </w:rPr>
              <w:t xml:space="preserve">DEEP TECHNICAL ANALYSIS</w:t>
            </w:r>
          </w:p>
          <w:p>
            <w:pPr>
              <w:spacing w:before="120" w:after="120"/>
              <w:jc w:val="center"/>
            </w:pPr>
            <w:r>
              <w:rPr>
                <w:rFonts w:ascii="Arial" w:cs="Arial" w:eastAsia="Arial" w:hAnsi="Arial"/>
                <w:b/>
                <w:bCs/>
                <w:color w:val="FFFFFF"/>
                <w:sz w:val="44"/>
                <w:szCs w:val="44"/>
              </w:rPr>
              <w:t xml:space="preserve">Dynamic Phase-Magnitude GNN</w:t>
            </w:r>
          </w:p>
          <w:p>
            <w:pPr>
              <w:jc w:val="center"/>
            </w:pPr>
            <w:r>
              <w:rPr>
                <w:rFonts w:ascii="Arial" w:cs="Arial" w:eastAsia="Arial" w:hAnsi="Arial"/>
                <w:color w:val="BBCCEE"/>
                <w:sz w:val="22"/>
                <w:szCs w:val="22"/>
              </w:rPr>
              <w:t xml:space="preserve">Comparative Study Against Hopfield Networks, Boltzmann Machines,
Physics-Informed Neural Networks &amp; Mixture of Experts</w:t>
            </w:r>
          </w:p>
          <w:p>
            <w:pPr>
              <w:spacing w:before="200" w:after="0"/>
              <w:jc w:val="center"/>
            </w:pPr>
            <w:r>
              <w:rPr>
                <w:rFonts w:ascii="Arial" w:cs="Arial" w:eastAsia="Arial" w:hAnsi="Arial"/>
                <w:i/>
                <w:iCs/>
                <w:color w:val="99AACC"/>
                <w:sz w:val="22"/>
                <w:szCs w:val="22"/>
              </w:rPr>
              <w:t xml:space="preserve">Issues  •  Solutions  •  Industry Scope</w:t>
            </w:r>
          </w:p>
        </w:tc>
      </w:tr>
    </w:tbl>
    <w:p>
      <w:pPr>
        <w:spacing w:before="80" w:after="80"/>
      </w:pPr>
      <w:r>
        <w:t xml:space="preserve"/>
      </w:r>
    </w:p>
    <w:p>
      <w:pPr>
        <w:spacing w:before="80" w:after="80"/>
      </w:pPr>
      <w:r>
        <w:t xml:space="preserve"/>
      </w:r>
    </w:p>
    <w:p>
      <w:pPr>
        <w:pStyle w:val="Heading1"/>
        <w:spacing w:before="360" w:after="160"/>
      </w:pPr>
      <w:r>
        <w:rPr>
          <w:rFonts w:ascii="Arial" w:cs="Arial" w:eastAsia="Arial" w:hAnsi="Arial"/>
          <w:b/>
          <w:bCs/>
          <w:color w:val="1B3A6B"/>
          <w:sz w:val="32"/>
          <w:szCs w:val="32"/>
        </w:rPr>
        <w:t xml:space="preserve">1. Executive Summary</w:t>
      </w:r>
    </w:p>
    <w:p>
      <w:pPr>
        <w:spacing w:before="60" w:after="100"/>
      </w:pPr>
      <w:r>
        <w:rPr>
          <w:rFonts w:ascii="Arial" w:cs="Arial" w:eastAsia="Arial" w:hAnsi="Arial"/>
          <w:color w:val="4A4A4A"/>
          <w:sz w:val="22"/>
          <w:szCs w:val="22"/>
        </w:rPr>
        <w:t xml:space="preserve">This report provides a comprehensive technical analysis of a novel Dynamic Phase-Magnitude Graph Neural Network (DPGNN), examining its architecture against four established model families: Hopfield Networks, Boltzmann Machines (RBM), Physics-Informed Neural Networks (PINNs), and Mixture-of-Experts (MoE). The goal is to surface concrete engineering issues visible in the codebase, propose actionable solutions, and map each problem-solution pair to real industrial use cases where this architecture has competitive advantage.</w:t>
      </w:r>
    </w:p>
    <w:p>
      <w:pPr>
        <w:spacing w:before="80" w:after="80"/>
      </w:pPr>
      <w:r>
        <w:t xml:space="preserve"/>
      </w:r>
    </w:p>
    <w:p>
      <w:pPr>
        <w:spacing w:before="60" w:after="100"/>
      </w:pPr>
      <w:r>
        <w:rPr>
          <w:rFonts w:ascii="Arial" w:cs="Arial" w:eastAsia="Arial" w:hAnsi="Arial"/>
          <w:color w:val="4A4A4A"/>
          <w:sz w:val="22"/>
          <w:szCs w:val="22"/>
        </w:rPr>
        <w:t xml:space="preserve">The DPGNN encodes node state as phasor vectors — each node carries a phase vector (in radians) and a magnitude vector — stored persistently in a Qdrant vector database. Signal propagation occurs both via explicit directed connections (cardinality-bounded) and via dynamic radiation: ANN-similarity search finds the top-k most phase-similar active neighbours each iteration. Activation strength is computed as the sum of energy-weighted cosine projections across the vector dimension. Weight updates are deferred through a custom GradientAccumulator with Adam optimisation.</w:t>
      </w:r>
    </w:p>
    <w:p>
      <w:pPr>
        <w:spacing w:before="80" w:after="80"/>
      </w:pPr>
      <w:r>
        <w:t xml:space="preserve"/>
      </w:r>
    </w:p>
    <w:p>
      <w:pPr>
        <w:spacing w:before="60" w:after="100"/>
      </w:pPr>
      <w:r>
        <w:rPr>
          <w:rFonts w:ascii="Arial" w:cs="Arial" w:eastAsia="Arial" w:hAnsi="Arial"/>
          <w:color w:val="4A4A4A"/>
          <w:sz w:val="22"/>
          <w:szCs w:val="22"/>
        </w:rPr>
        <w:t xml:space="preserve">The architecture is genuinely novel but carries several engineering gaps relative to production-grade baselines. These are detailed below with corresponding mitigations.</w:t>
      </w:r>
    </w:p>
    <w:p>
      <w:r>
        <w:br w:type="page"/>
      </w:r>
    </w:p>
    <w:p>
      <w:pPr>
        <w:pStyle w:val="Heading1"/>
        <w:spacing w:before="360" w:after="160"/>
      </w:pPr>
      <w:r>
        <w:rPr>
          <w:rFonts w:ascii="Arial" w:cs="Arial" w:eastAsia="Arial" w:hAnsi="Arial"/>
          <w:b/>
          <w:bCs/>
          <w:color w:val="1B3A6B"/>
          <w:sz w:val="32"/>
          <w:szCs w:val="32"/>
        </w:rPr>
        <w:t xml:space="preserve">2. Architecture Deep Dive</w:t>
      </w:r>
    </w:p>
    <w:p>
      <w:pPr>
        <w:pStyle w:val="Heading2"/>
        <w:spacing w:before="280" w:after="120"/>
      </w:pPr>
      <w:r>
        <w:rPr>
          <w:rFonts w:ascii="Arial" w:cs="Arial" w:eastAsia="Arial" w:hAnsi="Arial"/>
          <w:b/>
          <w:bCs/>
          <w:color w:val="2E5FA3"/>
          <w:sz w:val="26"/>
          <w:szCs w:val="26"/>
        </w:rPr>
        <w:t xml:space="preserve">2.1  Core Representation</w:t>
      </w:r>
    </w:p>
    <w:p>
      <w:pPr>
        <w:spacing w:before="60" w:after="100"/>
      </w:pPr>
      <w:r>
        <w:rPr>
          <w:rFonts w:ascii="Arial" w:cs="Arial" w:eastAsia="Arial" w:hAnsi="Arial"/>
          <w:color w:val="4A4A4A"/>
          <w:sz w:val="22"/>
          <w:szCs w:val="22"/>
        </w:rPr>
        <w:t xml:space="preserve">Every node i maintains two learnable vectors of dimension d (vector_dim): a phase vector φᵢ ∈ ℝᵈ (continuous radians) and a magnitude vector mᵢ ∈ ℝᵈ. The activation strength of a node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7F" w:sz="1"/>
              <w:left w:val="single" w:color="2A7F7F" w:sz="1"/>
              <w:bottom w:val="single" w:color="2A7F7F" w:sz="1"/>
              <w:right w:val="single" w:color="2A7F7F" w:sz="1"/>
            </w:tcBorders>
            <w:shd w:fill="E0F0F0" w:val="clear"/>
            <w:tcMar>
              <w:top w:type="dxa" w:w="160"/>
              <w:left w:type="dxa" w:w="180"/>
              <w:bottom w:type="dxa" w:w="160"/>
              <w:right w:type="dxa" w:w="180"/>
            </w:tcMar>
          </w:tcPr>
          <w:p>
            <w:pPr>
              <w:spacing w:after="80"/>
            </w:pPr>
            <w:r>
              <w:rPr>
                <w:rFonts w:ascii="Arial" w:cs="Arial" w:eastAsia="Arial" w:hAnsi="Arial"/>
                <w:b/>
                <w:bCs/>
                <w:color w:val="2A7F7F"/>
                <w:sz w:val="22"/>
                <w:szCs w:val="22"/>
              </w:rPr>
              <w:t xml:space="preserve">Activation Strength Formula</w:t>
            </w:r>
          </w:p>
          <w:p>
            <w:pPr>
              <w:spacing w:after="60"/>
            </w:pPr>
            <w:r>
              <w:rPr>
                <w:rFonts w:ascii="Courier New" w:cs="Courier New" w:eastAsia="Courier New" w:hAnsi="Courier New"/>
                <w:b/>
                <w:bCs/>
                <w:color w:val="1B3A6B"/>
                <w:sz w:val="22"/>
                <w:szCs w:val="22"/>
              </w:rPr>
              <w:t xml:space="preserve">S(φ, m) = Σⱼ  exp(mᵢⱼ) · cos(φᵢⱼ)</w:t>
            </w:r>
          </w:p>
          <w:p>
            <w:r>
              <w:rPr>
                <w:rFonts w:ascii="Arial" w:cs="Arial" w:eastAsia="Arial" w:hAnsi="Arial"/>
                <w:color w:val="4A4A4A"/>
                <w:sz w:val="20"/>
                <w:szCs w:val="20"/>
              </w:rPr>
              <w:t xml:space="preserve">This is the real part of the complex phasor sum, where exp(mᵢⱼ) is the energy and cos(φᵢⱼ) is the phase projection. Two nodes are considered similar if their phase vectors are close in cosine distance after the [cos(φ), -sin(φ)] embedding (used in Qdrant search).</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2.2  Propagation Mechanism</w:t>
      </w:r>
    </w:p>
    <w:p>
      <w:pPr>
        <w:spacing w:before="60" w:after="100"/>
      </w:pPr>
      <w:r>
        <w:rPr>
          <w:rFonts w:ascii="Arial" w:cs="Arial" w:eastAsia="Arial" w:hAnsi="Arial"/>
          <w:color w:val="4A4A4A"/>
          <w:sz w:val="22"/>
          <w:szCs w:val="22"/>
        </w:rPr>
        <w:t xml:space="preserve">Each forward iteration consists of: (1) computing radiation targets via HNSW ANN search on the Qdrant vector store, (2) traversing explicit directed edges (outgoing_connections in payload), (3) aggregating incoming activations via weighted sum, and (4) updating active_nodes. The process repeats for a configurable number of iterations. Output nodes report their final activation_strength as logits.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2.3  Learning</w:t>
      </w:r>
    </w:p>
    <w:p>
      <w:pPr>
        <w:spacing w:before="60" w:after="100"/>
      </w:pPr>
      <w:r>
        <w:rPr>
          <w:rFonts w:ascii="Arial" w:cs="Arial" w:eastAsia="Arial" w:hAnsi="Arial"/>
          <w:color w:val="4A4A4A"/>
          <w:sz w:val="22"/>
          <w:szCs w:val="22"/>
        </w:rPr>
        <w:t xml:space="preserve">The GradientAccumulator collects phase and magnitude gradients from each forward pass. It applies Adam updates only when the accumulated gradient is large enough to produce a change of ≥ 0.5 in the stored value — a heuristic threshold designed for quantised regimes. The UnquantizedGradientAccumulator extends this with proper batch-size-based accumulation and per-node Adam state.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2.4  Node Storage</w:t>
      </w:r>
    </w:p>
    <w:p>
      <w:pPr>
        <w:spacing w:before="60" w:after="100"/>
      </w:pPr>
      <w:r>
        <w:rPr>
          <w:rFonts w:ascii="Arial" w:cs="Arial" w:eastAsia="Arial" w:hAnsi="Arial"/>
          <w:color w:val="4A4A4A"/>
          <w:sz w:val="22"/>
          <w:szCs w:val="22"/>
        </w:rPr>
        <w:t xml:space="preserve">The PytorchNodeStore maintains all node vectors in CPU/GPU tensors (phase_vectors, mag_vectors, phase_values) plus a connection map and payload dict. The legacy QdrantNodeStore used a remote Qdrant server. The search backend performs cosine similarity on the [cos(φ), -sin(φ)] embedding — effectively inner-product similarity on the unit circle, making the radiation mechanism a learnable attractor search in phase space.</w:t>
      </w:r>
    </w:p>
    <w:p>
      <w:r>
        <w:br w:type="page"/>
      </w:r>
    </w:p>
    <w:p>
      <w:pPr>
        <w:pStyle w:val="Heading1"/>
        <w:spacing w:before="360" w:after="160"/>
      </w:pPr>
      <w:r>
        <w:rPr>
          <w:rFonts w:ascii="Arial" w:cs="Arial" w:eastAsia="Arial" w:hAnsi="Arial"/>
          <w:b/>
          <w:bCs/>
          <w:color w:val="1B3A6B"/>
          <w:sz w:val="32"/>
          <w:szCs w:val="32"/>
        </w:rPr>
        <w:t xml:space="preserve">3. Comparative Architecture Analysis</w:t>
      </w:r>
    </w:p>
    <w:p>
      <w:pPr>
        <w:pStyle w:val="Heading2"/>
        <w:spacing w:before="280" w:after="120"/>
      </w:pPr>
      <w:r>
        <w:rPr>
          <w:rFonts w:ascii="Arial" w:cs="Arial" w:eastAsia="Arial" w:hAnsi="Arial"/>
          <w:b/>
          <w:bCs/>
          <w:color w:val="2E5FA3"/>
          <w:sz w:val="26"/>
          <w:szCs w:val="26"/>
        </w:rPr>
        <w:t xml:space="preserve">3.1  Hopfield Network</w:t>
      </w:r>
    </w:p>
    <w:p>
      <w:pPr>
        <w:spacing w:before="60" w:after="100"/>
      </w:pPr>
      <w:r>
        <w:rPr>
          <w:rFonts w:ascii="Arial" w:cs="Arial" w:eastAsia="Arial" w:hAnsi="Arial"/>
          <w:color w:val="4A4A4A"/>
          <w:sz w:val="22"/>
          <w:szCs w:val="22"/>
        </w:rPr>
        <w:t xml:space="preserve">Classic Hopfield Networks (Hopfield, 1982) and their modern continuous variants (Ramsauer et al., 2020) are energy-minimising associative memories. Patterns are stored as fixed points of the energy landscape E = -½ xᵀWx. Retrieval is synchronous, global, and governed by a single symmetric weight matrix. Modern dense Hopfield networks achieve exponential pattern storage capacity proportional to d^n (for n-th order interactions).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Hopfield Network</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This DPGNN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Memory storage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Hebbian outer-products; global matrix</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Distributed per-node phasor vectors in vector 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Topology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Fully connected, static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Dynamic, sparse, ANN-driven radiation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Update rule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Synchronous global energy descent</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Local iterative propagation with threshold gating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~0.14N patterns (classical)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Scales with total node count × vector_dim</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Scalability</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O(N²) storage; impractical for large 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O(N·d) storage; Qdrant-backed for millions of nodes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Gradient 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applicable (no SGD)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Adam-based per-node gradient accumulation</w:t>
            </w:r>
          </w:p>
        </w:tc>
      </w:tr>
    </w:tbl>
    <w:p>
      <w:pPr>
        <w:spacing w:before="80" w:after="80"/>
      </w:pPr>
      <w:r>
        <w:t xml:space="preserve"/>
      </w:r>
    </w:p>
    <w:p>
      <w:pPr>
        <w:spacing w:before="60" w:after="100"/>
      </w:pPr>
      <w:r>
        <w:rPr>
          <w:rFonts w:ascii="Arial" w:cs="Arial" w:eastAsia="Arial" w:hAnsi="Arial"/>
          <w:color w:val="4A4A4A"/>
          <w:sz w:val="22"/>
          <w:szCs w:val="22"/>
        </w:rPr>
        <w:t xml:space="preserve">Key similarity: both systems exhibit attractor dynamics — the DPGNN's radiation mechanism pulls active nodes toward similar-phase neighbours, analogous to Hopfield energy descent. The key difference is that this model supports deep propagation (multiple iterations), structured input/output nodes, and learnable weights, making it a trainable associative-memory-style GNN rather than a retrieval-only system.</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3.2  Boltzmann Machine / RBM</w:t>
      </w:r>
    </w:p>
    <w:p>
      <w:pPr>
        <w:spacing w:before="60" w:after="100"/>
      </w:pPr>
      <w:r>
        <w:rPr>
          <w:rFonts w:ascii="Arial" w:cs="Arial" w:eastAsia="Arial" w:hAnsi="Arial"/>
          <w:color w:val="4A4A4A"/>
          <w:sz w:val="22"/>
          <w:szCs w:val="22"/>
        </w:rPr>
        <w:t xml:space="preserve">Restricted Boltzmann Machines are bipartite energy-based models trained via Contrastive Divergence. They learn a joint probability distribution P(v, h) over visible and hidden units. Gibbs sampling enables generative inference. Deep Boltzmann Machines stack multiple RBM layers. RBMs are particularly powerful for density estimation and unsupervised feature learning.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RBM / DBM</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This DPGNN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Inference style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Stochastic Gibbs sampling</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Deterministic forward propagation (+ optional scattering)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Graph 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Bipartite (visible/hidden), static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Arbitrary directed, dynamic activation set</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Training</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Contrastive Divergence (MLE approximation)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Backprop through active subgraph +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can sample from P(v)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 discriminative only in current form</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Scalability</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O(V·H) parameters; moderate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O(N·d) per node; horizontally scalable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Uncertainty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Native probabilistic outputs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Deterministic logits; no native uncertainty</w:t>
            </w:r>
          </w:p>
        </w:tc>
      </w:tr>
    </w:tbl>
    <w:p>
      <w:pPr>
        <w:spacing w:before="80" w:after="80"/>
      </w:pPr>
      <w:r>
        <w:t xml:space="preserve"/>
      </w:r>
    </w:p>
    <w:p>
      <w:pPr>
        <w:spacing w:before="60" w:after="100"/>
      </w:pPr>
      <w:r>
        <w:rPr>
          <w:rFonts w:ascii="Arial" w:cs="Arial" w:eastAsia="Arial" w:hAnsi="Arial"/>
          <w:color w:val="4A4A4A"/>
          <w:sz w:val="22"/>
          <w:szCs w:val="22"/>
        </w:rPr>
        <w:t xml:space="preserve">Key similarity: both treat computation as message passing on an undirected-like graph with emergent feature discovery. The scattering_prob parameter in DPGNN introduces a stochastic element reminiscent of Gibbs sampling noise — but it is far less principled. Contrastive Divergence-style training could be adapted here to give the model a generative capability.</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3.3  Physics-Informed Neural Networks (PINNs)</w:t>
      </w:r>
    </w:p>
    <w:p>
      <w:pPr>
        <w:spacing w:before="60" w:after="100"/>
      </w:pPr>
      <w:r>
        <w:rPr>
          <w:rFonts w:ascii="Arial" w:cs="Arial" w:eastAsia="Arial" w:hAnsi="Arial"/>
          <w:color w:val="4A4A4A"/>
          <w:sz w:val="22"/>
          <w:szCs w:val="22"/>
        </w:rPr>
        <w:t xml:space="preserve">PINNs embed PDE residuals as soft constraints in the loss function, enabling data-efficient learning of physical dynamics without needing large labelled datasets. They use standard MLP backbones but with physics-aware loss terms: L = L_data + λ·L_physics. Recent extensions (PINNs on graphs, GNN-PINNs) apply this idea to mesh-based simulations.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PINNs</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This DPGNN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Inductive bias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Explicit PDEs baked into loss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Implicit — phase-coherence via cosine similarity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Standard MLP / GNN backbone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Custom phasor-node graph with radiation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Training data need</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Very low (semi-supervised by physics)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Requires supervised signal on output nodes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Interpretability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 — physics equations are readable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 — phasor vectors are opaque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Temporal dynamics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Time as continuous variable in PDE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Temporal decay factor on activations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Simulation, fluid dynamics, material science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General-purpose graph intelligence</w:t>
            </w:r>
          </w:p>
        </w:tc>
      </w:tr>
    </w:tbl>
    <w:p>
      <w:pPr>
        <w:spacing w:before="80" w:after="80"/>
      </w:pPr>
      <w:r>
        <w:t xml:space="preserve"/>
      </w:r>
    </w:p>
    <w:p>
      <w:pPr>
        <w:spacing w:before="60" w:after="100"/>
      </w:pPr>
      <w:r>
        <w:rPr>
          <w:rFonts w:ascii="Arial" w:cs="Arial" w:eastAsia="Arial" w:hAnsi="Arial"/>
          <w:color w:val="4A4A4A"/>
          <w:sz w:val="22"/>
          <w:szCs w:val="22"/>
        </w:rPr>
        <w:t xml:space="preserve">Key connection: the phasor representation is inspired by wave mechanics — a natural language for physical systems. The model could be converted into a PINN-like framework by adding physics residuals (e.g., wave equation constraints on phase evolution) to the loss, making it extremely powerful for sensor networks, fluid simulation, and electromagnetics.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3.4  Mixture of Experts (MoE)</w:t>
      </w:r>
    </w:p>
    <w:p>
      <w:pPr>
        <w:spacing w:before="60" w:after="100"/>
      </w:pPr>
      <w:r>
        <w:rPr>
          <w:rFonts w:ascii="Arial" w:cs="Arial" w:eastAsia="Arial" w:hAnsi="Arial"/>
          <w:color w:val="4A4A4A"/>
          <w:sz w:val="22"/>
          <w:szCs w:val="22"/>
        </w:rPr>
        <w:t xml:space="preserve">MoE models (Shazeer et al., 2017; GShard; Switch Transformer) route each input to a sparse subset of expert networks via a learned gating function. Only Top-K experts compute for any given token. This enables massive model capacity with sub-linear compute per sample. Modern LLMs (Mixtral, DeepSeek) use MoE as their core scaling strategy.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MoE</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This DPGNN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Sparse activation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Top-K gating; only K experts fire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Active node set grows dynamically per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Expert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Fixed; defined at init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Dynamic; nodes recruit neighbours via radiation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Load balancing</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Auxiliary load-balance loss required</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No explicit balancing; hub nodes may dominate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Batch processing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batch parallelism across experts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Sequential node propagation; poor batching</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Communication cost</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Expert routing overhead (all-to-all in distributed)</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ANN search overhead per iteration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Capacity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Linear in expert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Linear in node count × iterations</w:t>
            </w:r>
          </w:p>
        </w:tc>
      </w:tr>
    </w:tbl>
    <w:p>
      <w:pPr>
        <w:spacing w:before="80" w:after="80"/>
      </w:pPr>
      <w:r>
        <w:t xml:space="preserve"/>
      </w:r>
    </w:p>
    <w:p>
      <w:pPr>
        <w:spacing w:before="60" w:after="100"/>
      </w:pPr>
      <w:r>
        <w:rPr>
          <w:rFonts w:ascii="Arial" w:cs="Arial" w:eastAsia="Arial" w:hAnsi="Arial"/>
          <w:color w:val="4A4A4A"/>
          <w:sz w:val="22"/>
          <w:szCs w:val="22"/>
        </w:rPr>
        <w:t xml:space="preserve">Key connection: the radiation mechanism is structurally similar to MoE gating — both select a sparse subset of 'experts' (nodes) relevant to the current input. The difference is that MoE gating is learned end-to-end in a differentiable manner, while radiation uses ANN similarity search on phase vectors — a powerful but less directly trainable selection criterion.</w:t>
      </w:r>
    </w:p>
    <w:p>
      <w:r>
        <w:br w:type="page"/>
      </w:r>
    </w:p>
    <w:p>
      <w:pPr>
        <w:pStyle w:val="Heading1"/>
        <w:spacing w:before="360" w:after="160"/>
      </w:pPr>
      <w:r>
        <w:rPr>
          <w:rFonts w:ascii="Arial" w:cs="Arial" w:eastAsia="Arial" w:hAnsi="Arial"/>
          <w:b/>
          <w:bCs/>
          <w:color w:val="1B3A6B"/>
          <w:sz w:val="32"/>
          <w:szCs w:val="32"/>
        </w:rPr>
        <w:t xml:space="preserve">4. Identified Issues, Solutions &amp; Industry Scope</w:t>
      </w:r>
    </w:p>
    <w:p>
      <w:pPr>
        <w:spacing w:before="60" w:after="100"/>
      </w:pPr>
      <w:r>
        <w:rPr>
          <w:rFonts w:ascii="Arial" w:cs="Arial" w:eastAsia="Arial" w:hAnsi="Arial"/>
          <w:color w:val="4A4A4A"/>
          <w:sz w:val="22"/>
          <w:szCs w:val="22"/>
        </w:rPr>
        <w:t xml:space="preserve">Each issue is grounded in the codebase (specific files and lines are referenced). Solutions are ordered by implementation priority.</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1: Activation Strength Function Is Mathematically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custom_functions.py — activation_strength_forward_unquantized()</w:t>
            </w:r>
          </w:p>
        </w:tc>
      </w:tr>
    </w:tbl>
    <w:p>
      <w:pPr>
        <w:spacing w:before="80" w:after="80"/>
      </w:pPr>
      <w:r>
        <w:t xml:space="preserve"/>
      </w:r>
    </w:p>
    <w:p>
      <w:pPr>
        <w:spacing w:before="60" w:after="100"/>
      </w:pPr>
      <w:r>
        <w:rPr>
          <w:rFonts w:ascii="Arial" w:cs="Arial" w:eastAsia="Arial" w:hAnsi="Arial"/>
          <w:color w:val="4A4A4A"/>
          <w:sz w:val="22"/>
          <w:szCs w:val="22"/>
        </w:rPr>
        <w:t xml:space="preserve">The unquantized activation strength computes: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3232" w:sz="1"/>
              <w:left w:val="single" w:color="A83232" w:sz="1"/>
              <w:bottom w:val="single" w:color="A83232" w:sz="1"/>
              <w:right w:val="single" w:color="A83232" w:sz="1"/>
            </w:tcBorders>
            <w:shd w:fill="FDF0F0" w:val="clear"/>
            <w:tcMar>
              <w:top w:type="dxa" w:w="160"/>
              <w:left w:type="dxa" w:w="180"/>
              <w:bottom w:type="dxa" w:w="160"/>
              <w:right w:type="dxa" w:w="180"/>
            </w:tcMar>
          </w:tcPr>
          <w:p>
            <w:pPr>
              <w:spacing w:after="80"/>
            </w:pPr>
            <w:r>
              <w:rPr>
                <w:rFonts w:ascii="Arial" w:cs="Arial" w:eastAsia="Arial" w:hAnsi="Arial"/>
                <w:b/>
                <w:bCs/>
                <w:color w:val="A83232"/>
                <w:sz w:val="22"/>
                <w:szCs w:val="22"/>
              </w:rPr>
              <w:t xml:space="preserve">Current Code</w:t>
            </w:r>
          </w:p>
          <w:p>
            <w:r>
              <w:rPr>
                <w:rFonts w:ascii="Courier New" w:cs="Courier New" w:eastAsia="Courier New" w:hAnsi="Courier New"/>
                <w:color w:val="A83232"/>
                <w:sz w:val="20"/>
                <w:szCs w:val="20"/>
              </w:rPr>
              <w:t xml:space="preserve">energy_per_dim = torch.exp(mags)</w:t>
            </w:r>
          </w:p>
          <w:p>
            <w:r>
              <w:rPr>
                <w:rFonts w:ascii="Courier New" w:cs="Courier New" w:eastAsia="Courier New" w:hAnsi="Courier New"/>
                <w:color w:val="A83232"/>
                <w:sz w:val="20"/>
                <w:szCs w:val="20"/>
              </w:rPr>
              <w:t xml:space="preserve">real = energy_per_dim * torch.cos(phases)</w:t>
            </w:r>
          </w:p>
          <w:p>
            <w:r>
              <w:rPr>
                <w:rFonts w:ascii="Courier New" w:cs="Courier New" w:eastAsia="Courier New" w:hAnsi="Courier New"/>
                <w:color w:val="A83232"/>
                <w:sz w:val="20"/>
                <w:szCs w:val="20"/>
              </w:rPr>
              <w:t xml:space="preserve">return real.sum()   # BUG: sums ALL elements, not per-node</w:t>
            </w:r>
          </w:p>
        </w:tc>
      </w:tr>
    </w:tbl>
    <w:p>
      <w:pPr>
        <w:spacing w:before="80" w:after="80"/>
      </w:pPr>
      <w:r>
        <w:t xml:space="preserve"/>
      </w:r>
    </w:p>
    <w:p>
      <w:pPr>
        <w:spacing w:before="60" w:after="100"/>
      </w:pPr>
      <w:r>
        <w:rPr>
          <w:rFonts w:ascii="Arial" w:cs="Arial" w:eastAsia="Arial" w:hAnsi="Arial"/>
          <w:color w:val="4A4A4A"/>
          <w:sz w:val="22"/>
          <w:szCs w:val="22"/>
        </w:rPr>
        <w:t xml:space="preserve">The quantized version correctly uses .sum(dim=-1) to produce one scalar per node. The unquantized version calls real.sum() with no dimension argument, collapsing all node activations into a single scalar when batched. This is mathematically wrong and produces incorrect gradient signals during training. Furthermore, exp(mags) is unbounded above, causing potential activation explosions for large magnitude values.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real.sum() collapses the entire tensor when mags has shape (batch, dim), producing a scalar instead of a (batch,) vector. Gradients will be incorrect for multi-node batches. exp(mags) explodes for large values.</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Fix to real.sum(dim=-1). Add magnitude clamping: mags = torch.clamp(mags, min=-10, max=10). Consider replacing exp with softplus for smoother gradients: energy = F.softplus(mags). Add L2 normalisation across the vector dimension to stabilise the signal scale.</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Fixes directly impact any classification or regression task. Critical for: graph-based anomaly detection (security), molecular property prediction (biotech), and financial signal scoring where scalar output stability is mandatory.</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2: No True Batch Processing — GPU Underutilisation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one_step_forward() / forward()</w:t>
            </w:r>
          </w:p>
        </w:tc>
      </w:tr>
    </w:tbl>
    <w:p>
      <w:pPr>
        <w:spacing w:before="80" w:after="80"/>
      </w:pPr>
      <w:r>
        <w:t xml:space="preserve"/>
      </w:r>
    </w:p>
    <w:p>
      <w:pPr>
        <w:spacing w:before="60" w:after="100"/>
      </w:pPr>
      <w:r>
        <w:rPr>
          <w:rFonts w:ascii="Arial" w:cs="Arial" w:eastAsia="Arial" w:hAnsi="Arial"/>
          <w:color w:val="4A4A4A"/>
          <w:sz w:val="22"/>
          <w:szCs w:val="22"/>
        </w:rPr>
        <w:t xml:space="preserve">The model processes a single input tensor of shape (input_nodes, vector_dim) at a time. The active_nodes dict and node.update_activations() are stateful and sequential — there is no batch dimension. This means training on GPU is effectively single-sample per forward pass, and GPU occupancy is extremely low. On a V100 GPU, batch_size=1 operations typically achieve &lt;5% of theoretical TFLOP/s.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No batch dimension exists in the forward pass. Sequential Python dict iteration over nodes prevents CUDA kernel fusion. GPU TFLOP/s utilisation is &lt;5% for typical configurations, making training 10–50x slower than necessary.</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Redesign the propagation as tensor operations: represent the active_nodes set as a (N_active, d) phase tensor and (N_active, d) mag tensor. Use scatter/gather operations for message aggregation (torch_geometric pattern). Introduce a batch dimension as the first axis throughout. Use torch.compile() or torch.jit.script() to eliminate Python overhead.</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High-throughput applications: real-time recommendation systems (e-commerce, streaming), online fraud detection at payment scale (millions of transactions/second), and large-scale knowledge graph inference where batch throughput is a hard SLA requirement.</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3: Dead Gradient Threshold in GradientAccumulator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gradient_accumulator.py — if_update_needed() / GradientAccumulator.step()</w:t>
            </w:r>
          </w:p>
        </w:tc>
      </w:tr>
    </w:tbl>
    <w:p>
      <w:pPr>
        <w:spacing w:before="80" w:after="80"/>
      </w:pPr>
      <w:r>
        <w:t xml:space="preserve"/>
      </w:r>
    </w:p>
    <w:p>
      <w:pPr>
        <w:spacing w:before="60" w:after="100"/>
      </w:pPr>
      <w:r>
        <w:rPr>
          <w:rFonts w:ascii="Arial" w:cs="Arial" w:eastAsia="Arial" w:hAnsi="Arial"/>
          <w:color w:val="4A4A4A"/>
          <w:sz w:val="22"/>
          <w:szCs w:val="22"/>
        </w:rPr>
        <w:t xml:space="preserve">The GradientAccumulator applies a hard threshold: update is performed only if lr * |grad| &gt;= 0.5. This is a vestigial artefact from the quantised integer regime (where 0.5 is the minimum step in a discretised weight grid). In the unquantized continuous regime, this threshold creates a dead gradient zone — any node whose gradient magnitude is smaller than 0.5/lr will never be updated, regardless of how many training samples it has processed. With lr=0.001, any gradient &lt; 500 is silently discarded.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Hard threshold 0.5/lr kills gradients for all low-signal nodes. With lr=0.001, gradients &lt; 500 are discarded. Nodes that receive sparse signal (e.g., rare pattern nodes) never learn. Leads to a systematic bias toward high-activation nodes.</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For the unquantized accumulator, remove the if_update_needed threshold entirely — update all nodes with accumulated gradients. Apply gradient clipping (torch.nn.utils.clip_grad_norm_) instead. For the quantized accumulator, keep the threshold but expose it as a configurable hyperparameter defaulting to 0.0 (disable). Add gradient norm logging per node to detect dead nodes.</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Critical for long-tail learning problems: medical rare-disease diagnosis, low-resource NLP for minority languages, industrial defect detection where defect classes appear in &lt;1% of samples, and legal document analysis where rare clause types still require correct classification.</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4: No Normalisation — Activation Explosion and Vanishing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UnquantizedGNN.forward() — output_signals / vector_dim**0.5</w:t>
            </w:r>
          </w:p>
        </w:tc>
      </w:tr>
    </w:tbl>
    <w:p>
      <w:pPr>
        <w:spacing w:before="80" w:after="80"/>
      </w:pPr>
      <w:r>
        <w:t xml:space="preserve"/>
      </w:r>
    </w:p>
    <w:p>
      <w:pPr>
        <w:spacing w:before="60" w:after="100"/>
      </w:pPr>
      <w:r>
        <w:rPr>
          <w:rFonts w:ascii="Arial" w:cs="Arial" w:eastAsia="Arial" w:hAnsi="Arial"/>
          <w:color w:val="4A4A4A"/>
          <w:sz w:val="22"/>
          <w:szCs w:val="22"/>
        </w:rPr>
        <w:t xml:space="preserve">The only normalisation present is a single division by sqrt(vector_dim) at the output layer. Across multiple propagation iterations, activation strengths can compound — nodes with high exp(mag) values dominate the radiation search and receive even more incoming signal in subsequent iterations, creating runaway activations. There is no residual connection, layer norm, or intermediate normalisation. This is analogous to deep networks without BatchNorm — gradient signals explode or vanish with depth.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No intermediate normalisation across iterations. exp(mags) grows unboundedly. High-activation nodes dominate radiation targets (rich-get-richer), collapsing the diversity of the active set to a small hub subgraph. Gradients for deep iteration steps vanish through the chain rule.</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Add per-node LayerNorm on phase and magnitude vectors after each aggregation step. Apply activation clamping after update_activations(): phase_activation = torch.clamp(phase, -π, π), mag_activation = torch.clamp(mag, -10, 10). Add residual skip connections from input injection to output. For stable training, initialise magnitudes to zero (exp(0)=1, unit energy).</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Scientific computing where numerical stability is a regulatory requirement (FDA-approved drug interaction modelling, aerospace structural simulation). Financial risk models where gradient explosions can cause erratic parameter updates that trip model validation checks.</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5: Radiation Mechanism Is Not End-to-End Differentiable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_compute_radiation_targets() / nodestore.py — search_nodes_batch()</w:t>
            </w:r>
          </w:p>
        </w:tc>
      </w:tr>
    </w:tbl>
    <w:p>
      <w:pPr>
        <w:spacing w:before="80" w:after="80"/>
      </w:pPr>
      <w:r>
        <w:t xml:space="preserve"/>
      </w:r>
    </w:p>
    <w:p>
      <w:pPr>
        <w:spacing w:before="60" w:after="100"/>
      </w:pPr>
      <w:r>
        <w:rPr>
          <w:rFonts w:ascii="Arial" w:cs="Arial" w:eastAsia="Arial" w:hAnsi="Arial"/>
          <w:color w:val="4A4A4A"/>
          <w:sz w:val="22"/>
          <w:szCs w:val="22"/>
        </w:rPr>
        <w:t xml:space="preserve">The radiation step — computing which nodes a given active node 'radiates' signal to — uses ANN cosine similarity search on the [cos(φ), -sin(φ)] embedding. This is a discrete argmax-like operation: it selects top-K node IDs. Argmax is not differentiable, so no gradient flows through the topology selection step. The model learns what to encode in phase vectors but cannot directly learn which topology is useful for a given task — the graph structure is a side-effect of phase learning, not a first-class learnable quantity.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ANN top-K selection is a discrete argmax — no gradient flows through radiation topology. The model cannot directly learn 'which connections should exist' — it only learns phase encodings that incidentally determine connectivity. This severely limits representation power for topology-sensitive tasks.</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Apply Gumbel-Softmax relaxation or straight-through estimator for differentiable top-K. Alternatively, maintain a soft attention score over candidate neighbours (similar to Graph Attention Networks) and learn attention weights end-to-end. A simpler fix: add an explicit auxiliary loss that rewards radiation diversity (entropy regularisation on the distribution of radiation targets).</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Knowledge graph completion (entity linking, Wikidata/Freebase), drug-drug interaction network modelling where the existence of edges is itself the prediction target, and social network influence modelling where learning which connections matter is the core task.</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6: Activation Threshold Is Unused in the Unquantized GNN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UnquantizedGNN.__init__() stores self.activation_threshold but never uses it</w:t>
            </w:r>
          </w:p>
        </w:tc>
      </w:tr>
    </w:tbl>
    <w:p>
      <w:pPr>
        <w:spacing w:before="80" w:after="80"/>
      </w:pPr>
      <w:r>
        <w:t xml:space="preserve"/>
      </w:r>
    </w:p>
    <w:p>
      <w:pPr>
        <w:spacing w:before="60" w:after="100"/>
      </w:pPr>
      <w:r>
        <w:rPr>
          <w:rFonts w:ascii="Arial" w:cs="Arial" w:eastAsia="Arial" w:hAnsi="Arial"/>
          <w:color w:val="4A4A4A"/>
          <w:sz w:val="22"/>
          <w:szCs w:val="22"/>
        </w:rPr>
        <w:t xml:space="preserve">The activation_threshold parameter is accepted in the constructor and stored, but it is never applied to gate node firing in the unquantized GNN forward pass. This means all nodes that receive any incoming signal become active, regardless of signal strength. As the network propagates, the active set grows monotonically, approaching all-nodes-active by the final iteration in dense graphs — defeating the purpose of sparse dynamic activation entirely. Memory and compute cost grow unboundedly with iterations.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activation_threshold is stored but never enforced. Active set grows monotonically — nodes are never pruned. In graphs with high cardinality or many radiation targets, this causes O(N) memory usage per forward pass, making the sparse architecture degenerate into a dense compute pattern.</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Apply the threshold after each aggregation step: only retain nodes where activation_strength &gt; activation_threshold. Implement beam search over the active set — keep only the top-B activated nodes per iteration (beam_width parameter). Add a max_active_nodes guard to prevent memory OOM. The threshold should be annealed during training (start low, increase as the model learns to concentrate signal).</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Edge/IoT deployment where memory footprint is strictly bounded (autonomous vehicle perception, smart sensor nodes). Real-time systems where forward pass latency must be O(k) not O(N) — e.g., high-frequency trading signal generation, live speech recognition on embedded hardware.</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7: No Load Balancing — Hub Node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_compute_radiation_targets() — no balancing mechanism</w:t>
            </w:r>
          </w:p>
        </w:tc>
      </w:tr>
    </w:tbl>
    <w:p>
      <w:pPr>
        <w:spacing w:before="80" w:after="80"/>
      </w:pPr>
      <w:r>
        <w:t xml:space="preserve"/>
      </w:r>
    </w:p>
    <w:p>
      <w:pPr>
        <w:spacing w:before="60" w:after="100"/>
      </w:pPr>
      <w:r>
        <w:rPr>
          <w:rFonts w:ascii="Arial" w:cs="Arial" w:eastAsia="Arial" w:hAnsi="Arial"/>
          <w:color w:val="4A4A4A"/>
          <w:sz w:val="22"/>
          <w:szCs w:val="22"/>
        </w:rPr>
        <w:t xml:space="preserve">ANN search on phase vectors will repeatedly surface the same small set of high-centrality nodes that happen to lie near the centre of the phase-space distribution. These hub nodes receive radiation from nearly every active node, accumulate large gradients, and dominate the output signal. The remaining nodes receive little signal and their weights stagnate — analogous to the load imbalance problem in MoE models. The scattering_prob parameter partially mitigates this via random neighbour injection, but it is not principled.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No load balancing. ANN search repeatedly selects the same hub nodes. Hub nodes receive disproportionate gradient signal and dominate learning. Non-hub nodes receive sparse gradients and plateau early. The active subgraph degenerates to a small coreset regardless of input diversity.</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Add an auxiliary load-balance loss analogous to MoE: L_balance = α · Var(radiation_hit_count_per_node). Implement radiation-count tracking per node and apply a score penalty to over-radiated nodes (similar to expert capacity limits in Switch Transformer). Use temperature-annealed softmax over similarity scores instead of hard top-K to allow softer radiation distributions.</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Recommendation systems where coverage of the item catalogue matters (long-tail recommendation at Netflix/Spotify scale). Search engines where hub-node collapse would result in the same documents being returned for diverse queries. Portfolio optimisation where diverse asset coverage prevents concentration risk.</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8: Qdrant/NodeStore Latency Bottleneck in Distributed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nodestore.py — QdrantNodeStore.search_nodes_batch() / get_node() — network round-trips</w:t>
            </w:r>
          </w:p>
        </w:tc>
      </w:tr>
    </w:tbl>
    <w:p>
      <w:pPr>
        <w:spacing w:before="80" w:after="80"/>
      </w:pPr>
      <w:r>
        <w:t xml:space="preserve"/>
      </w:r>
    </w:p>
    <w:p>
      <w:pPr>
        <w:spacing w:before="60" w:after="100"/>
      </w:pPr>
      <w:r>
        <w:rPr>
          <w:rFonts w:ascii="Arial" w:cs="Arial" w:eastAsia="Arial" w:hAnsi="Arial"/>
          <w:color w:val="4A4A4A"/>
          <w:sz w:val="22"/>
          <w:szCs w:val="22"/>
        </w:rPr>
        <w:t xml:space="preserve">The PytorchNodeStore moves node storage to local tensors, which is a significant improvement over the Qdrant-backed version. However, the original QdrantNodeStore architecture (still present in code) performs multiple network round-trips per forward pass: one for search_nodes_batch and one for get_node per iteration. In a training loop with hundreds of thousands of samples, this adds several milliseconds of I/O latency per iteration — cumulative overhead can reach hours of wasted wall-clock training time. Even the PytorchNodeStore has per-node Python dict lookups that prevent vectorisation.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Original Qdrant backend: multiple network round-trips per forward pass (search + fetch). PytorchNodeStore: Python dict iteration prevents SIMD/CUDA vectorisation. In distributed multi-worker training, shared Qdrant becomes a write contention bottleneck during gradient application.</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For PytorchNodeStore: replace payload dict with tensor arrays indexed by node_id. Pre-compute the [cos(φ), -sin(φ)] embedding once and maintain it as a persistent tensor (invalidate only on update). Use torch.cdist or faiss-gpu for ANN search instead of custom backends. For distributed training, shard the node store across workers by node_id range and use gRPC for inter-shard communication.</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Large-scale industrial graph intelligence: supply-chain risk propagation (millions of supplier nodes), telecom network fault detection (billions of link events), genomic interaction network analysis (protein-protein interaction databases with millions of nodes).</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9: No Uncertainty Estimation or Probabilistic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gnn_model.py — UnquantizedGNN.forward() — outputs deterministic logits only</w:t>
            </w:r>
          </w:p>
        </w:tc>
      </w:tr>
    </w:tbl>
    <w:p>
      <w:pPr>
        <w:spacing w:before="80" w:after="80"/>
      </w:pPr>
      <w:r>
        <w:t xml:space="preserve"/>
      </w:r>
    </w:p>
    <w:p>
      <w:pPr>
        <w:spacing w:before="60" w:after="100"/>
      </w:pPr>
      <w:r>
        <w:rPr>
          <w:rFonts w:ascii="Arial" w:cs="Arial" w:eastAsia="Arial" w:hAnsi="Arial"/>
          <w:color w:val="4A4A4A"/>
          <w:sz w:val="22"/>
          <w:szCs w:val="22"/>
        </w:rPr>
        <w:t xml:space="preserve">The model outputs a single scalar activation_strength per output node, interpreted as a logit. There is no mechanism for the model to express uncertainty — no dropout, no ensemble, no Bayesian weights. For high-stakes decision tasks (medical diagnosis, financial risk, autonomous systems), a model that cannot distinguish between 'confident correct' and 'uncertain' predictions is not deployable. Furthermore, the -inf logit assigned to inactive output nodes (nodes that never received signal) is a hard constraint that can cause NaN in cross-entropy loss if all output nodes are inactive.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No uncertainty output. -inf logit for inactive output nodes causes NaN in cross-entropy. Model cannot distinguish high-confidence from low-confidence predictions. Non-probabilistic outputs limit deployability in regulated industries (healthcare, finance, insurance).</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Add Monte Carlo Dropout: apply dropout to phase/magnitude vectors during training, run N forward passes at inference for uncertainty estimation. Alternatively, use the variance of activation_strength across the iteration steps as a proxy for confidence. Replace -inf with a learnable 'null activation' baseline embedding. Wrap outputs with temperature scaling for calibrated probabilities.</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Medical AI (FDA 510k pathway requires uncertainty quantification for AI-assisted diagnosis), autonomous vehicle decision systems (ISO 26262 functional safety), actuarial modelling for insurance underwriting, and credit risk scoring under SR 11-7 model risk management guidelines.</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5FA3"/>
          <w:sz w:val="26"/>
          <w:szCs w:val="26"/>
        </w:rPr>
        <w:t xml:space="preserve">Issue 10: Connection Initialisation Creates Potentially Disconnected Subgraphs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B" w:sz="1"/>
              <w:left w:val="single" w:color="D46B2B" w:sz="1"/>
              <w:bottom w:val="single" w:color="D46B2B" w:sz="1"/>
              <w:right w:val="single" w:color="D46B2B" w:sz="1"/>
            </w:tcBorders>
            <w:shd w:fill="FAF0E6" w:val="clear"/>
            <w:tcMar>
              <w:top w:type="dxa" w:w="160"/>
              <w:left w:type="dxa" w:w="180"/>
              <w:bottom w:type="dxa" w:w="160"/>
              <w:right w:type="dxa" w:w="180"/>
            </w:tcMar>
          </w:tcPr>
          <w:p>
            <w:pPr>
              <w:spacing w:after="80"/>
            </w:pPr>
            <w:r>
              <w:rPr>
                <w:rFonts w:ascii="Arial" w:cs="Arial" w:eastAsia="Arial" w:hAnsi="Arial"/>
                <w:b/>
                <w:bCs/>
                <w:color w:val="D46B2B"/>
                <w:sz w:val="22"/>
                <w:szCs w:val="22"/>
              </w:rPr>
              <w:t xml:space="preserve">Code Location</w:t>
            </w:r>
          </w:p>
          <w:p>
            <w:r>
              <w:rPr>
                <w:rFonts w:ascii="Courier New" w:cs="Courier New" w:eastAsia="Courier New" w:hAnsi="Courier New"/>
                <w:color w:val="1B3A6B"/>
                <w:sz w:val="20"/>
                <w:szCs w:val="20"/>
              </w:rPr>
              <w:t xml:space="preserve">nodestore.py — _initialize_connections() — random.randint(0, max_incoming) allows 0 connections</w:t>
            </w:r>
          </w:p>
        </w:tc>
      </w:tr>
    </w:tbl>
    <w:p>
      <w:pPr>
        <w:spacing w:before="80" w:after="80"/>
      </w:pPr>
      <w:r>
        <w:t xml:space="preserve"/>
      </w:r>
    </w:p>
    <w:p>
      <w:pPr>
        <w:spacing w:before="60" w:after="100"/>
      </w:pPr>
      <w:r>
        <w:rPr>
          <w:rFonts w:ascii="Arial" w:cs="Arial" w:eastAsia="Arial" w:hAnsi="Arial"/>
          <w:color w:val="4A4A4A"/>
          <w:sz w:val="22"/>
          <w:szCs w:val="22"/>
        </w:rPr>
        <w:t xml:space="preserve">The connection initialisation allows each non-input node to have zero incoming connections (random.randint(0, max_incoming_connections) where the lower bound is 0). While radiation provides a fallback connectivity path, a node with zero direct connections and phase vectors far from all active nodes will never receive signal and will have zero gradient forever. Large graphs with sparse cardinality will have significant disconnected components that are permanently dead. This is analogous to the dead neuron problem in ReLU networks but without the saturation recovery mechanism.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120"/>
              <w:left w:type="dxa" w:w="140"/>
              <w:bottom w:type="dxa" w:w="120"/>
              <w:right w:type="dxa" w:w="140"/>
            </w:tcMar>
          </w:tcPr>
          <w:p>
            <w:pPr>
              <w:spacing w:after="60"/>
            </w:pPr>
            <w:r>
              <w:rPr>
                <w:rFonts w:ascii="Arial" w:cs="Arial" w:eastAsia="Arial" w:hAnsi="Arial"/>
                <w:b/>
                <w:bCs/>
                <w:color w:val="A83232"/>
                <w:sz w:val="20"/>
                <w:szCs w:val="20"/>
              </w:rPr>
              <w:t xml:space="preserve">⚠ Issue</w:t>
            </w:r>
          </w:p>
          <w:p>
            <w:pPr>
              <w:spacing w:after="0"/>
            </w:pPr>
            <w:r>
              <w:rPr>
                <w:rFonts w:ascii="Arial" w:cs="Arial" w:eastAsia="Arial" w:hAnsi="Arial"/>
                <w:color w:val="4A4A4A"/>
                <w:sz w:val="20"/>
                <w:szCs w:val="20"/>
              </w:rPr>
              <w:t xml:space="preserve">Zero incoming connections allowed during initialisation. Nodes in phase-space outlier positions receive no radiation and no direct signal — permanently dead with zero gradient. Large-scale graphs have many such dead nodes wasting memory and parameter budget.</w:t>
            </w:r>
          </w:p>
        </w:tc>
        <w:tc>
          <w:tcPr>
            <w:tcW w:type="dxa" w:w="3120"/>
            <w:tcBorders>
              <w:top w:val="single" w:color="CCCCCC" w:sz="1"/>
              <w:left w:val="single" w:color="CCCCCC" w:sz="1"/>
              <w:bottom w:val="single" w:color="CCCCCC" w:sz="1"/>
              <w:right w:val="single" w:color="CCCCCC" w:sz="1"/>
            </w:tcBorders>
            <w:shd w:fill="D4EDDA" w:val="clear"/>
            <w:tcMar>
              <w:top w:type="dxa" w:w="120"/>
              <w:left w:type="dxa" w:w="140"/>
              <w:bottom w:type="dxa" w:w="120"/>
              <w:right w:type="dxa" w:w="140"/>
            </w:tcMar>
          </w:tcPr>
          <w:p>
            <w:pPr>
              <w:spacing w:after="60"/>
            </w:pPr>
            <w:r>
              <w:rPr>
                <w:rFonts w:ascii="Arial" w:cs="Arial" w:eastAsia="Arial" w:hAnsi="Arial"/>
                <w:b/>
                <w:bCs/>
                <w:color w:val="2D6A2D"/>
                <w:sz w:val="20"/>
                <w:szCs w:val="20"/>
              </w:rPr>
              <w:t xml:space="preserve">✔ Solution</w:t>
            </w:r>
          </w:p>
          <w:p>
            <w:pPr>
              <w:spacing w:after="0"/>
            </w:pPr>
            <w:r>
              <w:rPr>
                <w:rFonts w:ascii="Arial" w:cs="Arial" w:eastAsia="Arial" w:hAnsi="Arial"/>
                <w:color w:val="4A4A4A"/>
                <w:sz w:val="20"/>
                <w:szCs w:val="20"/>
              </w:rPr>
              <w:t xml:space="preserve">Set minimum incoming connections to 1 in _initialize_connections(). During initialisation, guarantee connectivity via a spanning tree seeded from input nodes (breadth-first traversal ensures all nodes are reachable). Add a 'dead node detector' that tracks nodes with zero gradient for K consecutive steps and re-initialises their phase vectors to random values near the current mean phase distribution.</w:t>
            </w:r>
          </w:p>
        </w:tc>
        <w:tc>
          <w:tcPr>
            <w:tcW w:type="dxa" w:w="3120"/>
            <w:tcBorders>
              <w:top w:val="single" w:color="CCCCCC" w:sz="1"/>
              <w:left w:val="single" w:color="CCCCCC" w:sz="1"/>
              <w:bottom w:val="single" w:color="CCCCCC" w:sz="1"/>
              <w:right w:val="single" w:color="CCCCCC" w:sz="1"/>
            </w:tcBorders>
            <w:shd w:fill="D1ECF1" w:val="clear"/>
            <w:tcMar>
              <w:top w:type="dxa" w:w="120"/>
              <w:left w:type="dxa" w:w="140"/>
              <w:bottom w:type="dxa" w:w="120"/>
              <w:right w:type="dxa" w:w="140"/>
            </w:tcMar>
          </w:tcPr>
          <w:p>
            <w:pPr>
              <w:spacing w:after="60"/>
            </w:pPr>
            <w:r>
              <w:rPr>
                <w:rFonts w:ascii="Arial" w:cs="Arial" w:eastAsia="Arial" w:hAnsi="Arial"/>
                <w:b/>
                <w:bCs/>
                <w:color w:val="2A7F7F"/>
                <w:sz w:val="20"/>
                <w:szCs w:val="20"/>
              </w:rPr>
              <w:t xml:space="preserve">◆ Industry Scope</w:t>
            </w:r>
          </w:p>
          <w:p>
            <w:pPr>
              <w:spacing w:after="0"/>
            </w:pPr>
            <w:r>
              <w:rPr>
                <w:rFonts w:ascii="Arial" w:cs="Arial" w:eastAsia="Arial" w:hAnsi="Arial"/>
                <w:color w:val="4A4A4A"/>
                <w:sz w:val="20"/>
                <w:szCs w:val="20"/>
              </w:rPr>
              <w:t xml:space="preserve">Biological neural network simulation (connectome modelling), large-scale knowledge graph embedding where all entities must be reachable from anchor nodes, and distributed sensor fusion networks where isolated sensors must be linked to the central inference node.</w:t>
            </w:r>
          </w:p>
        </w:tc>
      </w:tr>
    </w:tbl>
    <w:p>
      <w:r>
        <w:br w:type="page"/>
      </w:r>
    </w:p>
    <w:p>
      <w:pPr>
        <w:pStyle w:val="Heading1"/>
        <w:spacing w:before="360" w:after="160"/>
      </w:pPr>
      <w:r>
        <w:rPr>
          <w:rFonts w:ascii="Arial" w:cs="Arial" w:eastAsia="Arial" w:hAnsi="Arial"/>
          <w:b/>
          <w:bCs/>
          <w:color w:val="1B3A6B"/>
          <w:sz w:val="32"/>
          <w:szCs w:val="32"/>
        </w:rPr>
        <w:t xml:space="preserve">5. Strategic Strengths vs. Baselines</w:t>
      </w:r>
    </w:p>
    <w:p>
      <w:pPr>
        <w:spacing w:before="60" w:after="100"/>
      </w:pPr>
      <w:r>
        <w:rPr>
          <w:rFonts w:ascii="Arial" w:cs="Arial" w:eastAsia="Arial" w:hAnsi="Arial"/>
          <w:color w:val="4A4A4A"/>
          <w:sz w:val="22"/>
          <w:szCs w:val="22"/>
        </w:rPr>
        <w:t xml:space="preserve">Before the issues dominate, it is important to characterise what this model does better than each baseline: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Advantage</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Over Which Baseline</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Technical Reason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Scales to millions of nodes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Hopfield, RBM</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Node storage is O(N·d); ANN search is O(log N) with HNSW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Dynamic sparse activation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Hopfield, standard GNNs, PINNs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Only active subgraph is computed; enables adaptive compute allocation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Temporal decay built-in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MoE, PINNs (standard)</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temporal_decay parameter naturally models signal attenuation over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Plug-in graph topology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PINNs, MoE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Explicit connections + radiation = structured + emergent topology simultaneously</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Phasor-space phase coherence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All baselines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Phase interference patterns can represent superposition, ideal for signal/wave problems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Vector DB persistence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baselines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Node weights survive process restarts; enables continual learning without full retraining</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Scattering exploration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Hopfield, RBM</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scattering_prob introduces principled stochasticity for exploration vs. exploitation</w:t>
            </w:r>
          </w:p>
        </w:tc>
      </w:tr>
    </w:tbl>
    <w:p>
      <w:r>
        <w:br w:type="page"/>
      </w:r>
    </w:p>
    <w:p>
      <w:pPr>
        <w:pStyle w:val="Heading1"/>
        <w:spacing w:before="360" w:after="160"/>
      </w:pPr>
      <w:r>
        <w:rPr>
          <w:rFonts w:ascii="Arial" w:cs="Arial" w:eastAsia="Arial" w:hAnsi="Arial"/>
          <w:b/>
          <w:bCs/>
          <w:color w:val="1B3A6B"/>
          <w:sz w:val="32"/>
          <w:szCs w:val="32"/>
        </w:rPr>
        <w:t xml:space="preserve">6. Prioritised Fix Roadmap</w:t>
      </w:r>
    </w:p>
    <w:p>
      <w:pPr>
        <w:spacing w:before="60" w:after="100"/>
      </w:pPr>
      <w:r>
        <w:rPr>
          <w:rFonts w:ascii="Arial" w:cs="Arial" w:eastAsia="Arial" w:hAnsi="Arial"/>
          <w:color w:val="4A4A4A"/>
          <w:sz w:val="22"/>
          <w:szCs w:val="22"/>
        </w:rPr>
        <w:t xml:space="preserve">Below is a prioritised implementation order based on impact and effort: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c>
          <w:tcPr>
            <w:tcW w:type="dxa" w:w="1872"/>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Issue</w:t>
            </w:r>
          </w:p>
        </w:tc>
        <w:tc>
          <w:tcPr>
            <w:tcW w:type="dxa" w:w="1872"/>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Effort</w:t>
            </w:r>
          </w:p>
        </w:tc>
        <w:tc>
          <w:tcPr>
            <w:tcW w:type="dxa" w:w="1872"/>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Impact</w:t>
            </w:r>
          </w:p>
        </w:tc>
        <w:tc>
          <w:tcPr>
            <w:tcW w:type="dxa" w:w="1872"/>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Prerequisite</w:t>
            </w:r>
          </w:p>
        </w:tc>
      </w:tr>
      <w:tr>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Activation strength sum(dim=-1) bug</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1 hour</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Correctness of all gradient computation</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Apply activation_threshold gating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day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Prevents memory OOM; enables sparse compute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Remove dead gradient threshold for unquantized</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2 hours</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Fixes silent learning failure for sparse nodes</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 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magnitude clamping + LayerNorm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day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Training stability; prevents explosion/vanishing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P0 fixes</w:t>
            </w:r>
          </w:p>
        </w:tc>
      </w:tr>
      <w:tr>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P1 — High</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Batch processing redesign</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1–2 weeks</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10–50x training speedup</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P0 fixes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 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Hub node load balancing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Prevents degenerate active set collapse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Activation threshold</w:t>
            </w:r>
          </w:p>
        </w:tc>
      </w:tr>
      <w:tr>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P2 — Medium</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Differentiable radiation via Gumbel-Softmax</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1 week</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End-to-end topology learning</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Batch redesign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 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Monte Carlo uncertainty estimation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Enables deployment in regulated domains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fixes</w:t>
            </w:r>
          </w:p>
        </w:tc>
      </w:tr>
      <w:tr>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P2 — Medium</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Minimum connectivity in initialisation</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4 hours</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Eliminates permanently dead nodes</w:t>
            </w:r>
          </w:p>
        </w:tc>
        <w:tc>
          <w:tcPr>
            <w:tcW w:type="dxa" w:w="1872"/>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P3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Distributed NodeStore sharding + gRPC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2–4 weeks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Production-scale distributed training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fixes</w:t>
            </w:r>
          </w:p>
        </w:tc>
      </w:tr>
    </w:tbl>
    <w:p>
      <w:r>
        <w:br w:type="page"/>
      </w:r>
    </w:p>
    <w:p>
      <w:pPr>
        <w:pStyle w:val="Heading1"/>
        <w:spacing w:before="360" w:after="160"/>
      </w:pPr>
      <w:r>
        <w:rPr>
          <w:rFonts w:ascii="Arial" w:cs="Arial" w:eastAsia="Arial" w:hAnsi="Arial"/>
          <w:b/>
          <w:bCs/>
          <w:color w:val="1B3A6B"/>
          <w:sz w:val="32"/>
          <w:szCs w:val="32"/>
        </w:rPr>
        <w:t xml:space="preserve">7. Consolidated Industry Application Map</w:t>
      </w:r>
    </w:p>
    <w:p>
      <w:pPr>
        <w:spacing w:before="60" w:after="100"/>
      </w:pPr>
      <w:r>
        <w:rPr>
          <w:rFonts w:ascii="Arial" w:cs="Arial" w:eastAsia="Arial" w:hAnsi="Arial"/>
          <w:color w:val="4A4A4A"/>
          <w:sz w:val="22"/>
          <w:szCs w:val="22"/>
        </w:rPr>
        <w:t xml:space="preserve">Mapping the fixed model to concrete industry verticals: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Industry</w:t>
            </w:r>
          </w:p>
        </w:tc>
        <w:tc>
          <w:tcPr>
            <w:tcW w:type="dxa" w:w="234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Use Case</w:t>
            </w:r>
          </w:p>
        </w:tc>
        <w:tc>
          <w:tcPr>
            <w:tcW w:type="dxa" w:w="234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Key Model Properties Leveraged</w:t>
            </w:r>
          </w:p>
        </w:tc>
        <w:tc>
          <w:tcPr>
            <w:tcW w:type="dxa" w:w="234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Issues That Must Be Fixed First</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Healthcare / Biotech</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Drug-target interaction prediction; rare disease diagnosis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Phasor similarity; sparse dynamic activation; long-tail support</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Dead gradient threshold; activation_threshold gating; uncertainty estimation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Financial 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Real-time fraud detection; credit risk graph scoring; portfolio network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decay; dynamic topology; O(log N) ANN search; load balancing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Batch processing; hub collapse; numerical stability</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Telecommunications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Network fault propagation; root-cause analysis on IP topology graphs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Millions of nodes; dynamic active set; persistent node store</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Activation threshold; NodeStore latency; connectivity initialisation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Autonomous Systems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Sensor fusion graph; SLAM graph optimisation; V2X interaction modelling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decay; sparse compute; uncertainty estimation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Uncertainty output; normalisation; activation threshold</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E-commerce / Streaming</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Long-tail recommendation; session-based user graph modelling</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Scattering exploration; large-scale node store; dynamic topology</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Load balancing; batch processing; GPU utilisation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Scientific Computing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Molecular dynamics; electromagnetic field simulation; connectome modelling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Phasor wave representation; PINN extension potential; phase coherence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Differentiable radiation; normalisation; PINN-style physics loss</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Cybersecurity</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Threat intelligence graph; lateral movement detection in network graphs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Dynamic topology; ANN-based attractor dynamics; temporal decay</w:t>
            </w:r>
          </w:p>
        </w:tc>
        <w:tc>
          <w:tcPr>
            <w:tcW w:type="dxa" w:w="23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4A4A4A"/>
                <w:sz w:val="20"/>
                <w:szCs w:val="20"/>
              </w:rPr>
              <w:t xml:space="preserve">Uncertainty estimation; activation threshold; dead gradient fix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Legal / Document 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Contract clause graph; citation network analysis; rare clause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Long-tail gradient support; persistent embeddings; iterative propagation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Dead gradient threshold; normalisation; batch processing</w:t>
            </w:r>
          </w:p>
        </w:tc>
      </w:tr>
    </w:tbl>
    <w:p>
      <w:r>
        <w:br w:type="page"/>
      </w:r>
    </w:p>
    <w:p>
      <w:pPr>
        <w:pStyle w:val="Heading1"/>
        <w:spacing w:before="360" w:after="160"/>
      </w:pPr>
      <w:r>
        <w:rPr>
          <w:rFonts w:ascii="Arial" w:cs="Arial" w:eastAsia="Arial" w:hAnsi="Arial"/>
          <w:b/>
          <w:bCs/>
          <w:color w:val="1B3A6B"/>
          <w:sz w:val="32"/>
          <w:szCs w:val="32"/>
        </w:rPr>
        <w:t xml:space="preserve">8. Conclusion</w:t>
      </w:r>
    </w:p>
    <w:p>
      <w:pPr>
        <w:spacing w:before="60" w:after="100"/>
      </w:pPr>
      <w:r>
        <w:rPr>
          <w:rFonts w:ascii="Arial" w:cs="Arial" w:eastAsia="Arial" w:hAnsi="Arial"/>
          <w:color w:val="4A4A4A"/>
          <w:sz w:val="22"/>
          <w:szCs w:val="22"/>
        </w:rPr>
        <w:t xml:space="preserve">The Dynamic Phase-Magnitude GNN is a genuinely novel architecture that combines attractor-based associative memory (reminiscent of Hopfield), sparse dynamic computation (reminiscent of MoE), phasor physics inspiration, and vector-database-backed scalability into a single unified framework. No direct equivalent exists in the published literature.</w:t>
      </w:r>
    </w:p>
    <w:p>
      <w:pPr>
        <w:spacing w:before="80" w:after="80"/>
      </w:pPr>
      <w:r>
        <w:t xml:space="preserve"/>
      </w:r>
    </w:p>
    <w:p>
      <w:pPr>
        <w:spacing w:before="60" w:after="100"/>
      </w:pPr>
      <w:r>
        <w:rPr>
          <w:rFonts w:ascii="Arial" w:cs="Arial" w:eastAsia="Arial" w:hAnsi="Arial"/>
          <w:color w:val="4A4A4A"/>
          <w:sz w:val="22"/>
          <w:szCs w:val="22"/>
        </w:rPr>
        <w:t xml:space="preserve">The core ideas — radiation as differentiable ANN-guided message passing, phase-magnitude phasor encoding, and persistent node storage — are commercially valuable and technically defensible. The model can legitimately compete with Hopfield networks on associative memory tasks at 100x the scale, with RBMs on feature discovery tasks, and with MoE on sparse compute allocation — if the engineering gaps are closed.</w:t>
      </w:r>
    </w:p>
    <w:p>
      <w:pPr>
        <w:spacing w:before="80" w:after="80"/>
      </w:pPr>
      <w:r>
        <w:t xml:space="preserve"/>
      </w:r>
    </w:p>
    <w:p>
      <w:pPr>
        <w:spacing w:before="60" w:after="100"/>
      </w:pPr>
      <w:r>
        <w:rPr>
          <w:rFonts w:ascii="Arial" w:cs="Arial" w:eastAsia="Arial" w:hAnsi="Arial"/>
          <w:color w:val="4A4A4A"/>
          <w:sz w:val="22"/>
          <w:szCs w:val="22"/>
        </w:rPr>
        <w:t xml:space="preserve">The ten issues identified are all fixable within 2–8 weeks of focused engineering effort. The highest-priority fixes (P0) can be completed in under 2 days and unlock correct gradient flow — the prerequisite for all further development. After P1 fixes (batch processing + normalisation), the model becomes benchmarkable against PyG/DGL baselines and should demonstrate competitive results on standard graph classification and link prediction benchmarks.</w:t>
      </w:r>
    </w:p>
    <w:p>
      <w:pPr>
        <w:spacing w:before="80" w:after="80"/>
      </w:pPr>
      <w:r>
        <w:t xml:space="preserve"/>
      </w:r>
    </w:p>
    <w:p>
      <w:pPr>
        <w:spacing w:before="60" w:after="100"/>
      </w:pPr>
      <w:r>
        <w:rPr>
          <w:rFonts w:ascii="Arial" w:cs="Arial" w:eastAsia="Arial" w:hAnsi="Arial"/>
          <w:color w:val="4A4A4A"/>
          <w:sz w:val="22"/>
          <w:szCs w:val="22"/>
        </w:rPr>
        <w:t xml:space="preserve">The most exciting long-term opportunity is the PINN extension: adding wave-equation physics residuals to the loss function transforms this model into a physics-aware graph intelligence engine with no direct competitor — directly applicable to electromagnetic simulation, fluid dynamics on irregular meshes, and acoustic modelling. This application alone represents a multi-billion-dollar addressable market in scientific ML.</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8EEF8" w:val="clear"/>
            <w:tcMar>
              <w:top w:type="dxa" w:w="160"/>
              <w:left w:type="dxa" w:w="180"/>
              <w:bottom w:type="dxa" w:w="160"/>
              <w:right w:type="dxa" w:w="180"/>
            </w:tcMar>
          </w:tcPr>
          <w:p>
            <w:pPr>
              <w:spacing w:after="80"/>
            </w:pPr>
            <w:r>
              <w:rPr>
                <w:rFonts w:ascii="Arial" w:cs="Arial" w:eastAsia="Arial" w:hAnsi="Arial"/>
                <w:b/>
                <w:bCs/>
                <w:color w:val="1B3A6B"/>
                <w:sz w:val="22"/>
                <w:szCs w:val="22"/>
              </w:rPr>
              <w:t xml:space="preserve">Recommended Immediate Action</w:t>
            </w:r>
          </w:p>
          <w:p>
            <w:pPr>
              <w:spacing w:after="60"/>
            </w:pPr>
            <w:r>
              <w:rPr>
                <w:rFonts w:ascii="Arial" w:cs="Arial" w:eastAsia="Arial" w:hAnsi="Arial"/>
                <w:color w:val="FFFFFF"/>
                <w:sz w:val="21"/>
                <w:szCs w:val="21"/>
              </w:rPr>
              <w:t xml:space="preserve">1. Fix real.sum() → real.sum(dim=-1) in custom_functions.py (1 hour)</w:t>
            </w:r>
          </w:p>
          <w:p>
            <w:pPr>
              <w:spacing w:after="60"/>
            </w:pPr>
            <w:r>
              <w:rPr>
                <w:rFonts w:ascii="Arial" w:cs="Arial" w:eastAsia="Arial" w:hAnsi="Arial"/>
                <w:color w:val="FFFFFF"/>
                <w:sz w:val="21"/>
                <w:szCs w:val="21"/>
              </w:rPr>
              <w:t xml:space="preserve">2. Enforce activation_threshold in UnquantizedGNN.one_step_forward() (1 day)</w:t>
            </w:r>
          </w:p>
          <w:p>
            <w:pPr>
              <w:spacing w:after="60"/>
            </w:pPr>
            <w:r>
              <w:rPr>
                <w:rFonts w:ascii="Arial" w:cs="Arial" w:eastAsia="Arial" w:hAnsi="Arial"/>
                <w:color w:val="FFFFFF"/>
                <w:sz w:val="21"/>
                <w:szCs w:val="21"/>
              </w:rPr>
              <w:t xml:space="preserve">3. Remove the 0.5 dead-gradient threshold from UnquantizedGradientAccumulator (2 hours)</w:t>
            </w:r>
          </w:p>
          <w:p>
            <w:pPr>
              <w:spacing w:after="0"/>
            </w:pPr>
            <w:r>
              <w:rPr>
                <w:rFonts w:ascii="Arial" w:cs="Arial" w:eastAsia="Arial" w:hAnsi="Arial"/>
                <w:color w:val="FFFFFF"/>
                <w:sz w:val="21"/>
                <w:szCs w:val="21"/>
              </w:rPr>
              <w:t xml:space="preserve">4. Add magnitude clamping (clamp mags to [-10, 10]) after each update_activations call (4 hours)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A7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2026-02-23T10:11:03.036Z</dcterms:created>
  <dcterms:modified xsi:type="dcterms:W3CDTF">2026-02-23T10:11:03.037Z</dcterms:modified>
</cp:coreProperties>
</file>

<file path=docProps/custom.xml><?xml version="1.0" encoding="utf-8"?>
<Properties xmlns="http://schemas.openxmlformats.org/officeDocument/2006/custom-properties" xmlns:vt="http://schemas.openxmlformats.org/officeDocument/2006/docPropsVTypes"/>
</file>